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228" w:rsidRPr="005030DD" w:rsidRDefault="003F4228" w:rsidP="00FB2F28">
      <w:pPr>
        <w:pStyle w:val="a3"/>
        <w:numPr>
          <w:ilvl w:val="0"/>
          <w:numId w:val="20"/>
        </w:numPr>
        <w:shd w:val="clear" w:color="auto" w:fill="FFFFFF"/>
        <w:spacing w:after="0" w:line="240" w:lineRule="auto"/>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Современное состояние и основные тенденции развития мировой экономики и финансов</w:t>
      </w:r>
    </w:p>
    <w:p w:rsidR="003F4228" w:rsidRPr="005030DD" w:rsidRDefault="003F4228" w:rsidP="00FB2F28">
      <w:pPr>
        <w:pStyle w:val="a3"/>
        <w:numPr>
          <w:ilvl w:val="0"/>
          <w:numId w:val="20"/>
        </w:numPr>
        <w:shd w:val="clear" w:color="auto" w:fill="FFFFFF"/>
        <w:spacing w:after="0" w:line="240" w:lineRule="auto"/>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Национальные и международные валютные системы</w:t>
      </w:r>
    </w:p>
    <w:p w:rsidR="003F4228" w:rsidRPr="005030DD" w:rsidRDefault="003F4228" w:rsidP="00FB2F28">
      <w:pPr>
        <w:pStyle w:val="a3"/>
        <w:numPr>
          <w:ilvl w:val="0"/>
          <w:numId w:val="20"/>
        </w:numPr>
        <w:shd w:val="clear" w:color="auto" w:fill="FFFFFF"/>
        <w:spacing w:after="0" w:line="240" w:lineRule="auto"/>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Валютный курс и факторы, влияющие на его формирование</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Виды валютных курсов и виды конвертируемости валют</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Роль золота в международных валютных отношениях</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Тенденции развития международных валютных отношений в условиях глобализации, полицентризма и регионализации мировой экономики</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Парижская и Генуэзская международные валютные системы</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Бреттон-Вудская международная валютная система</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Ямайская международная валютная система и проблемы ее реформирования</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Основные проблемы формирования европейского экономического и валютного союза на современном этапе</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Особенности и проблемы функционирования Европейской системы центральных банков</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Структура и методология составления платежного баланса страны</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 xml:space="preserve">Оценка состояния платежного баланса и основные факторы, влияющие на платежный баланс  </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Валютная политика и ее основные формы</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 xml:space="preserve">Управление международными резервами страны как часть национальной валютной политики </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color w:val="000000"/>
          <w:sz w:val="32"/>
          <w:szCs w:val="32"/>
          <w:shd w:val="clear" w:color="auto" w:fill="FFFFFF"/>
        </w:rPr>
      </w:pPr>
      <w:r w:rsidRPr="005030DD">
        <w:rPr>
          <w:rFonts w:ascii="Arial" w:hAnsi="Arial" w:cs="Arial"/>
          <w:color w:val="000000"/>
          <w:sz w:val="32"/>
          <w:szCs w:val="32"/>
          <w:shd w:val="clear" w:color="auto" w:fill="FFFFFF"/>
        </w:rPr>
        <w:t>Эволюция валютных ограничений и формы перехода к конвертируемости валют</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shd w:val="clear" w:color="auto" w:fill="FFFFFF"/>
        </w:rPr>
        <w:t>Особенности международных расчетов и их основные формы</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shd w:val="clear" w:color="auto" w:fill="FFFFFF"/>
        </w:rPr>
        <w:t>Аккредитивная форма расчетов</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shd w:val="clear" w:color="auto" w:fill="FFFFFF"/>
        </w:rPr>
        <w:t>Инкассовая форма расчетов</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shd w:val="clear" w:color="auto" w:fill="FFFFFF"/>
        </w:rPr>
        <w:t>Международные валютные клиринги</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 xml:space="preserve">Валютно-финансовые и платежные условия международного кредита </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Проблема роста внешних долгов в мировой экономике</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Виды международных кредитных рейтингов</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Разновидности международных кредитных операций</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Лизинговые операции</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rPr>
      </w:pPr>
      <w:r w:rsidRPr="005030DD">
        <w:rPr>
          <w:rFonts w:ascii="Arial" w:hAnsi="Arial" w:cs="Arial"/>
          <w:sz w:val="32"/>
          <w:szCs w:val="32"/>
        </w:rPr>
        <w:t>Факторинг и форфейтинг</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shd w:val="clear" w:color="auto" w:fill="FFFFFF"/>
        </w:rPr>
      </w:pPr>
      <w:r w:rsidRPr="005030DD">
        <w:rPr>
          <w:rFonts w:ascii="Arial" w:hAnsi="Arial" w:cs="Arial"/>
          <w:sz w:val="32"/>
          <w:szCs w:val="32"/>
        </w:rPr>
        <w:t>Роль синдицированных кредитов как одного из источников корпоративного фондирования</w:t>
      </w:r>
    </w:p>
    <w:p w:rsidR="003F4228" w:rsidRPr="005030DD" w:rsidRDefault="003F4228" w:rsidP="00FB2F28">
      <w:pPr>
        <w:pStyle w:val="a6"/>
        <w:numPr>
          <w:ilvl w:val="0"/>
          <w:numId w:val="20"/>
        </w:numPr>
        <w:shd w:val="clear" w:color="auto" w:fill="FFFFFF"/>
        <w:spacing w:before="0" w:beforeAutospacing="0" w:after="0" w:afterAutospacing="0"/>
        <w:ind w:left="0" w:firstLine="0"/>
        <w:rPr>
          <w:rFonts w:ascii="Arial" w:hAnsi="Arial" w:cs="Arial"/>
          <w:sz w:val="32"/>
          <w:szCs w:val="32"/>
          <w:shd w:val="clear" w:color="auto" w:fill="FFFFFF"/>
        </w:rPr>
      </w:pPr>
      <w:r w:rsidRPr="005030DD">
        <w:rPr>
          <w:rFonts w:ascii="Arial" w:hAnsi="Arial" w:cs="Arial"/>
          <w:sz w:val="32"/>
          <w:szCs w:val="32"/>
          <w:shd w:val="clear" w:color="auto" w:fill="FFFFFF"/>
        </w:rPr>
        <w:t xml:space="preserve">Структура и участники мирового финансового рынка и особенности его функционирования </w:t>
      </w:r>
    </w:p>
    <w:p w:rsidR="003F4228" w:rsidRPr="005030DD" w:rsidRDefault="003F4228" w:rsidP="00FB2F28">
      <w:pPr>
        <w:pStyle w:val="a3"/>
        <w:numPr>
          <w:ilvl w:val="0"/>
          <w:numId w:val="20"/>
        </w:numPr>
        <w:spacing w:after="0" w:line="240" w:lineRule="auto"/>
        <w:ind w:left="0" w:firstLine="0"/>
        <w:rPr>
          <w:rFonts w:ascii="Arial" w:hAnsi="Arial" w:cs="Arial"/>
          <w:sz w:val="32"/>
          <w:szCs w:val="32"/>
          <w:shd w:val="clear" w:color="auto" w:fill="FFFFFF"/>
        </w:rPr>
      </w:pPr>
      <w:r w:rsidRPr="005030DD">
        <w:rPr>
          <w:rFonts w:ascii="Arial" w:hAnsi="Arial" w:cs="Arial"/>
          <w:sz w:val="32"/>
          <w:szCs w:val="32"/>
          <w:shd w:val="clear" w:color="auto" w:fill="FFFFFF"/>
        </w:rPr>
        <w:t>Факторы, влияющие на функционирование современного мирового финансового рынка</w:t>
      </w:r>
    </w:p>
    <w:p w:rsidR="003F4228" w:rsidRPr="005030DD" w:rsidRDefault="003F4228" w:rsidP="00FB2F28">
      <w:pPr>
        <w:pStyle w:val="a3"/>
        <w:numPr>
          <w:ilvl w:val="0"/>
          <w:numId w:val="20"/>
        </w:numPr>
        <w:spacing w:after="0" w:line="240" w:lineRule="auto"/>
        <w:ind w:left="0" w:firstLine="0"/>
        <w:rPr>
          <w:rFonts w:ascii="Arial" w:hAnsi="Arial" w:cs="Arial"/>
          <w:sz w:val="32"/>
          <w:szCs w:val="32"/>
          <w:shd w:val="clear" w:color="auto" w:fill="FFFFFF"/>
        </w:rPr>
      </w:pPr>
      <w:r w:rsidRPr="005030DD">
        <w:rPr>
          <w:rFonts w:ascii="Arial" w:hAnsi="Arial" w:cs="Arial"/>
          <w:sz w:val="32"/>
          <w:szCs w:val="32"/>
          <w:shd w:val="clear" w:color="auto" w:fill="FFFFFF"/>
        </w:rPr>
        <w:t>Проблемы регулирования мирового финансового рынка на современном этапе</w:t>
      </w:r>
    </w:p>
    <w:p w:rsidR="003F4228" w:rsidRPr="005030DD" w:rsidRDefault="003F4228" w:rsidP="00FB2F28">
      <w:pPr>
        <w:pStyle w:val="a3"/>
        <w:numPr>
          <w:ilvl w:val="0"/>
          <w:numId w:val="20"/>
        </w:numPr>
        <w:spacing w:after="0" w:line="240" w:lineRule="auto"/>
        <w:ind w:left="0" w:firstLine="0"/>
        <w:rPr>
          <w:rFonts w:ascii="Arial" w:hAnsi="Arial" w:cs="Arial"/>
          <w:sz w:val="32"/>
          <w:szCs w:val="32"/>
          <w:shd w:val="clear" w:color="auto" w:fill="FFFFFF"/>
        </w:rPr>
      </w:pPr>
      <w:r w:rsidRPr="005030DD">
        <w:rPr>
          <w:rFonts w:ascii="Arial" w:hAnsi="Arial" w:cs="Arial"/>
          <w:sz w:val="32"/>
          <w:szCs w:val="32"/>
          <w:shd w:val="clear" w:color="auto" w:fill="FFFFFF"/>
        </w:rPr>
        <w:t>Государства как участники системы мировых финансов</w:t>
      </w:r>
    </w:p>
    <w:p w:rsidR="003F4228" w:rsidRPr="005030DD" w:rsidRDefault="003F4228" w:rsidP="00FB2F28">
      <w:pPr>
        <w:pStyle w:val="a3"/>
        <w:numPr>
          <w:ilvl w:val="0"/>
          <w:numId w:val="20"/>
        </w:numPr>
        <w:spacing w:after="0" w:line="240" w:lineRule="auto"/>
        <w:ind w:left="0" w:firstLine="0"/>
        <w:rPr>
          <w:rFonts w:ascii="Arial" w:hAnsi="Arial" w:cs="Arial"/>
          <w:sz w:val="32"/>
          <w:szCs w:val="32"/>
          <w:shd w:val="clear" w:color="auto" w:fill="FFFFFF"/>
        </w:rPr>
      </w:pPr>
      <w:r w:rsidRPr="005030DD">
        <w:rPr>
          <w:rFonts w:ascii="Arial" w:hAnsi="Arial" w:cs="Arial"/>
          <w:sz w:val="32"/>
          <w:szCs w:val="32"/>
          <w:shd w:val="clear" w:color="auto" w:fill="FFFFFF"/>
        </w:rPr>
        <w:lastRenderedPageBreak/>
        <w:t>Роль мировых финансовых центров на современном этапе</w:t>
      </w:r>
    </w:p>
    <w:p w:rsidR="003F4228" w:rsidRPr="005030DD" w:rsidRDefault="003F4228" w:rsidP="00FB2F28">
      <w:pPr>
        <w:pStyle w:val="a6"/>
        <w:numPr>
          <w:ilvl w:val="0"/>
          <w:numId w:val="20"/>
        </w:numPr>
        <w:shd w:val="clear" w:color="auto" w:fill="FFFFFF"/>
        <w:spacing w:before="0" w:beforeAutospacing="0" w:after="0" w:afterAutospacing="0"/>
        <w:ind w:left="0" w:firstLine="0"/>
        <w:jc w:val="both"/>
        <w:rPr>
          <w:rFonts w:ascii="Arial" w:hAnsi="Arial" w:cs="Arial"/>
          <w:sz w:val="32"/>
          <w:szCs w:val="32"/>
        </w:rPr>
      </w:pPr>
      <w:r w:rsidRPr="005030DD">
        <w:rPr>
          <w:rFonts w:ascii="Arial" w:hAnsi="Arial" w:cs="Arial"/>
          <w:sz w:val="32"/>
          <w:szCs w:val="32"/>
        </w:rPr>
        <w:t>Особенности функционирования современного мирового валютного рынка</w:t>
      </w:r>
    </w:p>
    <w:p w:rsidR="003F4228" w:rsidRPr="005030DD" w:rsidRDefault="003F4228" w:rsidP="00FB2F28">
      <w:pPr>
        <w:pStyle w:val="a6"/>
        <w:numPr>
          <w:ilvl w:val="0"/>
          <w:numId w:val="20"/>
        </w:numPr>
        <w:shd w:val="clear" w:color="auto" w:fill="FFFFFF"/>
        <w:spacing w:before="0" w:beforeAutospacing="0" w:after="0" w:afterAutospacing="0"/>
        <w:ind w:left="0" w:firstLine="0"/>
        <w:jc w:val="both"/>
        <w:rPr>
          <w:rFonts w:ascii="Arial" w:hAnsi="Arial" w:cs="Arial"/>
          <w:sz w:val="32"/>
          <w:szCs w:val="32"/>
        </w:rPr>
      </w:pPr>
      <w:r w:rsidRPr="005030DD">
        <w:rPr>
          <w:rFonts w:ascii="Arial" w:hAnsi="Arial" w:cs="Arial"/>
          <w:sz w:val="32"/>
          <w:szCs w:val="32"/>
        </w:rPr>
        <w:t xml:space="preserve">Наличные и срочные валютные операции </w:t>
      </w:r>
    </w:p>
    <w:p w:rsidR="003F4228" w:rsidRPr="005030DD" w:rsidRDefault="003F4228" w:rsidP="00FB2F28">
      <w:pPr>
        <w:pStyle w:val="a6"/>
        <w:numPr>
          <w:ilvl w:val="0"/>
          <w:numId w:val="20"/>
        </w:numPr>
        <w:shd w:val="clear" w:color="auto" w:fill="FFFFFF"/>
        <w:spacing w:before="0" w:beforeAutospacing="0" w:after="0" w:afterAutospacing="0"/>
        <w:ind w:left="0" w:firstLine="0"/>
        <w:jc w:val="both"/>
        <w:rPr>
          <w:rFonts w:ascii="Arial" w:hAnsi="Arial" w:cs="Arial"/>
          <w:sz w:val="32"/>
          <w:szCs w:val="32"/>
        </w:rPr>
      </w:pPr>
      <w:r w:rsidRPr="005030DD">
        <w:rPr>
          <w:rFonts w:ascii="Arial" w:hAnsi="Arial" w:cs="Arial"/>
          <w:sz w:val="32"/>
          <w:szCs w:val="32"/>
        </w:rPr>
        <w:t xml:space="preserve">Форвардные и фьючерсные контракты </w:t>
      </w:r>
    </w:p>
    <w:p w:rsidR="003F4228" w:rsidRPr="005030DD" w:rsidRDefault="003F4228" w:rsidP="00FB2F28">
      <w:pPr>
        <w:pStyle w:val="a6"/>
        <w:numPr>
          <w:ilvl w:val="0"/>
          <w:numId w:val="20"/>
        </w:numPr>
        <w:shd w:val="clear" w:color="auto" w:fill="FFFFFF"/>
        <w:spacing w:before="0" w:beforeAutospacing="0" w:after="0" w:afterAutospacing="0"/>
        <w:ind w:left="0" w:firstLine="0"/>
        <w:jc w:val="both"/>
        <w:rPr>
          <w:rFonts w:ascii="Arial" w:hAnsi="Arial" w:cs="Arial"/>
          <w:sz w:val="32"/>
          <w:szCs w:val="32"/>
        </w:rPr>
      </w:pPr>
      <w:r w:rsidRPr="005030DD">
        <w:rPr>
          <w:rFonts w:ascii="Arial" w:hAnsi="Arial" w:cs="Arial"/>
          <w:sz w:val="32"/>
          <w:szCs w:val="32"/>
        </w:rPr>
        <w:t>Опционы (основные виды и стратегии)</w:t>
      </w:r>
    </w:p>
    <w:p w:rsidR="003F4228" w:rsidRPr="005030DD" w:rsidRDefault="003F4228" w:rsidP="00FB2F28">
      <w:pPr>
        <w:pStyle w:val="a6"/>
        <w:numPr>
          <w:ilvl w:val="0"/>
          <w:numId w:val="20"/>
        </w:numPr>
        <w:shd w:val="clear" w:color="auto" w:fill="FFFFFF"/>
        <w:spacing w:before="0" w:beforeAutospacing="0" w:after="0" w:afterAutospacing="0"/>
        <w:ind w:left="0" w:firstLine="0"/>
        <w:jc w:val="both"/>
        <w:rPr>
          <w:rFonts w:ascii="Arial" w:hAnsi="Arial" w:cs="Arial"/>
          <w:sz w:val="32"/>
          <w:szCs w:val="32"/>
        </w:rPr>
      </w:pPr>
      <w:r w:rsidRPr="005030DD">
        <w:rPr>
          <w:rFonts w:ascii="Arial" w:hAnsi="Arial" w:cs="Arial"/>
          <w:sz w:val="32"/>
          <w:szCs w:val="32"/>
        </w:rPr>
        <w:t>Операции своп (</w:t>
      </w:r>
      <w:r w:rsidRPr="005030DD">
        <w:rPr>
          <w:rFonts w:ascii="Arial" w:hAnsi="Arial" w:cs="Arial"/>
          <w:sz w:val="32"/>
          <w:szCs w:val="32"/>
          <w:lang w:val="en-US"/>
        </w:rPr>
        <w:t>swap)</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Структура, участники и основные инструменты международного фондового рынка</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 xml:space="preserve">Кризисы на международном финансовом рынке: причины и последствия </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Способы размещения акций на международном фондовом рынке (</w:t>
      </w:r>
      <w:r w:rsidRPr="005030DD">
        <w:rPr>
          <w:rFonts w:ascii="Arial" w:hAnsi="Arial" w:cs="Arial"/>
          <w:sz w:val="32"/>
          <w:szCs w:val="32"/>
          <w:lang w:val="en-US"/>
        </w:rPr>
        <w:t>IPO</w:t>
      </w:r>
      <w:r w:rsidRPr="005030DD">
        <w:rPr>
          <w:rFonts w:ascii="Arial" w:hAnsi="Arial" w:cs="Arial"/>
          <w:sz w:val="32"/>
          <w:szCs w:val="32"/>
        </w:rPr>
        <w:t xml:space="preserve">, </w:t>
      </w:r>
      <w:r w:rsidRPr="005030DD">
        <w:rPr>
          <w:rFonts w:ascii="Arial" w:hAnsi="Arial" w:cs="Arial"/>
          <w:sz w:val="32"/>
          <w:szCs w:val="32"/>
          <w:lang w:val="en-US"/>
        </w:rPr>
        <w:t>ADR</w:t>
      </w:r>
      <w:r w:rsidRPr="005030DD">
        <w:rPr>
          <w:rFonts w:ascii="Arial" w:hAnsi="Arial" w:cs="Arial"/>
          <w:sz w:val="32"/>
          <w:szCs w:val="32"/>
        </w:rPr>
        <w:t xml:space="preserve">, </w:t>
      </w:r>
      <w:r w:rsidRPr="005030DD">
        <w:rPr>
          <w:rFonts w:ascii="Arial" w:hAnsi="Arial" w:cs="Arial"/>
          <w:sz w:val="32"/>
          <w:szCs w:val="32"/>
          <w:lang w:val="en-US"/>
        </w:rPr>
        <w:t>GDR</w:t>
      </w:r>
      <w:r w:rsidRPr="005030DD">
        <w:rPr>
          <w:rFonts w:ascii="Arial" w:hAnsi="Arial" w:cs="Arial"/>
          <w:sz w:val="32"/>
          <w:szCs w:val="32"/>
        </w:rPr>
        <w:t>)</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Операции с различными видами международных долговых ценных бумаг (облигации, векселя, депозитные сертификаты и др.)</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Еврооблигации – основной инструмент современного международного рынка долгового финансирования</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Мировой рынок золота</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 xml:space="preserve">Мировой рынок деривативов на современном этапе </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Современный мировой страховой рынок</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Организационная структура и основные направления деятельности МВФ</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Группа Всемирного банка</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ЕБРР – глобальный международный банк</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Особенности деятельности Банка международных расчетов</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Международные региональные банки</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Региональные финансово-экономические и торговые союзы</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Проблема деофшоризации мировой экономики</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Риски в международных валютно-кредитных и финансовых отношениях и способы их страхования</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Валютная система и валютная политика РФ в условиях обострения геополитических рисков</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Валютное регулирование и валютный контроль в современной России</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Особенности платежного баланса РФ</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Банковская система РФ</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 xml:space="preserve">Финансовый рынок РФ на современном этапе </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Место и роль России в ЕАЭС и перспективы сотрудничества РФ с другими странами в рамках СНГ</w:t>
      </w:r>
    </w:p>
    <w:p w:rsidR="003F4228" w:rsidRPr="005030DD" w:rsidRDefault="003F4228" w:rsidP="00FB2F28">
      <w:pPr>
        <w:pStyle w:val="a3"/>
        <w:numPr>
          <w:ilvl w:val="0"/>
          <w:numId w:val="20"/>
        </w:numPr>
        <w:spacing w:after="0" w:line="240" w:lineRule="auto"/>
        <w:ind w:left="0" w:firstLine="0"/>
        <w:jc w:val="both"/>
        <w:rPr>
          <w:rFonts w:ascii="Arial" w:hAnsi="Arial" w:cs="Arial"/>
          <w:sz w:val="32"/>
          <w:szCs w:val="32"/>
        </w:rPr>
      </w:pPr>
      <w:r w:rsidRPr="005030DD">
        <w:rPr>
          <w:rFonts w:ascii="Arial" w:hAnsi="Arial" w:cs="Arial"/>
          <w:sz w:val="32"/>
          <w:szCs w:val="32"/>
        </w:rPr>
        <w:t>Проблемы формирования международного финансового центра в Москве</w:t>
      </w:r>
    </w:p>
    <w:p w:rsidR="003F4228" w:rsidRDefault="003F4228" w:rsidP="00FB2F28">
      <w:pPr>
        <w:spacing w:after="0" w:line="240" w:lineRule="auto"/>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 Современное состояние и основные тенденции развития мировой экономики и финансов</w:t>
      </w:r>
    </w:p>
    <w:p w:rsidR="004D67BC" w:rsidRPr="003F4228" w:rsidRDefault="003F4228" w:rsidP="00FB2F28">
      <w:pPr>
        <w:spacing w:after="0" w:line="240" w:lineRule="auto"/>
        <w:ind w:firstLine="142"/>
        <w:jc w:val="both"/>
        <w:rPr>
          <w:rFonts w:ascii="Arial" w:hAnsi="Arial" w:cs="Arial"/>
          <w:b/>
          <w:sz w:val="28"/>
          <w:szCs w:val="28"/>
        </w:rPr>
      </w:pPr>
      <w:r w:rsidRPr="003F4228">
        <w:rPr>
          <w:rFonts w:ascii="Arial" w:hAnsi="Arial" w:cs="Arial"/>
          <w:b/>
          <w:sz w:val="28"/>
          <w:szCs w:val="28"/>
        </w:rPr>
        <w:t>Формирование новой модели мировой экономики на рубеже XX и XXI вв.</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Целостная многоукладная система национальных и транснациональных структур</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В основе перемен – ускорение инновационного развития и глобализации</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 xml:space="preserve">Либерализация международных экономических отношений: рост мировой торговли, потока мигрантов и трансграничного движения огромных финансовых средств  </w:t>
      </w:r>
    </w:p>
    <w:p w:rsidR="003F4228" w:rsidRPr="003F4228" w:rsidRDefault="003F4228" w:rsidP="00FB2F28">
      <w:pPr>
        <w:spacing w:after="0" w:line="240" w:lineRule="auto"/>
        <w:ind w:firstLine="142"/>
        <w:jc w:val="both"/>
        <w:rPr>
          <w:rFonts w:ascii="Arial" w:hAnsi="Arial" w:cs="Arial"/>
          <w:b/>
          <w:sz w:val="28"/>
          <w:szCs w:val="28"/>
        </w:rPr>
      </w:pPr>
      <w:r w:rsidRPr="003F4228">
        <w:rPr>
          <w:rFonts w:ascii="Arial" w:hAnsi="Arial" w:cs="Arial"/>
          <w:b/>
          <w:sz w:val="28"/>
          <w:szCs w:val="28"/>
        </w:rPr>
        <w:t>Факторы, влияющие на формирование новой модели мировой экономики</w:t>
      </w:r>
    </w:p>
    <w:p w:rsidR="00302CAC" w:rsidRDefault="00CD7C8F" w:rsidP="00FB2F28">
      <w:pPr>
        <w:spacing w:after="0" w:line="240" w:lineRule="auto"/>
        <w:jc w:val="both"/>
        <w:rPr>
          <w:rFonts w:ascii="Arial" w:hAnsi="Arial" w:cs="Arial"/>
          <w:sz w:val="28"/>
          <w:szCs w:val="28"/>
        </w:rPr>
      </w:pPr>
      <w:r w:rsidRPr="003F4228">
        <w:rPr>
          <w:rFonts w:ascii="Arial" w:hAnsi="Arial" w:cs="Arial"/>
          <w:sz w:val="28"/>
          <w:szCs w:val="28"/>
        </w:rPr>
        <w:t>Сдвиги в характере циклического развития</w:t>
      </w:r>
      <w:r w:rsidR="003F4228" w:rsidRPr="003F4228">
        <w:rPr>
          <w:rFonts w:ascii="Arial" w:hAnsi="Arial" w:cs="Arial"/>
          <w:sz w:val="28"/>
          <w:szCs w:val="28"/>
        </w:rPr>
        <w:t xml:space="preserve"> </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Преобразования в отраслевой структуре хозяйства</w:t>
      </w:r>
      <w:r w:rsidR="003F4228" w:rsidRPr="003F4228">
        <w:rPr>
          <w:rFonts w:ascii="Arial" w:hAnsi="Arial" w:cs="Arial"/>
          <w:sz w:val="28"/>
          <w:szCs w:val="28"/>
        </w:rPr>
        <w:t xml:space="preserve"> (Технологическое перевооружение и модернизация производства на основе использования новых технологий; Возрастает значение нематериальных факторов производства; Быстро развиваются институты инновационной экономики; Опережающее развитие сферы обращения и услуг по сравнению с промышленностью и сельским хозяйством)</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Новое сочетание рыночного и государственного регулирования экономики</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Полицентризм и интеграция в мировой экономике</w:t>
      </w:r>
    </w:p>
    <w:p w:rsidR="00E07DA7" w:rsidRPr="003F4228" w:rsidRDefault="00CD7C8F" w:rsidP="00FB2F28">
      <w:pPr>
        <w:spacing w:after="0" w:line="240" w:lineRule="auto"/>
        <w:jc w:val="both"/>
        <w:rPr>
          <w:rFonts w:ascii="Arial" w:hAnsi="Arial" w:cs="Arial"/>
          <w:sz w:val="28"/>
          <w:szCs w:val="28"/>
        </w:rPr>
      </w:pPr>
      <w:r w:rsidRPr="003F4228">
        <w:rPr>
          <w:rFonts w:ascii="Arial" w:hAnsi="Arial" w:cs="Arial"/>
          <w:sz w:val="28"/>
          <w:szCs w:val="28"/>
        </w:rPr>
        <w:t>Противоборство либерализации и протекционизма</w:t>
      </w:r>
    </w:p>
    <w:p w:rsidR="00E07DA7" w:rsidRDefault="00CD7C8F" w:rsidP="00FB2F28">
      <w:pPr>
        <w:spacing w:after="0" w:line="240" w:lineRule="auto"/>
        <w:jc w:val="both"/>
        <w:rPr>
          <w:rFonts w:ascii="Arial" w:hAnsi="Arial" w:cs="Arial"/>
          <w:sz w:val="28"/>
          <w:szCs w:val="28"/>
        </w:rPr>
      </w:pPr>
      <w:r w:rsidRPr="003F4228">
        <w:rPr>
          <w:rFonts w:ascii="Arial" w:hAnsi="Arial" w:cs="Arial"/>
          <w:sz w:val="28"/>
          <w:szCs w:val="28"/>
        </w:rPr>
        <w:t>Поиск адекватных ответов на глобальные вызовы и угрозы, формирование системы глобального управления экономикой</w:t>
      </w:r>
      <w:r w:rsidR="003F4228">
        <w:rPr>
          <w:rFonts w:ascii="Arial" w:hAnsi="Arial" w:cs="Arial"/>
          <w:sz w:val="28"/>
          <w:szCs w:val="28"/>
        </w:rPr>
        <w:t>.</w:t>
      </w:r>
    </w:p>
    <w:p w:rsidR="003F4228" w:rsidRDefault="003F4228" w:rsidP="00FB2F28">
      <w:pPr>
        <w:spacing w:after="0" w:line="240" w:lineRule="auto"/>
        <w:jc w:val="both"/>
      </w:pPr>
      <w:r w:rsidRPr="003F4228">
        <w:rPr>
          <w:rFonts w:ascii="Arial" w:hAnsi="Arial" w:cs="Arial"/>
          <w:b/>
          <w:bCs/>
          <w:sz w:val="28"/>
          <w:szCs w:val="28"/>
        </w:rPr>
        <w:t>Финансовая глобализация</w:t>
      </w:r>
      <w:r w:rsidRPr="003F4228">
        <w:t xml:space="preserve"> </w:t>
      </w:r>
    </w:p>
    <w:p w:rsidR="003F4228" w:rsidRDefault="003F4228" w:rsidP="00FB2F28">
      <w:pPr>
        <w:spacing w:after="0" w:line="240" w:lineRule="auto"/>
        <w:jc w:val="both"/>
        <w:rPr>
          <w:rFonts w:ascii="Arial" w:hAnsi="Arial" w:cs="Arial"/>
          <w:bCs/>
          <w:sz w:val="28"/>
          <w:szCs w:val="28"/>
        </w:rPr>
      </w:pPr>
      <w:r w:rsidRPr="003F4228">
        <w:rPr>
          <w:rFonts w:ascii="Arial" w:hAnsi="Arial" w:cs="Arial"/>
          <w:bCs/>
          <w:sz w:val="28"/>
          <w:szCs w:val="28"/>
        </w:rPr>
        <w:t>Рост объема мировых финансовых потоков</w:t>
      </w:r>
      <w:r>
        <w:rPr>
          <w:rFonts w:ascii="Arial" w:hAnsi="Arial" w:cs="Arial"/>
          <w:bCs/>
          <w:sz w:val="28"/>
          <w:szCs w:val="28"/>
        </w:rPr>
        <w:t xml:space="preserve">; </w:t>
      </w:r>
      <w:r w:rsidRPr="003F4228">
        <w:rPr>
          <w:rFonts w:ascii="Arial" w:hAnsi="Arial" w:cs="Arial"/>
          <w:bCs/>
          <w:sz w:val="28"/>
          <w:szCs w:val="28"/>
        </w:rPr>
        <w:t>Увеличение масштаба и усложнение валютных, кредитных и финансовых операций</w:t>
      </w:r>
      <w:r>
        <w:rPr>
          <w:rFonts w:ascii="Arial" w:hAnsi="Arial" w:cs="Arial"/>
          <w:bCs/>
          <w:sz w:val="28"/>
          <w:szCs w:val="28"/>
        </w:rPr>
        <w:t xml:space="preserve">; </w:t>
      </w:r>
      <w:r w:rsidRPr="003F4228">
        <w:rPr>
          <w:rFonts w:ascii="Arial" w:hAnsi="Arial" w:cs="Arial"/>
          <w:bCs/>
          <w:sz w:val="28"/>
          <w:szCs w:val="28"/>
        </w:rPr>
        <w:t>Роль виртуальных факторов в формировании важнейших хозяйственных пропорций</w:t>
      </w:r>
      <w:r>
        <w:rPr>
          <w:rFonts w:ascii="Arial" w:hAnsi="Arial" w:cs="Arial"/>
          <w:bCs/>
          <w:sz w:val="28"/>
          <w:szCs w:val="28"/>
        </w:rPr>
        <w:t xml:space="preserve">; </w:t>
      </w:r>
      <w:r w:rsidRPr="003F4228">
        <w:rPr>
          <w:rFonts w:ascii="Arial" w:hAnsi="Arial" w:cs="Arial"/>
          <w:bCs/>
          <w:sz w:val="28"/>
          <w:szCs w:val="28"/>
        </w:rPr>
        <w:t>Повышение роли институциональных инвесторов</w:t>
      </w:r>
    </w:p>
    <w:p w:rsidR="003F4228" w:rsidRDefault="003F4228" w:rsidP="00FB2F28">
      <w:pPr>
        <w:spacing w:after="0" w:line="240" w:lineRule="auto"/>
        <w:jc w:val="both"/>
        <w:rPr>
          <w:rFonts w:ascii="Arial" w:hAnsi="Arial" w:cs="Arial"/>
          <w:b/>
          <w:bCs/>
          <w:sz w:val="28"/>
          <w:szCs w:val="28"/>
        </w:rPr>
      </w:pPr>
      <w:r w:rsidRPr="003F4228">
        <w:rPr>
          <w:rFonts w:ascii="Arial" w:hAnsi="Arial" w:cs="Arial"/>
          <w:b/>
          <w:bCs/>
          <w:sz w:val="28"/>
          <w:szCs w:val="28"/>
        </w:rPr>
        <w:t>Деиндустриализация мировой экономики</w:t>
      </w:r>
      <w:bookmarkStart w:id="0" w:name="_GoBack"/>
      <w:bookmarkEnd w:id="0"/>
    </w:p>
    <w:p w:rsidR="003F4228" w:rsidRPr="003F4228" w:rsidRDefault="003F4228" w:rsidP="00FB2F28">
      <w:pPr>
        <w:spacing w:after="0" w:line="240" w:lineRule="auto"/>
        <w:jc w:val="both"/>
        <w:rPr>
          <w:rFonts w:ascii="Arial" w:hAnsi="Arial" w:cs="Arial"/>
          <w:sz w:val="28"/>
          <w:szCs w:val="28"/>
        </w:rPr>
      </w:pPr>
      <w:r w:rsidRPr="003F4228">
        <w:rPr>
          <w:rFonts w:ascii="Arial" w:hAnsi="Arial" w:cs="Arial"/>
          <w:sz w:val="28"/>
          <w:szCs w:val="28"/>
        </w:rPr>
        <w:t>Снижение удельного веса промышленности в развитых странах</w:t>
      </w:r>
      <w:r>
        <w:rPr>
          <w:rFonts w:ascii="Arial" w:hAnsi="Arial" w:cs="Arial"/>
          <w:sz w:val="28"/>
          <w:szCs w:val="28"/>
        </w:rPr>
        <w:t xml:space="preserve">; </w:t>
      </w:r>
      <w:r w:rsidRPr="003F4228">
        <w:rPr>
          <w:rFonts w:ascii="Arial" w:hAnsi="Arial" w:cs="Arial"/>
          <w:sz w:val="28"/>
          <w:szCs w:val="28"/>
        </w:rPr>
        <w:t>Рост удельного веса промышленности в развивающихся странах</w:t>
      </w:r>
      <w:r>
        <w:rPr>
          <w:rFonts w:ascii="Arial" w:hAnsi="Arial" w:cs="Arial"/>
          <w:sz w:val="28"/>
          <w:szCs w:val="28"/>
        </w:rPr>
        <w:t xml:space="preserve">; </w:t>
      </w:r>
      <w:r w:rsidRPr="003F4228">
        <w:rPr>
          <w:rFonts w:ascii="Arial" w:hAnsi="Arial" w:cs="Arial"/>
          <w:sz w:val="28"/>
          <w:szCs w:val="28"/>
        </w:rPr>
        <w:t>Усиление роли машиностроительного комплекса (особенно электронного машиностроения) в структуре промышленности</w:t>
      </w:r>
      <w:r>
        <w:rPr>
          <w:rFonts w:ascii="Arial" w:hAnsi="Arial" w:cs="Arial"/>
          <w:sz w:val="28"/>
          <w:szCs w:val="28"/>
        </w:rPr>
        <w:t xml:space="preserve">; </w:t>
      </w:r>
      <w:r w:rsidRPr="003F4228">
        <w:rPr>
          <w:rFonts w:ascii="Arial" w:hAnsi="Arial" w:cs="Arial"/>
          <w:sz w:val="28"/>
          <w:szCs w:val="28"/>
        </w:rPr>
        <w:t>Рост спроса на продукцию энергетических отраслей</w:t>
      </w:r>
    </w:p>
    <w:p w:rsidR="003F4228" w:rsidRDefault="003F4228" w:rsidP="00FB2F28">
      <w:pPr>
        <w:spacing w:after="0" w:line="240" w:lineRule="auto"/>
        <w:jc w:val="both"/>
        <w:rPr>
          <w:rFonts w:ascii="Arial" w:hAnsi="Arial" w:cs="Arial"/>
          <w:sz w:val="28"/>
          <w:szCs w:val="28"/>
        </w:rPr>
      </w:pPr>
      <w:r w:rsidRPr="003F4228">
        <w:rPr>
          <w:rFonts w:ascii="Arial" w:hAnsi="Arial" w:cs="Arial"/>
          <w:sz w:val="28"/>
          <w:szCs w:val="28"/>
        </w:rPr>
        <w:t>Падение удельного веса сельского хозяйства в мировом ВВП</w:t>
      </w:r>
    </w:p>
    <w:p w:rsidR="003F4228" w:rsidRPr="003F4228" w:rsidRDefault="003F4228" w:rsidP="00FB2F28">
      <w:pPr>
        <w:tabs>
          <w:tab w:val="num" w:pos="720"/>
        </w:tabs>
        <w:spacing w:after="0" w:line="240" w:lineRule="auto"/>
        <w:jc w:val="both"/>
        <w:rPr>
          <w:rFonts w:ascii="Arial" w:hAnsi="Arial" w:cs="Arial"/>
          <w:sz w:val="28"/>
          <w:szCs w:val="28"/>
        </w:rPr>
      </w:pPr>
      <w:r w:rsidRPr="003F4228">
        <w:rPr>
          <w:rFonts w:ascii="Arial" w:hAnsi="Arial" w:cs="Arial"/>
          <w:b/>
          <w:bCs/>
          <w:sz w:val="28"/>
          <w:szCs w:val="28"/>
        </w:rPr>
        <w:t>Перераспределение сил в мировой экономике</w:t>
      </w:r>
      <w:r>
        <w:rPr>
          <w:rFonts w:ascii="Arial" w:hAnsi="Arial" w:cs="Arial"/>
          <w:b/>
          <w:bCs/>
          <w:sz w:val="28"/>
          <w:szCs w:val="28"/>
        </w:rPr>
        <w:t xml:space="preserve"> (</w:t>
      </w:r>
      <w:r w:rsidR="00CD7C8F" w:rsidRPr="003F4228">
        <w:rPr>
          <w:rFonts w:ascii="Arial" w:hAnsi="Arial" w:cs="Arial"/>
          <w:sz w:val="28"/>
          <w:szCs w:val="28"/>
        </w:rPr>
        <w:t>Укрепление позиций развивающихся стран и стран с переходной экономикой в международной торговле, привлечении прямых иностранных инвестиций и корпоративной структуре мировой экономики</w:t>
      </w:r>
      <w:r>
        <w:rPr>
          <w:rFonts w:ascii="Arial" w:hAnsi="Arial" w:cs="Arial"/>
          <w:sz w:val="28"/>
          <w:szCs w:val="28"/>
        </w:rPr>
        <w:t xml:space="preserve">; </w:t>
      </w:r>
      <w:r w:rsidR="00CD7C8F" w:rsidRPr="003F4228">
        <w:rPr>
          <w:rFonts w:ascii="Arial" w:hAnsi="Arial" w:cs="Arial"/>
          <w:sz w:val="28"/>
          <w:szCs w:val="28"/>
        </w:rPr>
        <w:t>Страны БРИКС – локомотивы развития мировой экономики</w:t>
      </w:r>
      <w:r>
        <w:rPr>
          <w:rFonts w:ascii="Arial" w:hAnsi="Arial" w:cs="Arial"/>
          <w:sz w:val="28"/>
          <w:szCs w:val="28"/>
        </w:rPr>
        <w:t xml:space="preserve">; </w:t>
      </w:r>
      <w:r w:rsidR="00CD7C8F" w:rsidRPr="003F4228">
        <w:rPr>
          <w:rFonts w:ascii="Arial" w:hAnsi="Arial" w:cs="Arial"/>
          <w:sz w:val="28"/>
          <w:szCs w:val="28"/>
        </w:rPr>
        <w:t>Особенности развивающихся стран:</w:t>
      </w:r>
      <w:r>
        <w:rPr>
          <w:rFonts w:ascii="Arial" w:hAnsi="Arial" w:cs="Arial"/>
          <w:sz w:val="28"/>
          <w:szCs w:val="28"/>
        </w:rPr>
        <w:t xml:space="preserve"> </w:t>
      </w:r>
      <w:r w:rsidRPr="003F4228">
        <w:rPr>
          <w:rFonts w:ascii="Arial" w:hAnsi="Arial" w:cs="Arial"/>
          <w:sz w:val="28"/>
          <w:szCs w:val="28"/>
        </w:rPr>
        <w:t>а) низкая стоимость труда</w:t>
      </w:r>
      <w:r>
        <w:rPr>
          <w:rFonts w:ascii="Arial" w:hAnsi="Arial" w:cs="Arial"/>
          <w:sz w:val="28"/>
          <w:szCs w:val="28"/>
        </w:rPr>
        <w:t xml:space="preserve"> </w:t>
      </w:r>
      <w:r w:rsidRPr="003F4228">
        <w:rPr>
          <w:rFonts w:ascii="Arial" w:hAnsi="Arial" w:cs="Arial"/>
          <w:sz w:val="28"/>
          <w:szCs w:val="28"/>
        </w:rPr>
        <w:t>б) высокая норма накопления</w:t>
      </w:r>
      <w:r>
        <w:rPr>
          <w:rFonts w:ascii="Arial" w:hAnsi="Arial" w:cs="Arial"/>
          <w:sz w:val="28"/>
          <w:szCs w:val="28"/>
        </w:rPr>
        <w:t xml:space="preserve"> </w:t>
      </w:r>
      <w:r w:rsidRPr="003F4228">
        <w:rPr>
          <w:rFonts w:ascii="Arial" w:hAnsi="Arial" w:cs="Arial"/>
          <w:sz w:val="28"/>
          <w:szCs w:val="28"/>
        </w:rPr>
        <w:t>в) приток иностранного капитала</w:t>
      </w:r>
      <w:r>
        <w:rPr>
          <w:rFonts w:ascii="Arial" w:hAnsi="Arial" w:cs="Arial"/>
          <w:sz w:val="28"/>
          <w:szCs w:val="28"/>
        </w:rPr>
        <w:t xml:space="preserve"> </w:t>
      </w:r>
      <w:r w:rsidRPr="003F4228">
        <w:rPr>
          <w:rFonts w:ascii="Arial" w:hAnsi="Arial" w:cs="Arial"/>
          <w:sz w:val="28"/>
          <w:szCs w:val="28"/>
        </w:rPr>
        <w:t>г) инновационный характер развития</w:t>
      </w:r>
    </w:p>
    <w:p w:rsidR="003F4228" w:rsidRDefault="003F4228" w:rsidP="00FB2F28">
      <w:pPr>
        <w:spacing w:after="0" w:line="240" w:lineRule="auto"/>
        <w:jc w:val="both"/>
        <w:rPr>
          <w:rFonts w:ascii="Arial" w:hAnsi="Arial" w:cs="Arial"/>
          <w:b/>
          <w:bCs/>
          <w:sz w:val="28"/>
          <w:szCs w:val="28"/>
        </w:rPr>
      </w:pPr>
      <w:r w:rsidRPr="003F4228">
        <w:rPr>
          <w:rFonts w:ascii="Arial" w:hAnsi="Arial" w:cs="Arial"/>
          <w:b/>
          <w:bCs/>
          <w:sz w:val="28"/>
          <w:szCs w:val="28"/>
        </w:rPr>
        <w:t>Изменение соотношения сил в группе развитых стран</w:t>
      </w:r>
      <w:r>
        <w:rPr>
          <w:rFonts w:ascii="Arial" w:hAnsi="Arial" w:cs="Arial"/>
          <w:b/>
          <w:bCs/>
          <w:sz w:val="28"/>
          <w:szCs w:val="28"/>
        </w:rPr>
        <w:t xml:space="preserve">. </w:t>
      </w:r>
      <w:r w:rsidRPr="003F4228">
        <w:rPr>
          <w:rFonts w:ascii="Arial" w:hAnsi="Arial" w:cs="Arial"/>
          <w:b/>
          <w:bCs/>
          <w:sz w:val="28"/>
          <w:szCs w:val="28"/>
        </w:rPr>
        <w:t>Глобализация мировой экономики</w:t>
      </w:r>
      <w:r>
        <w:rPr>
          <w:rFonts w:ascii="Arial" w:hAnsi="Arial" w:cs="Arial"/>
          <w:b/>
          <w:bCs/>
          <w:sz w:val="28"/>
          <w:szCs w:val="28"/>
        </w:rPr>
        <w:t xml:space="preserve">. </w:t>
      </w:r>
      <w:r w:rsidRPr="003F4228">
        <w:rPr>
          <w:rFonts w:ascii="Arial" w:hAnsi="Arial" w:cs="Arial"/>
          <w:b/>
          <w:bCs/>
          <w:sz w:val="28"/>
          <w:szCs w:val="28"/>
        </w:rPr>
        <w:t>Валютная глобализация</w:t>
      </w:r>
      <w:r>
        <w:rPr>
          <w:rFonts w:ascii="Arial" w:hAnsi="Arial" w:cs="Arial"/>
          <w:b/>
          <w:bCs/>
          <w:sz w:val="28"/>
          <w:szCs w:val="28"/>
        </w:rPr>
        <w:t xml:space="preserve">. </w:t>
      </w:r>
      <w:r w:rsidRPr="003F4228">
        <w:rPr>
          <w:rFonts w:ascii="Arial" w:hAnsi="Arial" w:cs="Arial"/>
          <w:b/>
          <w:bCs/>
          <w:sz w:val="28"/>
          <w:szCs w:val="28"/>
        </w:rPr>
        <w:t>Регионализация</w:t>
      </w:r>
      <w:r>
        <w:rPr>
          <w:rFonts w:ascii="Arial" w:hAnsi="Arial" w:cs="Arial"/>
          <w:b/>
          <w:bCs/>
          <w:sz w:val="28"/>
          <w:szCs w:val="28"/>
        </w:rPr>
        <w:t xml:space="preserve">. </w:t>
      </w:r>
      <w:r w:rsidRPr="003F4228">
        <w:rPr>
          <w:rFonts w:ascii="Arial" w:hAnsi="Arial" w:cs="Arial"/>
          <w:b/>
          <w:bCs/>
          <w:sz w:val="28"/>
          <w:szCs w:val="28"/>
        </w:rPr>
        <w:t>Глобализация валютного и кредитного регулирования</w:t>
      </w:r>
    </w:p>
    <w:p w:rsidR="00FB2F28" w:rsidRDefault="00FB2F28" w:rsidP="00FB2F28">
      <w:pPr>
        <w:spacing w:after="0" w:line="240" w:lineRule="auto"/>
        <w:jc w:val="both"/>
        <w:rPr>
          <w:rFonts w:ascii="Arial" w:hAnsi="Arial" w:cs="Arial"/>
          <w:b/>
          <w:bCs/>
          <w:sz w:val="28"/>
          <w:szCs w:val="28"/>
        </w:rPr>
      </w:pP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b/>
          <w:sz w:val="28"/>
          <w:szCs w:val="28"/>
        </w:rPr>
        <w:lastRenderedPageBreak/>
        <w:t>2. Национальные и международные валютные системы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Валютная система — форма организации и регулирования валютных отношений, закрепленная национальным законодательством или межгосударственными соглашениями. Это совокупность элементов, которые структурно и функционально взаимосвязаны и участвуют в ее функционировании и управлении. Различаются национальная, мировая, международная (региональная) валютные системы.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Исторически вначале возникли национальные валютные системы, регламентируемые законодательством стран с учетом норм международного права. Национальная валютная система связана с денежной системой страны, но она выходит за национальные границы. Ее особенности определяются степенью развития и состоянием экономики и внешнеэкономических связей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Национальная валютная система неразрывно связана с мировой валютной системой - формой организации международных валютных отношений, закрепленной межгосударственными соглашениями. Мировая валютная система впервые была создана в 1867 г.</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Международная (региональная валютная система) - формой организации международных валютных отношений, закрепленной межгосударственными соглашениями.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Рассмотрим основные элементы национальной и мировой валютных систем.</w:t>
      </w:r>
    </w:p>
    <w:tbl>
      <w:tblPr>
        <w:tblStyle w:val="a4"/>
        <w:tblW w:w="0" w:type="auto"/>
        <w:tblLook w:val="04A0"/>
      </w:tblPr>
      <w:tblGrid>
        <w:gridCol w:w="5661"/>
        <w:gridCol w:w="5661"/>
      </w:tblGrid>
      <w:tr w:rsidR="00EA4464" w:rsidRPr="002D0237" w:rsidTr="003F4228">
        <w:trPr>
          <w:trHeight w:val="363"/>
        </w:trPr>
        <w:tc>
          <w:tcPr>
            <w:tcW w:w="5661" w:type="dxa"/>
          </w:tcPr>
          <w:p w:rsidR="00EA4464" w:rsidRPr="002D0237" w:rsidRDefault="00EA4464" w:rsidP="00FB2F28">
            <w:pPr>
              <w:ind w:firstLine="142"/>
              <w:jc w:val="center"/>
              <w:rPr>
                <w:rFonts w:ascii="Arial" w:hAnsi="Arial" w:cs="Arial"/>
                <w:sz w:val="28"/>
                <w:szCs w:val="28"/>
              </w:rPr>
            </w:pPr>
            <w:r w:rsidRPr="002D0237">
              <w:rPr>
                <w:rFonts w:ascii="Arial" w:hAnsi="Arial" w:cs="Arial"/>
                <w:sz w:val="28"/>
                <w:szCs w:val="28"/>
              </w:rPr>
              <w:t>Национальная валютная система</w:t>
            </w:r>
          </w:p>
        </w:tc>
        <w:tc>
          <w:tcPr>
            <w:tcW w:w="5661" w:type="dxa"/>
          </w:tcPr>
          <w:p w:rsidR="00EA4464" w:rsidRPr="002D0237" w:rsidRDefault="00EA4464" w:rsidP="00FB2F28">
            <w:pPr>
              <w:ind w:firstLine="142"/>
              <w:jc w:val="center"/>
              <w:rPr>
                <w:rFonts w:ascii="Arial" w:hAnsi="Arial" w:cs="Arial"/>
                <w:sz w:val="28"/>
                <w:szCs w:val="28"/>
              </w:rPr>
            </w:pPr>
            <w:r w:rsidRPr="002D0237">
              <w:rPr>
                <w:rFonts w:ascii="Arial" w:hAnsi="Arial" w:cs="Arial"/>
                <w:sz w:val="28"/>
                <w:szCs w:val="28"/>
              </w:rPr>
              <w:t>Мировая валютная система</w:t>
            </w:r>
          </w:p>
        </w:tc>
      </w:tr>
      <w:tr w:rsidR="00EA4464" w:rsidRPr="002D0237" w:rsidTr="003F4228">
        <w:trPr>
          <w:trHeight w:val="741"/>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Национальная валюта</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Функциональные формы мировых денег</w:t>
            </w:r>
          </w:p>
        </w:tc>
      </w:tr>
      <w:tr w:rsidR="00EA4464" w:rsidRPr="002D0237" w:rsidTr="003F4228">
        <w:trPr>
          <w:trHeight w:val="741"/>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 xml:space="preserve">Условия конвертируемости нац. валюты </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Условия взаимной конвертируемости валют</w:t>
            </w:r>
          </w:p>
        </w:tc>
      </w:tr>
      <w:tr w:rsidR="00EA4464" w:rsidRPr="002D0237" w:rsidTr="003F4228">
        <w:trPr>
          <w:trHeight w:val="741"/>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 xml:space="preserve">Паритет нац. валюты </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Унифицированный режим валютных паритетов</w:t>
            </w:r>
          </w:p>
        </w:tc>
      </w:tr>
      <w:tr w:rsidR="00EA4464" w:rsidRPr="002D0237" w:rsidTr="003F4228">
        <w:trPr>
          <w:trHeight w:val="741"/>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Режим курса нац. валюты</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Регламентация режимов валютных курсов</w:t>
            </w:r>
          </w:p>
        </w:tc>
      </w:tr>
      <w:tr w:rsidR="00EA4464" w:rsidRPr="002D0237" w:rsidTr="003F4228">
        <w:trPr>
          <w:trHeight w:val="1119"/>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Наличие/отсутствие валютных ограничений, валютный контроль</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Межгосударственное регулирование валютных ограничений</w:t>
            </w:r>
          </w:p>
        </w:tc>
      </w:tr>
      <w:tr w:rsidR="00EA4464" w:rsidRPr="002D0237" w:rsidTr="003F4228">
        <w:trPr>
          <w:trHeight w:val="1119"/>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Нац. регулирование международной валютной ликвидности страны</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Межгосударственное регулирование международной валютной ликвидности</w:t>
            </w:r>
          </w:p>
        </w:tc>
      </w:tr>
      <w:tr w:rsidR="00EA4464" w:rsidRPr="002D0237" w:rsidTr="003F4228">
        <w:trPr>
          <w:trHeight w:val="1104"/>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Регламентация использования международных кредитных средств обращения</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Унификация правил использования международных кредитных средств обращения</w:t>
            </w:r>
          </w:p>
        </w:tc>
      </w:tr>
      <w:tr w:rsidR="00EA4464" w:rsidRPr="002D0237" w:rsidTr="003F4228">
        <w:trPr>
          <w:trHeight w:val="741"/>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Регламентация международных расчетов страны</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Унификация правил основных форм международных расчетов</w:t>
            </w:r>
          </w:p>
        </w:tc>
      </w:tr>
      <w:tr w:rsidR="00EA4464" w:rsidRPr="002D0237" w:rsidTr="003F4228">
        <w:trPr>
          <w:trHeight w:val="1119"/>
        </w:trPr>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Режим нац. финансового, в т.ч. валютного, рынка и рынка золота</w:t>
            </w:r>
          </w:p>
        </w:tc>
        <w:tc>
          <w:tcPr>
            <w:tcW w:w="5661" w:type="dxa"/>
          </w:tcPr>
          <w:p w:rsidR="00EA4464" w:rsidRPr="002D0237" w:rsidRDefault="00EA4464" w:rsidP="00FB2F28">
            <w:pPr>
              <w:ind w:firstLine="142"/>
              <w:jc w:val="both"/>
              <w:rPr>
                <w:rFonts w:ascii="Arial" w:hAnsi="Arial" w:cs="Arial"/>
                <w:sz w:val="28"/>
                <w:szCs w:val="28"/>
              </w:rPr>
            </w:pPr>
            <w:r w:rsidRPr="002D0237">
              <w:rPr>
                <w:rFonts w:ascii="Arial" w:hAnsi="Arial" w:cs="Arial"/>
                <w:sz w:val="28"/>
                <w:szCs w:val="28"/>
              </w:rPr>
              <w:t>Режим мирового финансового, в т.ч. валютного, рынка и рынка золота</w:t>
            </w:r>
          </w:p>
        </w:tc>
      </w:tr>
    </w:tbl>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 Валютный курс и факторы, влияющие на его формирование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Валютный курс — важный элемент международных валютных отношений — необходим для:взаимной торговли валютами при платежно-расчетном обслуживании международных экономических отношений; сравнения цен мировых и национальных рынков, а также стоимостных показателей разных стран, выраженных в национальных или иностранных валютах;периодической переоценки счетов в иностранной валюте корпораций, банков, государства.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Валютный курс — "цена" денежной единицы одной страны, выраженная в иностранной валюте.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Факторы, влияющие на валютный курс:</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 xml:space="preserve">Темп инфляции. Чем выше темп инфляции в стране, тем ниже курс се валюты, если не противодействуют иные факторы. Инфляционное обесценение денег в стране вызывает снижение покупательной способности и тенденцию к падению их курса к валютам стран, где темп инфляции ниже.Наиболее тесная связь между динамикой валютного курса и инфляцией проявляется при расчете курса на базе экспортных цен. </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Состояние платежного баланса. Активный платежный баланс способствует повышению курса национальной валюты, если увеличивается спрос на нее со стороны иностранных должников. Пассивный платежный баланс порождает тенденцию к снижению курса национальной валюты, так как должники продают ее на иностранную валюту для погашения своих внешних обязательств.</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Разница процентных ставок в разных странах. Влияние этого фактора на валютный курс объясняется двумя основными обстоятельствами: во-первых, изменение процентных ставок в стране воздействует при прочих равных условиях на международное движение капиталов, прежде всего краткосрочных; во-вторых, процентные ставки влияют на операции финансовых рынков.</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Деятельность финансовых, в том числе валютных, рынков и спекулятивные валютные операции. Если курс валюты имеет тенденцию к понижению, то фирмы и банки заблаговременно продают ее на более устойчивые валюты, что ухудшает позиции ослабленной валюты.</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Степень использования определенной валюты на мировом финансовом рынке и в международных расчетах.</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Воздействие ускорения или задержки международных платежей на курсовое соотношение валют. В ожидании снижения курса национальной валюты импортеры стремятся ускорить платежи контрагентам в иностранной валюте, чтобы не нести потерь при повышении ее курса, а экспортеры задерживают репатриацию валютной выручки. И наоборот.</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Степень доверия к валюте на национальных и мировом рынках. Она определяется состоянием экономики и политической обстановкой в стране, а также рассмотренными выше факторами, воздействующими на валютный курс.</w:t>
      </w:r>
    </w:p>
    <w:p w:rsidR="00EA4464" w:rsidRPr="002D0237" w:rsidRDefault="00EA4464" w:rsidP="00FB2F28">
      <w:pPr>
        <w:pStyle w:val="a3"/>
        <w:numPr>
          <w:ilvl w:val="0"/>
          <w:numId w:val="1"/>
        </w:numPr>
        <w:spacing w:after="0" w:line="240" w:lineRule="auto"/>
        <w:ind w:left="0" w:firstLine="142"/>
        <w:jc w:val="both"/>
        <w:rPr>
          <w:rFonts w:ascii="Arial" w:hAnsi="Arial" w:cs="Arial"/>
          <w:sz w:val="28"/>
          <w:szCs w:val="28"/>
        </w:rPr>
      </w:pPr>
      <w:r w:rsidRPr="002D0237">
        <w:rPr>
          <w:rFonts w:ascii="Arial" w:hAnsi="Arial" w:cs="Arial"/>
          <w:sz w:val="28"/>
          <w:szCs w:val="28"/>
        </w:rPr>
        <w:t>Рыночное и государственное регулирование валютного курса.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Таким образом, формирование валютного курса — многофакторный процесс, обусловленный взаимосвязью национальной и мировой экономики и политики.</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4. Виды валютных курсов и виды конвертируемости валют</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Как режим валютного курса, так и степень конвертируемости валют, являются элементами валютной системы. Рассмотрим их по порядку.</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Режим валютного курса — важный элемент валютной системы. Различаются фиксированные валютные курсы, колеблющиеся в узких рамках; плавающие курсы (свободного плавания и управляемого плавания), изменяющиеся в зависимости от рыночного спроса и предложения валюты, а также их разновидности; валютный коридор; коллективного плавания.</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Также можно выделить еще несколько видов валютных курсов, такие как:</w:t>
      </w:r>
    </w:p>
    <w:p w:rsidR="00EA4464" w:rsidRPr="002D0237" w:rsidRDefault="00EA4464" w:rsidP="00FB2F28">
      <w:pPr>
        <w:pStyle w:val="a3"/>
        <w:numPr>
          <w:ilvl w:val="0"/>
          <w:numId w:val="3"/>
        </w:numPr>
        <w:spacing w:after="0" w:line="240" w:lineRule="auto"/>
        <w:ind w:left="0" w:firstLine="142"/>
        <w:jc w:val="both"/>
        <w:rPr>
          <w:rFonts w:ascii="Arial" w:hAnsi="Arial" w:cs="Arial"/>
          <w:sz w:val="28"/>
          <w:szCs w:val="28"/>
        </w:rPr>
      </w:pPr>
      <w:r w:rsidRPr="002D0237">
        <w:rPr>
          <w:rFonts w:ascii="Arial" w:hAnsi="Arial" w:cs="Arial"/>
          <w:sz w:val="28"/>
          <w:szCs w:val="28"/>
        </w:rPr>
        <w:t>кросс-курс — это соотношение между двумя валютами, которое вытекает из их курса по отношению к третьей валюте;</w:t>
      </w:r>
    </w:p>
    <w:p w:rsidR="00EA4464" w:rsidRPr="002D0237" w:rsidRDefault="00EA4464" w:rsidP="00FB2F28">
      <w:pPr>
        <w:pStyle w:val="a3"/>
        <w:numPr>
          <w:ilvl w:val="0"/>
          <w:numId w:val="3"/>
        </w:numPr>
        <w:spacing w:after="0" w:line="240" w:lineRule="auto"/>
        <w:ind w:left="0" w:firstLine="142"/>
        <w:jc w:val="both"/>
        <w:rPr>
          <w:rFonts w:ascii="Arial" w:hAnsi="Arial" w:cs="Arial"/>
          <w:sz w:val="28"/>
          <w:szCs w:val="28"/>
        </w:rPr>
      </w:pPr>
      <w:r w:rsidRPr="002D0237">
        <w:rPr>
          <w:rFonts w:ascii="Arial" w:hAnsi="Arial" w:cs="Arial"/>
          <w:sz w:val="28"/>
          <w:szCs w:val="28"/>
        </w:rPr>
        <w:t>текущий — это курс наличной, т. е. кассовой сделки. По нему производятся расчеты в течение двух дней;</w:t>
      </w:r>
    </w:p>
    <w:p w:rsidR="00EA4464" w:rsidRPr="002D0237" w:rsidRDefault="00EA4464" w:rsidP="00FB2F28">
      <w:pPr>
        <w:pStyle w:val="a3"/>
        <w:numPr>
          <w:ilvl w:val="0"/>
          <w:numId w:val="3"/>
        </w:numPr>
        <w:spacing w:after="0" w:line="240" w:lineRule="auto"/>
        <w:ind w:left="0" w:firstLine="142"/>
        <w:jc w:val="both"/>
        <w:rPr>
          <w:rFonts w:ascii="Arial" w:hAnsi="Arial" w:cs="Arial"/>
          <w:sz w:val="28"/>
          <w:szCs w:val="28"/>
        </w:rPr>
      </w:pPr>
      <w:r w:rsidRPr="002D0237">
        <w:rPr>
          <w:rFonts w:ascii="Arial" w:hAnsi="Arial" w:cs="Arial"/>
          <w:sz w:val="28"/>
          <w:szCs w:val="28"/>
        </w:rPr>
        <w:t>форвардный или курс срочной сделки, — это курс для расчета по валютному (форвардному) контракту через определенное время после заключения контракта.</w:t>
      </w:r>
    </w:p>
    <w:p w:rsidR="00EA4464" w:rsidRPr="002D0237" w:rsidRDefault="00EA4464" w:rsidP="00FB2F28">
      <w:pPr>
        <w:pStyle w:val="a3"/>
        <w:numPr>
          <w:ilvl w:val="0"/>
          <w:numId w:val="3"/>
        </w:numPr>
        <w:spacing w:after="0" w:line="240" w:lineRule="auto"/>
        <w:ind w:left="0" w:firstLine="142"/>
        <w:jc w:val="both"/>
        <w:rPr>
          <w:rFonts w:ascii="Arial" w:hAnsi="Arial" w:cs="Arial"/>
          <w:sz w:val="28"/>
          <w:szCs w:val="28"/>
        </w:rPr>
      </w:pPr>
      <w:r w:rsidRPr="002D0237">
        <w:rPr>
          <w:rFonts w:ascii="Arial" w:hAnsi="Arial" w:cs="Arial"/>
          <w:sz w:val="28"/>
          <w:szCs w:val="28"/>
        </w:rPr>
        <w:t>спот-курс — цена валюты одной страны, выраженная в валюте другой страны, установленная на момент заключения сделки (при условии обмена валютами банками контрагентами на второй рабочий, деловой, банковский день со дня заключения сделки)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Следующий элемент валютной системы характеризует степень конвертируемости национальных валют, т.е. обмена на иностранные. Различаются:</w:t>
      </w:r>
    </w:p>
    <w:p w:rsidR="00EA4464" w:rsidRPr="002D0237" w:rsidRDefault="00EA4464" w:rsidP="00FB2F28">
      <w:pPr>
        <w:pStyle w:val="a3"/>
        <w:numPr>
          <w:ilvl w:val="0"/>
          <w:numId w:val="4"/>
        </w:numPr>
        <w:spacing w:after="0" w:line="240" w:lineRule="auto"/>
        <w:ind w:left="0" w:firstLine="142"/>
        <w:jc w:val="both"/>
        <w:rPr>
          <w:rFonts w:ascii="Arial" w:hAnsi="Arial" w:cs="Arial"/>
          <w:sz w:val="28"/>
          <w:szCs w:val="28"/>
        </w:rPr>
      </w:pPr>
      <w:r w:rsidRPr="002D0237">
        <w:rPr>
          <w:rFonts w:ascii="Arial" w:hAnsi="Arial" w:cs="Arial"/>
          <w:sz w:val="28"/>
          <w:szCs w:val="28"/>
        </w:rPr>
        <w:t>свободно конвертируемые валюты, без ограничений обмениваемые на любые иностранные валюты. В редакции Устава МВФ (1978 г.) введен статус "свободно используемая валюта", присваиваемый ведущим валютам разного ранга. Такая валюта свободно и без ограничений обменивается на другие иностранные валюты, т. е. обладает полной внешней и внутренней обратимостью. Сфера обмена СКВ распространяется как на текущие операции (операции, связанные с осуществлением экспорта-импорта товаров и услуг), так и на операции, связанные с движением капиталов, например, получением внешних кредитов или иностранных инвестиций.</w:t>
      </w:r>
    </w:p>
    <w:p w:rsidR="00EA4464" w:rsidRPr="002D0237" w:rsidRDefault="00EA4464" w:rsidP="00FB2F28">
      <w:pPr>
        <w:pStyle w:val="a3"/>
        <w:numPr>
          <w:ilvl w:val="0"/>
          <w:numId w:val="4"/>
        </w:numPr>
        <w:spacing w:after="0" w:line="240" w:lineRule="auto"/>
        <w:ind w:left="0" w:firstLine="142"/>
        <w:jc w:val="both"/>
        <w:rPr>
          <w:rFonts w:ascii="Arial" w:hAnsi="Arial" w:cs="Arial"/>
          <w:sz w:val="28"/>
          <w:szCs w:val="28"/>
        </w:rPr>
      </w:pPr>
      <w:r w:rsidRPr="002D0237">
        <w:rPr>
          <w:rFonts w:ascii="Arial" w:hAnsi="Arial" w:cs="Arial"/>
          <w:sz w:val="28"/>
          <w:szCs w:val="28"/>
        </w:rPr>
        <w:t>частично конвертируемые валюты стран, где сохраняются валютные ограничения по движению капиталов и кредитов. К таким валютам относятся национальные валюты тех стран, в которых применяются валютные ограничения для резидентов, а также по отдельным видам обменных операций. Например, частично конвертируемым является российский рубль.</w:t>
      </w:r>
    </w:p>
    <w:p w:rsidR="00EA4464" w:rsidRPr="002D0237" w:rsidRDefault="00EA4464" w:rsidP="00FB2F28">
      <w:pPr>
        <w:pStyle w:val="a3"/>
        <w:numPr>
          <w:ilvl w:val="0"/>
          <w:numId w:val="4"/>
        </w:numPr>
        <w:spacing w:after="0" w:line="240" w:lineRule="auto"/>
        <w:ind w:left="0" w:firstLine="142"/>
        <w:jc w:val="both"/>
        <w:rPr>
          <w:rFonts w:ascii="Arial" w:hAnsi="Arial" w:cs="Arial"/>
          <w:sz w:val="28"/>
          <w:szCs w:val="28"/>
        </w:rPr>
      </w:pPr>
      <w:r w:rsidRPr="002D0237">
        <w:rPr>
          <w:rFonts w:ascii="Arial" w:hAnsi="Arial" w:cs="Arial"/>
          <w:sz w:val="28"/>
          <w:szCs w:val="28"/>
        </w:rPr>
        <w:t>неконвертируемые (замкнутые) валюты стран, где для резидентов и нерезидентов введен запрет обмена валют. Это национальная валюта, которая функционирует только в пределах данной страны и не обменивается на иностранные валюты.</w:t>
      </w: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5. Роль золота в международных валютных отношениях</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Исторически функции мировых денег стихийно закрепились за золотом и серебром, а в рамках Парижской валютной системы (1867 г.) — только за золотом. Демонетизация золота — процесс постепенной утраты им денежных функций — обусловила значительные изменения его роли как монетарного товара. Этот процесс длительный, как и демонетизация серебра, которая продолжалась несколько столетий до конца XIX в. Демонетизация золота проявилась с конца XIX 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Демонетизация золота обусловлена объективными и субъективными причинами.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Золотые деньги не соответствуют потребностям современного хозяйства, когда преодолена экономическая обособленность товаропроизводителей в связи с тенденцией к обобществлению и планомерности даже в рамках частной собственности.</w:t>
      </w:r>
      <w:r w:rsidR="003F4228">
        <w:rPr>
          <w:rFonts w:ascii="Arial" w:hAnsi="Arial" w:cs="Arial"/>
          <w:sz w:val="28"/>
          <w:szCs w:val="28"/>
        </w:rPr>
        <w:t xml:space="preserve"> </w:t>
      </w:r>
      <w:r w:rsidRPr="002D0237">
        <w:rPr>
          <w:rFonts w:ascii="Arial" w:hAnsi="Arial" w:cs="Arial"/>
          <w:sz w:val="28"/>
          <w:szCs w:val="28"/>
        </w:rPr>
        <w:t>2. С развитием кредитных отношений кредитные деньги — банкноты, векселя, чеки — постепенно вытеснили золото вначале из внутреннего денежного обращения, а затем из международных валютных отношений.</w:t>
      </w:r>
      <w:r w:rsidR="003F4228">
        <w:rPr>
          <w:rFonts w:ascii="Arial" w:hAnsi="Arial" w:cs="Arial"/>
          <w:sz w:val="28"/>
          <w:szCs w:val="28"/>
        </w:rPr>
        <w:t xml:space="preserve"> </w:t>
      </w:r>
      <w:r w:rsidRPr="002D0237">
        <w:rPr>
          <w:rFonts w:ascii="Arial" w:hAnsi="Arial" w:cs="Arial"/>
          <w:sz w:val="28"/>
          <w:szCs w:val="28"/>
        </w:rPr>
        <w:t>3. Субъективные факторы — прежде всего валютная политика США, государственное регулирование операций с золотом — ускоряют его демонетизацию.</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Различаются два аспекта демонетизации золота: юридический и фактический. Ямайская валютная реформа зафиксировала юридическое завершение демонетизации. В измененном Уставе МВФ исключена любая ссылка на золото при определении паритетов и курсов валют, отменены золотые паритеты и официальная цена золота, однако отсутствует прямое отрицание золота как международного резервного актива. Фактически демонетизация золота не завершена. Вопрос о роли золота решается не законодательными актами и волевыми решениями, а реальными потребностями рыночной экономики.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Рассмотрим основные изменения роли золота в валютной сфере.</w:t>
      </w:r>
    </w:p>
    <w:p w:rsidR="00EA4464" w:rsidRPr="002D0237" w:rsidRDefault="00EA4464" w:rsidP="00FB2F28">
      <w:pPr>
        <w:pStyle w:val="a3"/>
        <w:numPr>
          <w:ilvl w:val="0"/>
          <w:numId w:val="2"/>
        </w:numPr>
        <w:spacing w:after="0" w:line="240" w:lineRule="auto"/>
        <w:ind w:left="0" w:firstLine="142"/>
        <w:jc w:val="both"/>
        <w:rPr>
          <w:rFonts w:ascii="Arial" w:hAnsi="Arial" w:cs="Arial"/>
          <w:sz w:val="28"/>
          <w:szCs w:val="28"/>
        </w:rPr>
      </w:pPr>
      <w:r w:rsidRPr="002D0237">
        <w:rPr>
          <w:rFonts w:ascii="Arial" w:hAnsi="Arial" w:cs="Arial"/>
          <w:sz w:val="28"/>
          <w:szCs w:val="28"/>
        </w:rPr>
        <w:t>Кредитные деньги вытеснили золото из внутреннего и международного оборота. Однако золото сохраняет важную роль реальных резервных активов, чрезвычайного международного платежного средства обеспечения международных кредитов, воплощения богатства. Участие золота в международных валютных отношениях опосредуется неразменными кредитными деньгами и сосредоточено на рынках золота.</w:t>
      </w:r>
    </w:p>
    <w:p w:rsidR="00EA4464" w:rsidRPr="002D0237" w:rsidRDefault="00EA4464" w:rsidP="00FB2F28">
      <w:pPr>
        <w:pStyle w:val="a3"/>
        <w:numPr>
          <w:ilvl w:val="0"/>
          <w:numId w:val="2"/>
        </w:numPr>
        <w:spacing w:after="0" w:line="240" w:lineRule="auto"/>
        <w:ind w:left="0" w:firstLine="142"/>
        <w:jc w:val="both"/>
        <w:rPr>
          <w:rFonts w:ascii="Arial" w:hAnsi="Arial" w:cs="Arial"/>
          <w:sz w:val="28"/>
          <w:szCs w:val="28"/>
        </w:rPr>
      </w:pPr>
      <w:r w:rsidRPr="002D0237">
        <w:rPr>
          <w:rFonts w:ascii="Arial" w:hAnsi="Arial" w:cs="Arial"/>
          <w:sz w:val="28"/>
          <w:szCs w:val="28"/>
        </w:rPr>
        <w:t>Функция денег как международного резервного средства с уходом золота из обращения существенно изменилась. Золотые резервы выступают как своеобразный страховой фонд государства и частных лиц.</w:t>
      </w:r>
    </w:p>
    <w:p w:rsidR="00EA4464" w:rsidRPr="003F4228" w:rsidRDefault="00EA4464" w:rsidP="00FB2F28">
      <w:pPr>
        <w:pStyle w:val="a3"/>
        <w:numPr>
          <w:ilvl w:val="0"/>
          <w:numId w:val="2"/>
        </w:numPr>
        <w:spacing w:after="0" w:line="240" w:lineRule="auto"/>
        <w:ind w:left="0" w:firstLine="142"/>
        <w:jc w:val="both"/>
        <w:rPr>
          <w:rFonts w:ascii="Arial" w:hAnsi="Arial" w:cs="Arial"/>
          <w:sz w:val="28"/>
          <w:szCs w:val="28"/>
        </w:rPr>
      </w:pPr>
      <w:r w:rsidRPr="003F4228">
        <w:rPr>
          <w:rFonts w:ascii="Arial" w:hAnsi="Arial" w:cs="Arial"/>
          <w:sz w:val="28"/>
          <w:szCs w:val="28"/>
        </w:rPr>
        <w:t>В функции золота как мировых денег также произошли изменения: во-первых, отпала необходимость непосредственного его использования в международных расчетах; во-вторых, золото функционирует как мировые деньги, в качестве всеобщего покупательного, платежного и резервного средства. Имея монетарное золото, можно приобрести на рынках золота необходимые валюты, а на них — любые товары и погасить задолженность.</w:t>
      </w:r>
      <w:r w:rsidR="003F4228">
        <w:rPr>
          <w:rFonts w:ascii="Arial" w:hAnsi="Arial" w:cs="Arial"/>
          <w:sz w:val="28"/>
          <w:szCs w:val="28"/>
        </w:rPr>
        <w:t xml:space="preserve"> </w:t>
      </w:r>
      <w:r w:rsidRPr="003F4228">
        <w:rPr>
          <w:rFonts w:ascii="Arial" w:hAnsi="Arial" w:cs="Arial"/>
          <w:sz w:val="28"/>
          <w:szCs w:val="28"/>
        </w:rPr>
        <w:t>При кризисных ситуациях возрастает роль золота как чрезвычайных мировых денег. Валютные кризисы сопровождаются "бегством" от неустойчивых валют к золоту в форме "золотых лихорадок".</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Таким образом, золото и в современных условиях сохраняет определенные качества валютного металла, выполняя функцию международного резервного средства и чрезвычайного платежного средства.</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6. Тенденции развития международных валютных отношений в условиях глобализации, полицентризма и регионализации мировой экономики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Анализ международных валютных отношений в условиях глобализации, полицентризма и регионализации мировой экономики и современного мирового финансово-экономического кризиса позволяет выделить основные тенденции их развития.</w:t>
      </w:r>
      <w:r w:rsidR="003F4228">
        <w:rPr>
          <w:rFonts w:ascii="Arial" w:hAnsi="Arial" w:cs="Arial"/>
          <w:sz w:val="28"/>
          <w:szCs w:val="28"/>
        </w:rPr>
        <w:t xml:space="preserve"> // </w:t>
      </w:r>
      <w:r w:rsidRPr="002D0237">
        <w:rPr>
          <w:rFonts w:ascii="Arial" w:hAnsi="Arial" w:cs="Arial"/>
          <w:sz w:val="28"/>
          <w:szCs w:val="28"/>
          <w:u w:val="single"/>
        </w:rPr>
        <w:t>Тенденция развития валютной глобализации</w:t>
      </w:r>
      <w:r w:rsidRPr="002D0237">
        <w:rPr>
          <w:rFonts w:ascii="Arial" w:hAnsi="Arial" w:cs="Arial"/>
          <w:sz w:val="28"/>
          <w:szCs w:val="28"/>
        </w:rPr>
        <w:t xml:space="preserve"> — высшей степени интернационализации валютных отношений вширь и вглубь. Эта тенденция обусловлена модификацией процесса воспроизводства в условиях глобализации мировой экономики, которая заключается в отставании производственного (реального) сектора от бурного развития финансового сектора. Это проявляется в опережении финансовой, в том числе валютной, глобализации по сравнению с глобализацией в сфере материального производства.</w:t>
      </w:r>
      <w:r w:rsidR="003F4228">
        <w:rPr>
          <w:rFonts w:ascii="Arial" w:hAnsi="Arial" w:cs="Arial"/>
          <w:sz w:val="28"/>
          <w:szCs w:val="28"/>
        </w:rPr>
        <w:t xml:space="preserve">// </w:t>
      </w:r>
      <w:r w:rsidRPr="002D0237">
        <w:rPr>
          <w:rFonts w:ascii="Arial" w:hAnsi="Arial" w:cs="Arial"/>
          <w:sz w:val="28"/>
          <w:szCs w:val="28"/>
          <w:u w:val="single"/>
        </w:rPr>
        <w:t>Валютный полицентризм</w:t>
      </w:r>
      <w:r w:rsidRPr="002D0237">
        <w:rPr>
          <w:rFonts w:ascii="Arial" w:hAnsi="Arial" w:cs="Arial"/>
          <w:sz w:val="28"/>
          <w:szCs w:val="28"/>
        </w:rPr>
        <w:t xml:space="preserve"> — переход от долларового монополизма, сформировавшегося после Второй мировой войны, к валютному полицентризму — использованию нескольких конкурирующих валют в качестве мировых денег — стал развиваться в результате формирования трех мировых финансовых центров США, Западной Европы, Японии с конца 1960-х гг.</w:t>
      </w:r>
      <w:r w:rsidR="003F4228">
        <w:rPr>
          <w:rFonts w:ascii="Arial" w:hAnsi="Arial" w:cs="Arial"/>
          <w:sz w:val="28"/>
          <w:szCs w:val="28"/>
        </w:rPr>
        <w:t xml:space="preserve">// </w:t>
      </w:r>
      <w:r w:rsidRPr="002D0237">
        <w:rPr>
          <w:rFonts w:ascii="Arial" w:hAnsi="Arial" w:cs="Arial"/>
          <w:sz w:val="28"/>
          <w:szCs w:val="28"/>
        </w:rPr>
        <w:t xml:space="preserve">Развитие валютного полицентризма связано с </w:t>
      </w:r>
      <w:r w:rsidRPr="002D0237">
        <w:rPr>
          <w:rFonts w:ascii="Arial" w:hAnsi="Arial" w:cs="Arial"/>
          <w:sz w:val="28"/>
          <w:szCs w:val="28"/>
          <w:u w:val="single"/>
        </w:rPr>
        <w:t>тенденцией регионализации в международных валютных отношениях.</w:t>
      </w:r>
      <w:r w:rsidRPr="002D0237">
        <w:rPr>
          <w:rFonts w:ascii="Arial" w:hAnsi="Arial" w:cs="Arial"/>
          <w:sz w:val="28"/>
          <w:szCs w:val="28"/>
        </w:rPr>
        <w:t xml:space="preserve"> Эта тенденция проявляется в использовании региональных валют, чаще региональных валютных единиц в интеграционных экономических объединениях в различных регионах. Отличительной чертой валютного регионализма является его поэтапное развитие. В числе основных этапов формирования региональной экономической интеграции — создание зоны свободной торговли с использованием национальных валют в международных расчетах стран-участниц, затем Таможенного союза и Единого экономического пространства на основе отмены ограничений в сфере движения товаров, услуг, рабочей силы, капиталов.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u w:val="single"/>
        </w:rPr>
        <w:t>Тенденция поиска наднациональной валюты.</w:t>
      </w:r>
      <w:r w:rsidRPr="002D0237">
        <w:rPr>
          <w:rFonts w:ascii="Arial" w:hAnsi="Arial" w:cs="Arial"/>
          <w:sz w:val="28"/>
          <w:szCs w:val="28"/>
        </w:rPr>
        <w:t>В условиях отмены золотого стандарта в период мирового экономического кризиса 1929—1933 гг. и демонетизации золота в мировой валютной системе сохранилась тенденция к поиску наднациональной валюты в качестве альтернативы нестабильных национальных валют, используемых в качестве мировых.</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u w:val="single"/>
        </w:rPr>
        <w:t>Тенденция использования золота.</w:t>
      </w:r>
      <w:r w:rsidRPr="002D0237">
        <w:rPr>
          <w:rFonts w:ascii="Arial" w:hAnsi="Arial" w:cs="Arial"/>
          <w:sz w:val="28"/>
          <w:szCs w:val="28"/>
        </w:rPr>
        <w:t>Данная устойчивая тенденция сохранилась в международных экономических отношениях, и она периодически усиливается при кризисных потрясениях национальных и мировых экономик.</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u w:val="single"/>
        </w:rPr>
        <w:t>Глобализация регулирования международных валютных отношений.</w:t>
      </w:r>
      <w:r w:rsidRPr="002D0237">
        <w:rPr>
          <w:rFonts w:ascii="Arial" w:hAnsi="Arial" w:cs="Arial"/>
          <w:sz w:val="28"/>
          <w:szCs w:val="28"/>
        </w:rPr>
        <w:t>С середины 1970-х гг. в дополнение к МВФ межгосударственное валютное регулирование осуществляется в форме рекомендаций совещаний на высшем уровне — "Группы 7", "Группы 8", "Группы 20". В условиях современного кризиса рекомендации наиболее представительной "Группы 20" приобрели обязательный и отчасти наднациональный уровень.</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u w:val="single"/>
        </w:rPr>
        <w:t>Тенденция к изменению формы организации международных валютных отношений</w:t>
      </w:r>
      <w:r w:rsidRPr="002D0237">
        <w:rPr>
          <w:rFonts w:ascii="Arial" w:hAnsi="Arial" w:cs="Arial"/>
          <w:sz w:val="28"/>
          <w:szCs w:val="28"/>
        </w:rPr>
        <w:t xml:space="preserve"> проявляется в периодических реформах мировой валютной системы в связи с требованиями мировой экономики, новой расстановкой сил между мировыми экономическими и финансовыми центрами.</w:t>
      </w: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7. Парижская и Генуэзская международные валютные системы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Первая мировая валютная система была создана во второй половине XIX в. Создание мировой системы было оформлено межгосударственным соглашением Англии, Франции, США на Парижской конференции в 1867 г. В тот период золото непосредственно выполняло все функции денег, денежная и валютная системы — национальная и мировая — были тождественны, с той лишь разницей, что монеты, выходя на мировой рынок, сбрасывали "национальные мундиры" и принимались в платежи по весу. Тем самым золото стало наднациональными мировыми деньгами.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Парижская валютная система базировалась на следующих структурных принципах.</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Ее основой являлся золотомонетный стандарт.</w:t>
      </w:r>
      <w:r w:rsidR="003F4228">
        <w:rPr>
          <w:rFonts w:ascii="Arial" w:hAnsi="Arial" w:cs="Arial"/>
          <w:sz w:val="28"/>
          <w:szCs w:val="28"/>
        </w:rPr>
        <w:t xml:space="preserve"> </w:t>
      </w:r>
      <w:r w:rsidRPr="002D0237">
        <w:rPr>
          <w:rFonts w:ascii="Arial" w:hAnsi="Arial" w:cs="Arial"/>
          <w:sz w:val="28"/>
          <w:szCs w:val="28"/>
        </w:rPr>
        <w:t>2. Большинство валют имело золотое содержание. В соответствии с золотым содержанием валют устанавливались их золотые паритеты. Валюты свободно конвертировались в золото. Золото использовалось как наднациональные мировые деньги для погашения дефицита платежного баланса.</w:t>
      </w:r>
      <w:r w:rsidR="003F4228">
        <w:rPr>
          <w:rFonts w:ascii="Arial" w:hAnsi="Arial" w:cs="Arial"/>
          <w:sz w:val="28"/>
          <w:szCs w:val="28"/>
        </w:rPr>
        <w:t xml:space="preserve"> </w:t>
      </w:r>
      <w:r w:rsidRPr="002D0237">
        <w:rPr>
          <w:rFonts w:ascii="Arial" w:hAnsi="Arial" w:cs="Arial"/>
          <w:sz w:val="28"/>
          <w:szCs w:val="28"/>
        </w:rPr>
        <w:t>3. Практиковался режим свободно плавающих курсов валют с учетом рыночного спроса и предложения, но в пределах золотых точек. Если рыночный курс национальной валюты падал ниже паритета, основанного на золотом содержании котируемых валют, то должники предпочитали расплачиваться по международным обязательствам золотом, а не иностранными валютами.</w:t>
      </w:r>
      <w:r w:rsidR="003F4228">
        <w:rPr>
          <w:rFonts w:ascii="Arial" w:hAnsi="Arial" w:cs="Arial"/>
          <w:sz w:val="28"/>
          <w:szCs w:val="28"/>
        </w:rPr>
        <w:t xml:space="preserve"> </w:t>
      </w:r>
      <w:r w:rsidRPr="002D0237">
        <w:rPr>
          <w:rFonts w:ascii="Arial" w:hAnsi="Arial" w:cs="Arial"/>
          <w:sz w:val="28"/>
          <w:szCs w:val="28"/>
        </w:rPr>
        <w:t>4. Юридической основой валютной системы служило Парижское межгосударственное соглашение 1867 г.</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Но постепенно кредитные деньги вытесняли золото. </w:t>
      </w:r>
      <w:r w:rsidR="006E4906">
        <w:rPr>
          <w:rFonts w:ascii="Arial" w:hAnsi="Arial" w:cs="Arial"/>
          <w:sz w:val="28"/>
          <w:szCs w:val="28"/>
        </w:rPr>
        <w:t>А</w:t>
      </w:r>
      <w:r w:rsidRPr="002D0237">
        <w:rPr>
          <w:rFonts w:ascii="Arial" w:hAnsi="Arial" w:cs="Arial"/>
          <w:sz w:val="28"/>
          <w:szCs w:val="28"/>
        </w:rPr>
        <w:t xml:space="preserve"> регулирующий механизм золотомонетного стандарта переставал действовать при эк</w:t>
      </w:r>
      <w:r w:rsidR="006E4906">
        <w:rPr>
          <w:rFonts w:ascii="Arial" w:hAnsi="Arial" w:cs="Arial"/>
          <w:sz w:val="28"/>
          <w:szCs w:val="28"/>
        </w:rPr>
        <w:t>.</w:t>
      </w:r>
      <w:r w:rsidRPr="002D0237">
        <w:rPr>
          <w:rFonts w:ascii="Arial" w:hAnsi="Arial" w:cs="Arial"/>
          <w:sz w:val="28"/>
          <w:szCs w:val="28"/>
        </w:rPr>
        <w:t xml:space="preserve"> кризисах. Постепенно золотой стандарт (в золотомонетной форме) изжил себя, так как не соответствовал масштабам интернационализации хозяйственных связей и условиям регулирования экономики не только рынком, но и государством. </w:t>
      </w:r>
      <w:r w:rsidR="006E4906">
        <w:rPr>
          <w:rFonts w:ascii="Arial" w:hAnsi="Arial" w:cs="Arial"/>
          <w:sz w:val="28"/>
          <w:szCs w:val="28"/>
        </w:rPr>
        <w:t>1</w:t>
      </w:r>
      <w:r w:rsidRPr="002D0237">
        <w:rPr>
          <w:rFonts w:ascii="Arial" w:hAnsi="Arial" w:cs="Arial"/>
          <w:sz w:val="28"/>
          <w:szCs w:val="28"/>
        </w:rPr>
        <w:t xml:space="preserve"> мировая война ознаменовалась кризисом мировой валютной системы. Непосредственной причиной валютного кризиса стала военная и послевоенная разруха. После войны возник длительный период валютного хаоса.</w:t>
      </w:r>
      <w:r w:rsidR="006E4906">
        <w:rPr>
          <w:rFonts w:ascii="Arial" w:hAnsi="Arial" w:cs="Arial"/>
          <w:sz w:val="28"/>
          <w:szCs w:val="28"/>
        </w:rPr>
        <w:t xml:space="preserve">// </w:t>
      </w:r>
      <w:r w:rsidRPr="002D0237">
        <w:rPr>
          <w:rFonts w:ascii="Arial" w:hAnsi="Arial" w:cs="Arial"/>
          <w:sz w:val="28"/>
          <w:szCs w:val="28"/>
        </w:rPr>
        <w:t>Вторая мировая валютная система была оформлена межгосударственным соглашением, достигнутым на Генуэзской международной экономической конференции в 1922 г.</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Генуэзская валютная система функционировала на следующих </w:t>
      </w:r>
      <w:r w:rsidRPr="006E4906">
        <w:rPr>
          <w:rFonts w:ascii="Arial" w:hAnsi="Arial" w:cs="Arial"/>
          <w:b/>
          <w:sz w:val="28"/>
          <w:szCs w:val="28"/>
        </w:rPr>
        <w:t>принципах</w:t>
      </w:r>
      <w:r w:rsidRPr="002D0237">
        <w:rPr>
          <w:rFonts w:ascii="Arial" w:hAnsi="Arial" w:cs="Arial"/>
          <w:sz w:val="28"/>
          <w:szCs w:val="28"/>
        </w:rPr>
        <w:t>.</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1. Ее основой стал </w:t>
      </w:r>
      <w:r w:rsidRPr="006E4906">
        <w:rPr>
          <w:rFonts w:ascii="Arial" w:hAnsi="Arial" w:cs="Arial"/>
          <w:b/>
          <w:sz w:val="28"/>
          <w:szCs w:val="28"/>
        </w:rPr>
        <w:t>золотодевизный стандарт</w:t>
      </w:r>
      <w:r w:rsidRPr="002D0237">
        <w:rPr>
          <w:rFonts w:ascii="Arial" w:hAnsi="Arial" w:cs="Arial"/>
          <w:sz w:val="28"/>
          <w:szCs w:val="28"/>
        </w:rPr>
        <w:t>, основанный на золоте и ведущих валютах, конвертируемых в золото (по предложению англосаксонских экспертов).</w:t>
      </w:r>
      <w:r w:rsidR="006E4906">
        <w:rPr>
          <w:rFonts w:ascii="Arial" w:hAnsi="Arial" w:cs="Arial"/>
          <w:sz w:val="28"/>
          <w:szCs w:val="28"/>
        </w:rPr>
        <w:br/>
        <w:t xml:space="preserve"> </w:t>
      </w:r>
      <w:r w:rsidRPr="002D0237">
        <w:rPr>
          <w:rFonts w:ascii="Arial" w:hAnsi="Arial" w:cs="Arial"/>
          <w:sz w:val="28"/>
          <w:szCs w:val="28"/>
        </w:rPr>
        <w:t xml:space="preserve">2. Сохранены </w:t>
      </w:r>
      <w:r w:rsidRPr="006E4906">
        <w:rPr>
          <w:rFonts w:ascii="Arial" w:hAnsi="Arial" w:cs="Arial"/>
          <w:b/>
          <w:sz w:val="28"/>
          <w:szCs w:val="28"/>
        </w:rPr>
        <w:t>золотые паритеты</w:t>
      </w:r>
      <w:r w:rsidRPr="002D0237">
        <w:rPr>
          <w:rFonts w:ascii="Arial" w:hAnsi="Arial" w:cs="Arial"/>
          <w:sz w:val="28"/>
          <w:szCs w:val="28"/>
        </w:rPr>
        <w:t>. Обмен валют на золото осуществлялся не только непосредственно в странах, где сохранился золотомонетный стандарт (США) или введен золотослитковый стандарт (Франция, Великобритания), но и косвенно через иностранные валюты (Германия и еще около 30 стран, где денежная система базировалась на золотодевизном стандарте).</w:t>
      </w:r>
      <w:r w:rsidR="006E4906">
        <w:rPr>
          <w:rFonts w:ascii="Arial" w:hAnsi="Arial" w:cs="Arial"/>
          <w:sz w:val="28"/>
          <w:szCs w:val="28"/>
        </w:rPr>
        <w:t xml:space="preserve"> </w:t>
      </w:r>
      <w:r w:rsidRPr="002D0237">
        <w:rPr>
          <w:rFonts w:ascii="Arial" w:hAnsi="Arial" w:cs="Arial"/>
          <w:sz w:val="28"/>
          <w:szCs w:val="28"/>
        </w:rPr>
        <w:t xml:space="preserve">3. Восстановлен </w:t>
      </w:r>
      <w:r w:rsidRPr="006E4906">
        <w:rPr>
          <w:rFonts w:ascii="Arial" w:hAnsi="Arial" w:cs="Arial"/>
          <w:b/>
          <w:sz w:val="28"/>
          <w:szCs w:val="28"/>
        </w:rPr>
        <w:t>режим свободно колеблющихся валютных курсов</w:t>
      </w:r>
      <w:r w:rsidRPr="002D0237">
        <w:rPr>
          <w:rFonts w:ascii="Arial" w:hAnsi="Arial" w:cs="Arial"/>
          <w:sz w:val="28"/>
          <w:szCs w:val="28"/>
        </w:rPr>
        <w:t>.</w:t>
      </w:r>
      <w:r w:rsidR="006E4906">
        <w:rPr>
          <w:rFonts w:ascii="Arial" w:hAnsi="Arial" w:cs="Arial"/>
          <w:sz w:val="28"/>
          <w:szCs w:val="28"/>
        </w:rPr>
        <w:t xml:space="preserve"> </w:t>
      </w:r>
      <w:r w:rsidRPr="002D0237">
        <w:rPr>
          <w:rFonts w:ascii="Arial" w:hAnsi="Arial" w:cs="Arial"/>
          <w:sz w:val="28"/>
          <w:szCs w:val="28"/>
        </w:rPr>
        <w:t>4. Юридической основой этой валютной системы было Генуэзское межгосударственное соглашение 1922 г.</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1929 г. начался мировой валютный кризис, а Вторая мировая война привела к углублению кризиса Генуэзской валютной системы, и тогда же уже началась разработка проекта реформы мировой валютной системы.</w:t>
      </w: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8. Бреттон-Вудская международная валютная система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Создание новой мировой валютной системы после Второй мировой войны было обусловлено следующими основными причинами: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1. Необходимость валютной стабилизации в целях послевоенного восстановления и развития экономики.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2. Углубление кризиса Генуэзской валютной системы.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3. Очередное изменение соотношения сил в мире в итоге Второй мировой войны.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результате долгих дискуссий по планам Г. Д. Уайта (США) и Дж. М. Кейнса (Великобритания) победил американский проект, хотя кейнсианские идеи межгосударственного валютного регулирования были также положены в основу Бреттон-Вудской системы.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Для обоих валютных проектов характерны общие принципы:</w:t>
      </w:r>
      <w:r w:rsidR="006E4906">
        <w:rPr>
          <w:rFonts w:ascii="Arial" w:hAnsi="Arial" w:cs="Arial"/>
          <w:sz w:val="28"/>
          <w:szCs w:val="28"/>
        </w:rPr>
        <w:t xml:space="preserve"> </w:t>
      </w:r>
      <w:r w:rsidRPr="002D0237">
        <w:rPr>
          <w:rFonts w:ascii="Arial" w:hAnsi="Arial" w:cs="Arial"/>
          <w:sz w:val="28"/>
          <w:szCs w:val="28"/>
        </w:rPr>
        <w:t>• либерализация мировой торговли и движения капиталов;</w:t>
      </w:r>
      <w:r w:rsidR="006E4906">
        <w:rPr>
          <w:rFonts w:ascii="Arial" w:hAnsi="Arial" w:cs="Arial"/>
          <w:sz w:val="28"/>
          <w:szCs w:val="28"/>
        </w:rPr>
        <w:t xml:space="preserve"> </w:t>
      </w:r>
      <w:r w:rsidRPr="002D0237">
        <w:rPr>
          <w:rFonts w:ascii="Arial" w:hAnsi="Arial" w:cs="Arial"/>
          <w:sz w:val="28"/>
          <w:szCs w:val="28"/>
        </w:rPr>
        <w:t>• уравновешенные платежные балансы, стабильные валютные курсы и мировая валютная система в целом;</w:t>
      </w:r>
      <w:r w:rsidR="006E4906">
        <w:rPr>
          <w:rFonts w:ascii="Arial" w:hAnsi="Arial" w:cs="Arial"/>
          <w:sz w:val="28"/>
          <w:szCs w:val="28"/>
        </w:rPr>
        <w:t xml:space="preserve"> </w:t>
      </w:r>
      <w:r w:rsidRPr="002D0237">
        <w:rPr>
          <w:rFonts w:ascii="Arial" w:hAnsi="Arial" w:cs="Arial"/>
          <w:sz w:val="28"/>
          <w:szCs w:val="28"/>
        </w:rPr>
        <w:t>• золотодевизный стандарт;</w:t>
      </w:r>
      <w:r w:rsidR="006E4906">
        <w:rPr>
          <w:rFonts w:ascii="Arial" w:hAnsi="Arial" w:cs="Arial"/>
          <w:sz w:val="28"/>
          <w:szCs w:val="28"/>
        </w:rPr>
        <w:t xml:space="preserve"> </w:t>
      </w:r>
      <w:r w:rsidRPr="002D0237">
        <w:rPr>
          <w:rFonts w:ascii="Arial" w:hAnsi="Arial" w:cs="Arial"/>
          <w:sz w:val="28"/>
          <w:szCs w:val="28"/>
        </w:rPr>
        <w:t>• создание международной организации для надзора за функционированием мировой валютной системы как органа межгосударственного валютного и кредитного регулирования.</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На валютно-финансовой конференции ООН в Бреттон-Вудсе (США) в 1944 г. была оформлена третья мировая валютная система. Принятые на конференции Статьи Соглашения (Устав МВФ) определили следующие принципы Бреттон-Вудской валютной системы.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1. Введен золотодевизный стандарт, основанный на золоте и двух резервных валютах — долларе США и фунте стерлингов.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2. Сохранение использования золота как основы мировой валютной системы в следующих формах: а) золотые паритеты валют, причем введена их фиксация в МВФ; б) как международное платежное и резервное средство; в) чтобы закрепить за долларом статус главной резервной валюты, казначейство США продолжало разменивать его на золото, но только иностранным центральным банкам и правительственным учреждениям по официальной цене 1934 г.</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3. Установлен режим фиксированных валютных паритетов и курсов</w:t>
      </w:r>
    </w:p>
    <w:p w:rsidR="006E4906"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4. Впервые в истории создан орган межгосударственного валютного и кредитного регулирования. Международный валютный фонд предоставляет кредиты в иностранной валюте для покрытия дефицита платежных балансов в целях поддержки нестабильных валют, осуществляет контроль за соблюдением странами-членами принципов мировой валютной системы, обеспечивает валютное сотрудничество стран.</w:t>
      </w:r>
      <w:r w:rsidR="006E4906">
        <w:rPr>
          <w:rFonts w:ascii="Arial" w:hAnsi="Arial" w:cs="Arial"/>
          <w:sz w:val="28"/>
          <w:szCs w:val="28"/>
        </w:rPr>
        <w:t xml:space="preserve">//// </w:t>
      </w:r>
      <w:r w:rsidRPr="002D0237">
        <w:rPr>
          <w:rFonts w:ascii="Arial" w:hAnsi="Arial" w:cs="Arial"/>
          <w:sz w:val="28"/>
          <w:szCs w:val="28"/>
        </w:rPr>
        <w:t>Под давлением США в рамках Бреттон-Вудской системы утвердился долларовый стандарт — мировая валютная система, основанная на господстве доллара. Доллар выполнял три функции мировых денег: стал базой валютных паритетов, преобладающей валютой цены в международных контрактах, международным платежным и резервным средством.</w:t>
      </w:r>
      <w:r w:rsidR="006E4906">
        <w:rPr>
          <w:rFonts w:ascii="Arial" w:hAnsi="Arial" w:cs="Arial"/>
          <w:sz w:val="28"/>
          <w:szCs w:val="28"/>
        </w:rPr>
        <w:t xml:space="preserve"> </w:t>
      </w:r>
      <w:r w:rsidRPr="002D0237">
        <w:rPr>
          <w:rFonts w:ascii="Arial" w:hAnsi="Arial" w:cs="Arial"/>
          <w:sz w:val="28"/>
          <w:szCs w:val="28"/>
        </w:rPr>
        <w:t>Но противоречия Бреттон-Вудской системы постепенно расшатывали ее. С конца 1960</w:t>
      </w:r>
      <w:r w:rsidR="006E4906">
        <w:rPr>
          <w:rFonts w:ascii="Arial" w:hAnsi="Arial" w:cs="Arial"/>
          <w:sz w:val="28"/>
          <w:szCs w:val="28"/>
        </w:rPr>
        <w:t>-х гг. ее структурные принцип изжили себя</w:t>
      </w:r>
      <w:r w:rsidRPr="002D0237">
        <w:rPr>
          <w:rFonts w:ascii="Arial" w:hAnsi="Arial" w:cs="Arial"/>
          <w:sz w:val="28"/>
          <w:szCs w:val="28"/>
        </w:rPr>
        <w:t>, начался кризис Бреттон-Вудской системы</w:t>
      </w:r>
    </w:p>
    <w:p w:rsidR="006E4906" w:rsidRDefault="006E4906" w:rsidP="00FB2F28">
      <w:pPr>
        <w:spacing w:after="0" w:line="240" w:lineRule="auto"/>
        <w:ind w:firstLine="142"/>
        <w:jc w:val="both"/>
        <w:rPr>
          <w:rFonts w:ascii="Arial" w:hAnsi="Arial" w:cs="Arial"/>
          <w:sz w:val="28"/>
          <w:szCs w:val="28"/>
        </w:rPr>
      </w:pP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9. Ямайская международная валютная система и проблемы ее реформирования</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Соглашение (январь 1976 г.) стран</w:t>
      </w:r>
      <w:r w:rsidR="00EF22C6">
        <w:rPr>
          <w:rFonts w:ascii="Arial" w:hAnsi="Arial" w:cs="Arial"/>
          <w:sz w:val="28"/>
          <w:szCs w:val="28"/>
        </w:rPr>
        <w:t>-</w:t>
      </w:r>
      <w:r w:rsidRPr="002D0237">
        <w:rPr>
          <w:rFonts w:ascii="Arial" w:hAnsi="Arial" w:cs="Arial"/>
          <w:sz w:val="28"/>
          <w:szCs w:val="28"/>
        </w:rPr>
        <w:t>членов МВФ в Кингстоне (Ямайка) и ратифицированное требуемым большинством стран-членов в апреле 1978 г. второе изменение Устава МВФ оформили следующие принципы чет</w:t>
      </w:r>
      <w:r w:rsidR="00EF22C6">
        <w:rPr>
          <w:rFonts w:ascii="Arial" w:hAnsi="Arial" w:cs="Arial"/>
          <w:sz w:val="28"/>
          <w:szCs w:val="28"/>
        </w:rPr>
        <w:t xml:space="preserve">вертой мировой валютной системы: </w:t>
      </w:r>
      <w:r w:rsidRPr="002D0237">
        <w:rPr>
          <w:rFonts w:ascii="Arial" w:hAnsi="Arial" w:cs="Arial"/>
          <w:sz w:val="28"/>
          <w:szCs w:val="28"/>
        </w:rPr>
        <w:t xml:space="preserve">1. Введен стандарт СДР вместо золотодевизного стандарта.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2. Юридически завершена демонетизация золота: отменены его официальная цена, золотые паритеты, прекращен размен долларов на золото. По Ямайскому соглашению золото не должно служить мерой стоимости и точкой отсчета валютных курсов.</w:t>
      </w:r>
      <w:r w:rsidR="00EF22C6">
        <w:rPr>
          <w:rFonts w:ascii="Arial" w:hAnsi="Arial" w:cs="Arial"/>
          <w:sz w:val="28"/>
          <w:szCs w:val="28"/>
        </w:rPr>
        <w:t xml:space="preserve"> </w:t>
      </w:r>
      <w:r w:rsidRPr="002D0237">
        <w:rPr>
          <w:rFonts w:ascii="Arial" w:hAnsi="Arial" w:cs="Arial"/>
          <w:sz w:val="28"/>
          <w:szCs w:val="28"/>
        </w:rPr>
        <w:t>3. Странам предоставлено право выбора любого режима валютного курса.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4. МВФ, сохранившийся на обломках Бреттон-Вудской системы, призван усилить межгосударственное валютное регулирование.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Как всегда, сохраняется преемственная связь новой мировой валютной системы с предыдущей. Эта закономерность проявляется при сопоставлении Ямайской и Бреттон-Вудской валютных систем. За стандартом СДР скрывается долларовый стандарт. Золото юридически демонетизировано, но фактически выполняет функцию международного резервного средства; в наследие от Бреттон-Вудской системы остался МВФ. По замыслу Ямайская валютная система должна быть более гибкой, чем Бреттон-Вудская, и эластичнее приспосабливаться к нестабильности платежных балансов и валютных курсов. Однако Ямайская валютная система периодически испытывает потрясения. Ведутся поиски путей ее реформирования:</w:t>
      </w:r>
    </w:p>
    <w:p w:rsidR="00EF22C6"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Многовалютный стандарт как наиболее приемлемый базовый стандарт новой мировой валютной системы. Данный прогноз обусловлен переходом от моноцентризма (американоцентризма), сложившегося в итоге Второй мировой войны, к многополярности в мире. Причем в стандарте СДР, на котором базируется Ямайская валютная система (с 1976—1978 гг.), т.е. до глобализации экономики, заложена идея не двух резервных валют, как было при Бреттон-Вудской системе, а нескольких свободно используемых — ныне пяти — валют, входящих в валютную корзину СДР. 2. Проблема введения наднациональной электронной валюты. Необходимость наднациональной валюты обусловлена тем, что она наиболее соответствует потребностям глобализирующейся экономики и необходима для снижения рисков, связанных с нестабильностью национальных валют, используемых в качестве мировых, в целях обеспечения относительной стабилизации мировой валютной системы.</w:t>
      </w:r>
      <w:r w:rsidR="00EF22C6">
        <w:rPr>
          <w:rFonts w:ascii="Arial" w:hAnsi="Arial" w:cs="Arial"/>
          <w:sz w:val="28"/>
          <w:szCs w:val="28"/>
        </w:rPr>
        <w:t xml:space="preserve"> </w:t>
      </w:r>
      <w:r w:rsidRPr="002D0237">
        <w:rPr>
          <w:rFonts w:ascii="Arial" w:hAnsi="Arial" w:cs="Arial"/>
          <w:sz w:val="28"/>
          <w:szCs w:val="28"/>
        </w:rPr>
        <w:t>3. Судьба золота в мировой валютной системе. При анализе перспективы золота необходимо принимать во внимание две тенденции. Во-первых, несмотря на юридическое исключение золота из Ямайской валютной системы, оно фактически продолжает использоваться как международное резервное средство. Во-вторых, монетарное золото пользуется доверием как привлекательный реальный финансовый актив.</w:t>
      </w:r>
      <w:r w:rsidR="00EF22C6">
        <w:rPr>
          <w:rFonts w:ascii="Arial" w:hAnsi="Arial" w:cs="Arial"/>
          <w:sz w:val="28"/>
          <w:szCs w:val="28"/>
        </w:rPr>
        <w:t xml:space="preserve"> </w:t>
      </w:r>
      <w:r w:rsidRPr="002D0237">
        <w:rPr>
          <w:rFonts w:ascii="Arial" w:hAnsi="Arial" w:cs="Arial"/>
          <w:sz w:val="28"/>
          <w:szCs w:val="28"/>
        </w:rPr>
        <w:t>4. Проблема режима валютного курса в</w:t>
      </w:r>
      <w:r w:rsidR="00EF22C6">
        <w:rPr>
          <w:rFonts w:ascii="Arial" w:hAnsi="Arial" w:cs="Arial"/>
          <w:sz w:val="28"/>
          <w:szCs w:val="28"/>
        </w:rPr>
        <w:t xml:space="preserve"> реформируемой валютной системе</w:t>
      </w:r>
      <w:r w:rsidRPr="002D0237">
        <w:rPr>
          <w:rFonts w:ascii="Arial" w:hAnsi="Arial" w:cs="Arial"/>
          <w:sz w:val="28"/>
          <w:szCs w:val="28"/>
        </w:rPr>
        <w:t xml:space="preserve">. Режим свободного плавания курсов валют выгоден для наиболее конкурентоспособных, развитых стран, но их выгоды оборачиваются потерями для экономики менее конкурентоспособных стран. </w:t>
      </w:r>
      <w:r w:rsidR="00EF22C6">
        <w:rPr>
          <w:rFonts w:ascii="Arial" w:hAnsi="Arial" w:cs="Arial"/>
          <w:sz w:val="28"/>
          <w:szCs w:val="28"/>
        </w:rPr>
        <w:t xml:space="preserve"> </w:t>
      </w:r>
      <w:r w:rsidRPr="002D0237">
        <w:rPr>
          <w:rFonts w:ascii="Arial" w:hAnsi="Arial" w:cs="Arial"/>
          <w:sz w:val="28"/>
          <w:szCs w:val="28"/>
        </w:rPr>
        <w:t xml:space="preserve">5. Реформирование МВФ как института межгосударственного валютного регулирования. </w:t>
      </w:r>
    </w:p>
    <w:p w:rsidR="00EF22C6" w:rsidRDefault="00EF22C6" w:rsidP="00FB2F28">
      <w:pPr>
        <w:spacing w:after="0" w:line="240" w:lineRule="auto"/>
        <w:rPr>
          <w:rFonts w:ascii="Arial" w:hAnsi="Arial" w:cs="Arial"/>
          <w:sz w:val="28"/>
          <w:szCs w:val="28"/>
        </w:rPr>
      </w:pPr>
      <w:r>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10. Основные проблемы формирования европейского экономического и валютного союза на современном этапе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Экономический и валютный союз (ЭВС) — общий термин, охватывающий комплекс программ, направленных на сближение экономик государств — членов Европейского союза в три этапа. В ЭВС входят страны еврозоны и некоторые страны, не использующих евро.</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Данный союз действует на основе Маастрихтского соглашения. С ноября 1993 г. вступило в силу Маастрихтское соглашение о создании европейского Экономического и валютного союза.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Цели ЭВС следующие: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создать экономический и политический союз па базе межгосударственного регулирования; 2) укрепить позиции западноевропейского экономического и финансового центра в конкуренции с США и Японией на мировом рынке; 3) коллективными усилиями удержать в сфере своего влияния развивающиеся страны — бывшие колонии западноевропейских держав.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Западноевропейская интеграция отличается тремя особенностями: ЕС прошел путь от общего рынка угля и стали шести стран до интегрированного хозяйственного комплекса и политического союза государств; институциональная структура ЕС приближена к структуре государства; материальной основой интеграционного процесса служат многочисленные совместные фонды, часть которых сформирована за счет общего бюджета ЕС.</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На сегодняшний день у ЭВС можно наблюдать ряд внутренних проблем, отражение которых явно можно наблюдать в мировой экономике. </w:t>
      </w:r>
    </w:p>
    <w:p w:rsidR="00FB2F28"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Для начала нужно обратить внимание на то, что экономика Еврозоны в принципе функционирует с дефицитом.</w:t>
      </w:r>
      <w:r w:rsidR="00FB2F28">
        <w:rPr>
          <w:rFonts w:ascii="Arial" w:hAnsi="Arial" w:cs="Arial"/>
          <w:sz w:val="28"/>
          <w:szCs w:val="28"/>
        </w:rPr>
        <w:t xml:space="preserve">// </w:t>
      </w:r>
      <w:r w:rsidRPr="002D0237">
        <w:rPr>
          <w:rFonts w:ascii="Arial" w:hAnsi="Arial" w:cs="Arial"/>
          <w:sz w:val="28"/>
          <w:szCs w:val="28"/>
        </w:rPr>
        <w:t>Помимо этого, конечно, экономика Еврозоны сильно зависит и от отношений между странами внутри валютного союза. Любые разногласия между ними приводят к падению курса евро, к ухудшению экономического состояния. А такие разногласия, возникают постоянно. Происходит это от того, что, несмотря на законодательное закрепление равноправия стран-участниц, de facto внутри валютного союза есть страны-лидеры, а есть страны, которые вынуждены подчиняться. К странам-лидерам, например, можно отнести Германию и Францию, в особенности Германию.</w:t>
      </w:r>
      <w:r w:rsidR="00FB2F28">
        <w:rPr>
          <w:rFonts w:ascii="Arial" w:hAnsi="Arial" w:cs="Arial"/>
          <w:sz w:val="28"/>
          <w:szCs w:val="28"/>
        </w:rPr>
        <w:t xml:space="preserve">// </w:t>
      </w:r>
      <w:r w:rsidRPr="002D0237">
        <w:rPr>
          <w:rFonts w:ascii="Arial" w:hAnsi="Arial" w:cs="Arial"/>
          <w:sz w:val="28"/>
          <w:szCs w:val="28"/>
        </w:rPr>
        <w:t>Помимо таких обстоятельств внутри союза существуют некоторые правила, например, установление квот на продажу определенной продукции. Так в Греции пришлось закрыть многие предприятия, так как экспорт значительно был сокращен. Взамен этого Греции были предоставлены большие займы для восстановления экономики. В итоге – значительное сокращение производственных мощностей и значительное увеличение долгов. Все это развернулось полномасштабным кризисом, который чуть ли не повлек за собой выход Греции из союза.</w:t>
      </w:r>
      <w:r w:rsidR="00FB2F28">
        <w:rPr>
          <w:rFonts w:ascii="Arial" w:hAnsi="Arial" w:cs="Arial"/>
          <w:sz w:val="28"/>
          <w:szCs w:val="28"/>
        </w:rPr>
        <w:t xml:space="preserve">// </w:t>
      </w:r>
      <w:r w:rsidRPr="002D0237">
        <w:rPr>
          <w:rFonts w:ascii="Arial" w:hAnsi="Arial" w:cs="Arial"/>
          <w:sz w:val="28"/>
          <w:szCs w:val="28"/>
        </w:rPr>
        <w:t>Также не менее важно проблемой в Еврозоне является группа PIGS, в которую входят Португалия, Италия, Греция и Испания. Именно эти государства испытывали самые большие трудности, которые ставили вопрос об их дефолте. Их государственный долг, как и безработица, были огромными. С Грецией все было значительно труднее. В ней был проведен выборочный дефолт. В Греции около половины граждан выступала за выход из Еврозоны, а большая часть была против сокращения расходов государства. И так кризис захлестывал Грецию несколько раз, и последний пиковый момент был в 2015 году, но ситуация была решена политически, когда Правительство частично поменяло законодательство в стране.</w:t>
      </w:r>
      <w:r w:rsidR="00FB2F28">
        <w:rPr>
          <w:rFonts w:ascii="Arial" w:hAnsi="Arial" w:cs="Arial"/>
          <w:sz w:val="28"/>
          <w:szCs w:val="28"/>
        </w:rPr>
        <w:t xml:space="preserve">// </w:t>
      </w:r>
      <w:r w:rsidRPr="002D0237">
        <w:rPr>
          <w:rFonts w:ascii="Arial" w:hAnsi="Arial" w:cs="Arial"/>
          <w:sz w:val="28"/>
          <w:szCs w:val="28"/>
        </w:rPr>
        <w:t xml:space="preserve">Наиболее серьезной проблемой являются банки Италии. Дело в том, что в итальянских банках </w:t>
      </w:r>
      <w:r w:rsidR="00FB2F28">
        <w:rPr>
          <w:rFonts w:ascii="Arial" w:hAnsi="Arial" w:cs="Arial"/>
          <w:sz w:val="28"/>
          <w:szCs w:val="28"/>
        </w:rPr>
        <w:t>много</w:t>
      </w:r>
      <w:r w:rsidRPr="002D0237">
        <w:rPr>
          <w:rFonts w:ascii="Arial" w:hAnsi="Arial" w:cs="Arial"/>
          <w:sz w:val="28"/>
          <w:szCs w:val="28"/>
        </w:rPr>
        <w:t xml:space="preserve"> проблемных кредитов, что составляет 18% Ну и, наконец, Брексит</w:t>
      </w:r>
      <w:r w:rsidR="00FB2F28">
        <w:rPr>
          <w:rFonts w:ascii="Arial" w:hAnsi="Arial" w:cs="Arial"/>
          <w:sz w:val="28"/>
          <w:szCs w:val="28"/>
        </w:rPr>
        <w:t>.</w:t>
      </w:r>
    </w:p>
    <w:p w:rsidR="00EA4464" w:rsidRPr="002D0237" w:rsidRDefault="00FB2F28" w:rsidP="00FB2F28">
      <w:pPr>
        <w:spacing w:after="0" w:line="240" w:lineRule="auto"/>
        <w:rPr>
          <w:rFonts w:ascii="Arial" w:hAnsi="Arial" w:cs="Arial"/>
          <w:b/>
          <w:sz w:val="28"/>
          <w:szCs w:val="28"/>
        </w:rPr>
      </w:pPr>
      <w:r>
        <w:rPr>
          <w:rFonts w:ascii="Arial" w:hAnsi="Arial" w:cs="Arial"/>
          <w:sz w:val="28"/>
          <w:szCs w:val="28"/>
        </w:rPr>
        <w:br w:type="page"/>
      </w:r>
      <w:r w:rsidR="00EA4464" w:rsidRPr="002D0237">
        <w:rPr>
          <w:rFonts w:ascii="Arial" w:hAnsi="Arial" w:cs="Arial"/>
          <w:b/>
          <w:sz w:val="28"/>
          <w:szCs w:val="28"/>
        </w:rPr>
        <w:lastRenderedPageBreak/>
        <w:t>11. Особенности и проблемы функционирования Европейской системы центральных банков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Европейская система центральных банков (ЕСЦБ) – это международная банковская система, состоящая из наднационального Европейского центрального банка (ЕЦБ) и Национальных центральных банков (НЦБ) государств – членов Европейского Экономического Сообщества. Существование этой системы является неотъемлемой частью процесса образования Европейского экономического и валютного союза.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Европейская система центральных банков включает в себя Европейский центральный банк и Национальные центральные банки стран - участниц «зоны евро». В уставе ЕСЦБ и ЕЦБ провозглашена независимость этих организаций от других органов Союза, от правительств стран – членов ЕЭВС и любых других учреждений. Это вполне соответствует обычному статусу центрального банка в рамках отдельной страны. Вместе с тем существенное значение имеет зафиксированный в специальной статье устава «генеральный принцип», согласно которому Европейская система центральных банков управляется руководством («принимающими решения органами») Европейского центрального банка, и, прежде всего, Советом Управляющих. </w:t>
      </w:r>
    </w:p>
    <w:p w:rsidR="00EA4464" w:rsidRPr="002D0237" w:rsidRDefault="00EA4464" w:rsidP="00FB2F28">
      <w:pPr>
        <w:pStyle w:val="a3"/>
        <w:spacing w:after="0" w:line="240" w:lineRule="auto"/>
        <w:ind w:left="0" w:firstLine="142"/>
        <w:contextualSpacing w:val="0"/>
        <w:jc w:val="both"/>
        <w:rPr>
          <w:rFonts w:ascii="Arial" w:hAnsi="Arial" w:cs="Arial"/>
          <w:sz w:val="28"/>
          <w:szCs w:val="28"/>
        </w:rPr>
      </w:pPr>
      <w:r w:rsidRPr="002D0237">
        <w:rPr>
          <w:rFonts w:ascii="Arial" w:hAnsi="Arial" w:cs="Arial"/>
          <w:sz w:val="28"/>
          <w:szCs w:val="28"/>
        </w:rPr>
        <w:t>Существует три руководящих органа: Совета Управляющих, Исполнительной Дирекции и Генерального Совета.Президент Европейского центрального банка одновременно является председателем всех трех его руководящих органов: Совета Управляющих, Исполнительной Дирекции и Генерального Совета; при этом в двух первых случаях он располагает решающим голосом в случае равного распределения голосов. Кроме того, Президент представляет ЕЦБ во внешних организациях или назначает доверенное лицо для этой роли. По отношению к третьим лицам он, по законодательству, представляет ЕЦБ.</w:t>
      </w:r>
    </w:p>
    <w:p w:rsidR="00EA4464" w:rsidRPr="002D0237" w:rsidRDefault="00EA4464" w:rsidP="00FB2F28">
      <w:pPr>
        <w:pStyle w:val="a3"/>
        <w:spacing w:after="0" w:line="240" w:lineRule="auto"/>
        <w:ind w:left="0" w:firstLine="142"/>
        <w:contextualSpacing w:val="0"/>
        <w:jc w:val="both"/>
        <w:rPr>
          <w:rFonts w:ascii="Arial" w:hAnsi="Arial" w:cs="Arial"/>
          <w:sz w:val="28"/>
          <w:szCs w:val="28"/>
        </w:rPr>
      </w:pPr>
      <w:r w:rsidRPr="002D0237">
        <w:rPr>
          <w:rFonts w:ascii="Arial" w:hAnsi="Arial" w:cs="Arial"/>
          <w:sz w:val="28"/>
          <w:szCs w:val="28"/>
        </w:rPr>
        <w:t xml:space="preserve">Национальные центральные банки стран-участниц являются неотъемлемой частью Европейской системы центральных банков и действуют в соответствии с указаниями и инструкциями ЕЦБ. </w:t>
      </w:r>
      <w:r w:rsidR="00FB2F28">
        <w:rPr>
          <w:rFonts w:ascii="Arial" w:hAnsi="Arial" w:cs="Arial"/>
          <w:sz w:val="28"/>
          <w:szCs w:val="28"/>
        </w:rPr>
        <w:t xml:space="preserve">// </w:t>
      </w:r>
      <w:r w:rsidRPr="002D0237">
        <w:rPr>
          <w:rFonts w:ascii="Arial" w:hAnsi="Arial" w:cs="Arial"/>
          <w:sz w:val="28"/>
          <w:szCs w:val="28"/>
        </w:rPr>
        <w:t xml:space="preserve">Главной целью создания Европейской системы центральных банков, в соответствии со статьей 2 Устава ЕСЦБ и ЕЦБ, является поддержание стабильности цен.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сферу деятельности ЕЦБ входит:</w:t>
      </w:r>
      <w:r w:rsidR="00FB2F28">
        <w:rPr>
          <w:rFonts w:ascii="Arial" w:hAnsi="Arial" w:cs="Arial"/>
          <w:sz w:val="28"/>
          <w:szCs w:val="28"/>
        </w:rPr>
        <w:t xml:space="preserve"> </w:t>
      </w:r>
      <w:r w:rsidRPr="002D0237">
        <w:rPr>
          <w:rFonts w:ascii="Arial" w:hAnsi="Arial" w:cs="Arial"/>
          <w:sz w:val="28"/>
          <w:szCs w:val="28"/>
        </w:rPr>
        <w:t>предоставление кредитов, в том числе ломбардных, финансовым институтам;</w:t>
      </w:r>
      <w:r w:rsidR="00FB2F28">
        <w:rPr>
          <w:rFonts w:ascii="Arial" w:hAnsi="Arial" w:cs="Arial"/>
          <w:sz w:val="28"/>
          <w:szCs w:val="28"/>
        </w:rPr>
        <w:t xml:space="preserve"> </w:t>
      </w:r>
      <w:r w:rsidRPr="002D0237">
        <w:rPr>
          <w:rFonts w:ascii="Arial" w:hAnsi="Arial" w:cs="Arial"/>
          <w:sz w:val="28"/>
          <w:szCs w:val="28"/>
        </w:rPr>
        <w:t>операции на открытом рынке с различными финансовыми инструментами;</w:t>
      </w:r>
      <w:r w:rsidR="00FB2F28">
        <w:rPr>
          <w:rFonts w:ascii="Arial" w:hAnsi="Arial" w:cs="Arial"/>
          <w:sz w:val="28"/>
          <w:szCs w:val="28"/>
        </w:rPr>
        <w:t xml:space="preserve"> </w:t>
      </w:r>
      <w:r w:rsidRPr="002D0237">
        <w:rPr>
          <w:rFonts w:ascii="Arial" w:hAnsi="Arial" w:cs="Arial"/>
          <w:sz w:val="28"/>
          <w:szCs w:val="28"/>
        </w:rPr>
        <w:t xml:space="preserve">установление минимальных резервных требований для кредитных институтов стран-членов ЕЭВС.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Проблемы функционирования:</w:t>
      </w:r>
      <w:r w:rsidR="00FB2F28">
        <w:rPr>
          <w:rFonts w:ascii="Arial" w:hAnsi="Arial" w:cs="Arial"/>
          <w:sz w:val="28"/>
          <w:szCs w:val="28"/>
        </w:rPr>
        <w:t xml:space="preserve"> </w:t>
      </w:r>
      <w:r w:rsidRPr="002D0237">
        <w:rPr>
          <w:rFonts w:ascii="Arial" w:hAnsi="Arial" w:cs="Arial"/>
          <w:sz w:val="28"/>
          <w:szCs w:val="28"/>
        </w:rPr>
        <w:t>1. Несмотря на то, что монетарная политика является единой для всех стран - членов ЕВС, фискальную политику каждая страна осуществляет отдельно.</w:t>
      </w:r>
      <w:r w:rsidR="00FB2F28">
        <w:rPr>
          <w:rFonts w:ascii="Arial" w:hAnsi="Arial" w:cs="Arial"/>
          <w:sz w:val="28"/>
          <w:szCs w:val="28"/>
        </w:rPr>
        <w:t xml:space="preserve"> </w:t>
      </w:r>
      <w:r w:rsidRPr="002D0237">
        <w:rPr>
          <w:rFonts w:ascii="Arial" w:hAnsi="Arial" w:cs="Arial"/>
          <w:sz w:val="28"/>
          <w:szCs w:val="28"/>
        </w:rPr>
        <w:t xml:space="preserve">2. Европейский центральный банк получил свои полномочия путем передачи ему полномочий национальных правительств и центральных банков стран-членов. После завершения процедуры делегирования государства ЕВС потеряли возможность отстаивать собственные интересы и корректировать выбранный курс монетарной политики. 3. Европейский центральный банк начинает управлять экономической системой, которая ранее не существовала, и не имеет четкого представления о состоянии экономики нового региона. Существует недостаток статистических данных и нет исторического опыта их анализа. </w:t>
      </w: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12. Структура и методология составления платежного баланса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Платежный баланс – балансовый счет международных операций – это стоимостное выражение комплекса мирохозяйственных связей страны в форме соотношения показателей вывоза и ввоза товаров, услуг, капиталов и финансовых активов.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Согласно рекомендациям действующего с 1993 г. «Руководства МВФ по составлению платежного баланса» платежный баланс состоит из взаимосвязанных разделов. Два главных раздела, характеризующих состояние платежного баланса – это счет текущих операций и счет капитала и финансовых инструментов. Счет капитала и финансовых инструментов состоит из двух частей – одна отражает в основном движение государственных кредитов и некоторых специфических ценностей (владение землей, патенты, авторские права и др.), а вторая охватывает разные виды инвестиций: прямые портфельные, банковские и др. Завершает платежный баланс счет официальных валютных резервов, изменения которого обеспечивают окончательное равновесие платежного баланса.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Согласно Руководству МВФ платежный баланс – это статистический документ, в котором систематизированы показатели экономических операций страны с остальным миром за определенный период времени.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Поскольку внешнеэкономические операции страны необходимо отделять от внутрихозяйственных операций, при составлении платежного баланса важное значение приобретают понятия резидента, нерезидента и сделки, подлежащие учету.</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Руководство МВФ по составлению платежного баланса дает следующее определение: "Экономика страны рассматривается как совокупность хозяйственных единиц, более тесно связанных с данной территорией, нежели с какой-нибудь иной территорией. Платежный баланс данной страны будет отражать либо операции этих хозяйственных единиц с остальным миром, если указанные хозяйственные единицы рассматриваются как резиденты данной страны, либо операции этих хозяйственных единиц с данной страной, если хозяйственные единицы рассматриваются как нерезиденты по отношению к данной стране".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Российской Федерации понятие резидент объясняется в Законе от 10 декабря 2003 г. "О валютном регулировании и валютном контроле".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Определение сделки. По методологии МВФ, сделка определяется как экономический поток, в котором отражаются создание, трансформация, обмен, передача или увеличение экономической стоимости и происходит смена собственности на товары и (или) финансовые активы, предоставление услуг или рабочей силы, или капитала.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Принцип двойной записи. Из-за несовершенства определений ряда операций и неточности данных неизбежны расхождения в итоговых показателях кредитовой и дебетовой записи в платежном балансе. Чтобы избежать этого, в основу составления таблиц платежного баланса положен принцип двойной бухгалтерской записи. Это означает, что по поводу каждой операции, фиксируемой в платежном балансе, в этот документ вносятся два идентичных показателя: один с положительным знаком на кредитовой стороне, второй с отрицательным знаком на дебетовой стороне.</w:t>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13. Оценка состояния платежного баланса и основные факторы, влияющие на платежный баланс</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Платежный баланс – балансовый счет международных операций – это стоимостное выражение комплекса мирохозяйственных связей страны в форме соотношения показателей вывоза и ввоза товаров, услуг, капиталов и финансовых активов.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Современные методы оценки состояния платежного баланса требуют внимательного и критичного отношения в каждом конкретном случае. Дефицит по текущим операциям имеет разное значение для ведущих стран и государств, не принадлежащих к лидерам мировой экономики.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Факторы, влияющие на платежный баланс:</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1. Глобализация мировой экономики.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2. Финансовая глобализация, опережающая процесс глобализации в сфере материального производства. Повысилось значение разделе платежного баланса «капитала и финансовые инструменты», движение которых стало преобладающей формой МЭО.</w:t>
      </w:r>
      <w:r w:rsidR="00FB2F28">
        <w:rPr>
          <w:rFonts w:ascii="Arial" w:hAnsi="Arial" w:cs="Arial"/>
          <w:sz w:val="28"/>
          <w:szCs w:val="28"/>
        </w:rPr>
        <w:t xml:space="preserve">//  </w:t>
      </w:r>
      <w:r w:rsidRPr="002D0237">
        <w:rPr>
          <w:rFonts w:ascii="Arial" w:hAnsi="Arial" w:cs="Arial"/>
          <w:sz w:val="28"/>
          <w:szCs w:val="28"/>
        </w:rPr>
        <w:t>3. Рост заграничных государственных расходов. Тяжелым бременем для платежного баланса являются внешние правительственные расходы, которые преследуют разнообразные экономические и политические цели.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4.Структурные изменения в глобализирующейся мировой экономике. НТР, интенсификация хозяйства, переход на новую энергетическую базу стимулируют инновационную деятельность, которая достигла 25% мирового ВВП. Это вызывает структурные сдвиги в МЭО и основных статьях платежного баланса.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5. Циклические колебания экономики. В платежных балансах находят выражение колебания, подъемы и спады хозяйственной активности в стране, так как от состояния внутренней экономики зависят ее внешнеэкономические операции. Колебания платежного баланса, обусловленные динамикой промышленных циклов, способствуют перенесению экономических циклических процессов из одной страны в другие.</w:t>
      </w:r>
      <w:r w:rsidR="00FB2F28">
        <w:rPr>
          <w:rFonts w:ascii="Arial" w:hAnsi="Arial" w:cs="Arial"/>
          <w:sz w:val="28"/>
          <w:szCs w:val="28"/>
        </w:rPr>
        <w:t xml:space="preserve">// </w:t>
      </w:r>
      <w:r w:rsidRPr="002D0237">
        <w:rPr>
          <w:rFonts w:ascii="Arial" w:hAnsi="Arial" w:cs="Arial"/>
          <w:sz w:val="28"/>
          <w:szCs w:val="28"/>
        </w:rPr>
        <w:t>6. Полицентризм в мировой экономике. Изменение основных статей платежного баланса отражает формирование многополярности в глобализирующейся мировой экономике. Объективной основой этого процесса является периодическое изменение соотношения сил между мировыми экономическими и финансовыми центрами.</w:t>
      </w:r>
      <w:r w:rsidR="00FB2F28">
        <w:rPr>
          <w:rFonts w:ascii="Arial" w:hAnsi="Arial" w:cs="Arial"/>
          <w:sz w:val="28"/>
          <w:szCs w:val="28"/>
        </w:rPr>
        <w:t xml:space="preserve">// </w:t>
      </w:r>
      <w:r w:rsidRPr="002D0237">
        <w:rPr>
          <w:rFonts w:ascii="Arial" w:hAnsi="Arial" w:cs="Arial"/>
          <w:sz w:val="28"/>
          <w:szCs w:val="28"/>
        </w:rPr>
        <w:t>7. Регионализация мировой экономики. Тенденция формирования региональных экономических объединений с участием развитых и развивающихся стран проявляется в увеличении внутрирегиональной торговли и движения капиталов, рабочей силы внутри экономических группировок (от 25 до 75%) и повышения их доли в мировом экспорте.</w:t>
      </w:r>
      <w:r w:rsidR="00FB2F28">
        <w:rPr>
          <w:rFonts w:ascii="Arial" w:hAnsi="Arial" w:cs="Arial"/>
          <w:sz w:val="28"/>
          <w:szCs w:val="28"/>
        </w:rPr>
        <w:t xml:space="preserve">/// </w:t>
      </w:r>
      <w:r w:rsidRPr="002D0237">
        <w:rPr>
          <w:rFonts w:ascii="Arial" w:hAnsi="Arial" w:cs="Arial"/>
          <w:sz w:val="28"/>
          <w:szCs w:val="28"/>
        </w:rPr>
        <w:t>8. Повышение роли ТНК на мировых рынках. На состояние платежных балансов влияет увеличение объема операций ТИК на мировых рынках товаров, услуг, капиталов. Причем их внутрифирменный товарооборот включается статистикой в общий итог мировой торговли. Это налагает отпечаток на мировые цены, структуру МЭО.</w:t>
      </w:r>
      <w:r w:rsidR="00FB2F28">
        <w:rPr>
          <w:rFonts w:ascii="Arial" w:hAnsi="Arial" w:cs="Arial"/>
          <w:sz w:val="28"/>
          <w:szCs w:val="28"/>
        </w:rPr>
        <w:t xml:space="preserve">// </w:t>
      </w:r>
      <w:r w:rsidRPr="002D0237">
        <w:rPr>
          <w:rFonts w:ascii="Arial" w:hAnsi="Arial" w:cs="Arial"/>
          <w:sz w:val="28"/>
          <w:szCs w:val="28"/>
        </w:rPr>
        <w:t>9. Влияние валютно-финансовых факторов на платежный баланс. Девальвация обычно поощряет экспорт, а ревальвация стимулирует импорт при прочих равных условиях. В ожидании снижения курса национальной валюты происходит смещение сроков платежей по экспорту и импорту: импортеры стремятся ускорить платежи, а экспортеры, напротив, задерживают получение вырученной иностранной валюты.</w:t>
      </w:r>
      <w:r w:rsidR="00FB2F28">
        <w:rPr>
          <w:rFonts w:ascii="Arial" w:hAnsi="Arial" w:cs="Arial"/>
          <w:sz w:val="28"/>
          <w:szCs w:val="28"/>
        </w:rPr>
        <w:t xml:space="preserve">// </w:t>
      </w:r>
      <w:r w:rsidRPr="002D0237">
        <w:rPr>
          <w:rFonts w:ascii="Arial" w:hAnsi="Arial" w:cs="Arial"/>
          <w:sz w:val="28"/>
          <w:szCs w:val="28"/>
        </w:rPr>
        <w:t>10. Чрезвычайные обстоятельства. Неурожай, стихийные бедствия, катастрофы отрицательно влияют на платежный баланс.</w:t>
      </w:r>
      <w:r w:rsidR="00FB2F28">
        <w:rPr>
          <w:rFonts w:ascii="Arial" w:hAnsi="Arial" w:cs="Arial"/>
          <w:sz w:val="28"/>
          <w:szCs w:val="28"/>
        </w:rPr>
        <w:t xml:space="preserve">// </w:t>
      </w:r>
      <w:r w:rsidRPr="002D0237">
        <w:rPr>
          <w:rFonts w:ascii="Arial" w:hAnsi="Arial" w:cs="Arial"/>
          <w:sz w:val="28"/>
          <w:szCs w:val="28"/>
        </w:rPr>
        <w:t xml:space="preserve">11. Влияние либерализма и протекционизма на платежные балансы. </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14. Валютная политика и ее основные формы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Валютная политика является составной частью экономической политикой.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Валютная политика – совокупность мероприятий, осуществляемых в сфере международных валютно-экономических отношений в соответствии с текущими и стратегическими целями страны. Она направлена на достижение главных целей экономической и социальной политики: обеспечение устойчивости экономического роста, сдерживание роста безработицы и инфляции, поддержание равновесия платежного баланса.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Направление и формы валютной политики определяются валютно-экономическим положением стран, состоянием мировой экономики, изменением расстановки сил в мире.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зависимости от целей различаются внешняя и внутренняя, структурная и текущая валютная политика страны. Внешняя политика включает меры по соблюдению принципов мировой валютной системы, участию страны в ее реформе или интернационализации национальной валюты. Внутренняя валютная политика — совокупность мер, направленных на совершенствование национальной валютной системы по линии регулирования курса валюты, управления международными резервными резервами страны, валютного регулирования, контроля и надзора за соблюдением валютного законодательства с учетом приоритета национальных интересов.</w:t>
      </w:r>
      <w:r w:rsidR="00FB2F28">
        <w:rPr>
          <w:rFonts w:ascii="Arial" w:hAnsi="Arial" w:cs="Arial"/>
          <w:sz w:val="28"/>
          <w:szCs w:val="28"/>
        </w:rPr>
        <w:br/>
      </w:r>
      <w:r w:rsidRPr="002D0237">
        <w:rPr>
          <w:rFonts w:ascii="Arial" w:hAnsi="Arial" w:cs="Arial"/>
          <w:noProof/>
          <w:sz w:val="28"/>
          <w:szCs w:val="28"/>
          <w:lang w:eastAsia="ru-RU"/>
        </w:rPr>
        <w:drawing>
          <wp:inline distT="0" distB="0" distL="0" distR="0">
            <wp:extent cx="7200900" cy="2642968"/>
            <wp:effectExtent l="0" t="0" r="0" b="5080"/>
            <wp:docPr id="1" name="Рисунок 0" desc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jpg"/>
                    <pic:cNvPicPr/>
                  </pic:nvPicPr>
                  <pic:blipFill>
                    <a:blip r:embed="rId6" cstate="print"/>
                    <a:stretch>
                      <a:fillRect/>
                    </a:stretch>
                  </pic:blipFill>
                  <pic:spPr>
                    <a:xfrm>
                      <a:off x="0" y="0"/>
                      <a:ext cx="7198622" cy="2642132"/>
                    </a:xfrm>
                    <a:prstGeom prst="rect">
                      <a:avLst/>
                    </a:prstGeom>
                  </pic:spPr>
                </pic:pic>
              </a:graphicData>
            </a:graphic>
          </wp:inline>
        </w:drawing>
      </w:r>
    </w:p>
    <w:p w:rsidR="00EA4464" w:rsidRPr="002D0237" w:rsidRDefault="00EA4464" w:rsidP="00FB2F28">
      <w:pPr>
        <w:spacing w:after="0" w:line="240" w:lineRule="auto"/>
        <w:ind w:firstLine="142"/>
        <w:jc w:val="both"/>
        <w:rPr>
          <w:rFonts w:ascii="Arial" w:hAnsi="Arial" w:cs="Arial"/>
          <w:sz w:val="28"/>
          <w:szCs w:val="28"/>
        </w:rPr>
      </w:pPr>
    </w:p>
    <w:p w:rsidR="00EA4464" w:rsidRPr="002D0237" w:rsidRDefault="00EA4464" w:rsidP="00FB2F28">
      <w:pPr>
        <w:spacing w:after="0" w:line="240" w:lineRule="auto"/>
        <w:ind w:firstLine="142"/>
        <w:jc w:val="both"/>
        <w:rPr>
          <w:rFonts w:ascii="Arial" w:hAnsi="Arial" w:cs="Arial"/>
          <w:sz w:val="28"/>
          <w:szCs w:val="28"/>
        </w:rPr>
      </w:pP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15. Управление международными резервами страны как часть национальной валютной политики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Важным направлением валютной политики является управление международными резервами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МВФ сформулировал их в документе "Руководящие принципы управления валютными резервами". В отчете "Руководство по управлению валютными резервами" (2006 г.) МВФ определил управление ими как "процесс, обеспечивающий условия, при которых валютные активы государственного сектора имеются в достаточном количестве, находятся под контролем органов власти и в любой момент могут быть использованы для достижения определенных целей страны или союза стран". В данном определении выделены принцип достаточности этих резервов, государственный контроль за ними и использование в определенных целях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Основные цели управления государственными международными резервами: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реализация экономической, в том числе денежно-кредитной и валютной, политики;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регулирование плавающего курса национальной валюты;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обеспечение международных обязательств страны;</w:t>
      </w:r>
      <w:r w:rsidR="00FB2F28">
        <w:rPr>
          <w:rFonts w:ascii="Arial" w:hAnsi="Arial" w:cs="Arial"/>
          <w:sz w:val="28"/>
          <w:szCs w:val="28"/>
        </w:rPr>
        <w:t xml:space="preserve"> </w:t>
      </w:r>
      <w:r w:rsidRPr="002D0237">
        <w:rPr>
          <w:rFonts w:ascii="Arial" w:hAnsi="Arial" w:cs="Arial"/>
          <w:sz w:val="28"/>
          <w:szCs w:val="28"/>
        </w:rPr>
        <w:t>• погашение государственного внешнего долга;</w:t>
      </w:r>
      <w:r w:rsidR="00FB2F28">
        <w:rPr>
          <w:rFonts w:ascii="Arial" w:hAnsi="Arial" w:cs="Arial"/>
          <w:sz w:val="28"/>
          <w:szCs w:val="28"/>
        </w:rPr>
        <w:t xml:space="preserve"> </w:t>
      </w:r>
      <w:r w:rsidRPr="002D0237">
        <w:rPr>
          <w:rFonts w:ascii="Arial" w:hAnsi="Arial" w:cs="Arial"/>
          <w:sz w:val="28"/>
          <w:szCs w:val="28"/>
        </w:rPr>
        <w:t>• регулирование платежного баланса;</w:t>
      </w:r>
      <w:r w:rsidR="00FB2F28">
        <w:rPr>
          <w:rFonts w:ascii="Arial" w:hAnsi="Arial" w:cs="Arial"/>
          <w:sz w:val="28"/>
          <w:szCs w:val="28"/>
        </w:rPr>
        <w:t xml:space="preserve"> </w:t>
      </w:r>
      <w:r w:rsidRPr="002D0237">
        <w:rPr>
          <w:rFonts w:ascii="Arial" w:hAnsi="Arial" w:cs="Arial"/>
          <w:sz w:val="28"/>
          <w:szCs w:val="28"/>
        </w:rPr>
        <w:t>• обеспечение антикризисной политики;</w:t>
      </w:r>
      <w:r w:rsidR="00FB2F28">
        <w:rPr>
          <w:rFonts w:ascii="Arial" w:hAnsi="Arial" w:cs="Arial"/>
          <w:sz w:val="28"/>
          <w:szCs w:val="28"/>
        </w:rPr>
        <w:t xml:space="preserve"> </w:t>
      </w:r>
      <w:r w:rsidRPr="002D0237">
        <w:rPr>
          <w:rFonts w:ascii="Arial" w:hAnsi="Arial" w:cs="Arial"/>
          <w:sz w:val="28"/>
          <w:szCs w:val="28"/>
        </w:rPr>
        <w:t>• формирование благоприятного инвестиционного рейтинга и имиджа страны для инвесторов.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Эти цели определяют основные функции международных резервов — обеспечение погашения международных обязательств страны и использование их как страхового фонда на случай кризисных потрясений.</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Для достижения этих целей исходным пунктом управления международными резервами страны является обеспечение их достаточности с использованием мирового опыта и учетом национальной специфики.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мировой практике используются несколько критериев достаточности международных резервов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консервативный критерий основан на сопоставлении резервов с обязательствами страны лишь по краткосрочному импорту и не учитывает обязательства страны по внешним заимствованиям;</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критерий Гринспена учитывает обязательства по суверенному внешнему долгу, но не принимает во внимание внешний долг корпораций и банков, в капитале которых участвует государство, включенных некоторыми центральными банками, в том числе России, в задолженность государства.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Принципом управления международными резервами является диверсификация структуры их основных компонентов в целях обеспечения международных расчетов и защиты валютных потерь.</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Политика, направленная на регулирование структуры валютных активов, называется диверсификацией валютных резервов. Она осуществляется путем включения в их состав разных валют с целью обеспечить международные расчеты и защиту от валютных потерь. </w:t>
      </w:r>
      <w:r w:rsidR="00FB2F28">
        <w:rPr>
          <w:rFonts w:ascii="Arial" w:hAnsi="Arial" w:cs="Arial"/>
          <w:sz w:val="28"/>
          <w:szCs w:val="28"/>
        </w:rPr>
        <w:t xml:space="preserve">/ </w:t>
      </w:r>
      <w:r w:rsidRPr="002D0237">
        <w:rPr>
          <w:rFonts w:ascii="Arial" w:hAnsi="Arial" w:cs="Arial"/>
          <w:sz w:val="28"/>
          <w:szCs w:val="28"/>
        </w:rPr>
        <w:t>Управление международными резервами стран, исходя из традиционного приоритета их сохранности и ликвидности по отношению к прибыльности, базируется на критериях тщательного выбора инструментов инвестирования, географической ориентации использования валютных активов и валютной структуры.</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16. Эволюция валютных ограничений и формы перехода к конвертируемости валют</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Конвертируемость — возможность обмена национальной валюты на иностранные валюты — показатель степени открытости экономики, условие интеграции страны во всемирное хозяйство, так как интернационализация хозяйственных связей требует взаимосвязи рынков товаров, услуг, капиталов, валют.</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Мировой опыт перехода к конвертируемости национальной валюты позволяет выделить узловые проблемы этого процесса: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выбор момента и темпа введения обмена валюты;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для кого — резидентов или нерезидентов — и в какой последовательности;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по каким операциям — текущим операциям платежного баланса или финансовым.</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Первая проблема. Истории валютных отношений известны две модели — шоковый и постепенный переход к конвертируемости валюты по мере создания необходимых предпосылок. Первый — волюнтаристский — вариант (Турция, страны Восточной Европы, Россия) сопровождается падением курса национальной валюты, истощением официальных валютных резервов, так как растет спрос на иностранную валюту. Девальвация удорожает импорт, что усиливает инфляцию и увеличивает валютные потери при погашении внешнего долга в иностранной валюте. Что касается стимулирующего влияния девальвации на экспорт, то оно проявляется лишь при наличии экспортных конкурентоспособных товаров.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Второй вариант, т.е. поэтапный переход к конвертируемости валюты (опыт стран Западной Европы, Японии), имеет преимущество перед шоковым вариантом, так как основан на подготовке предпосылок. Основными предпосылками введения конвертируемости валюты являются: стабилизация экономики, сокращение дефицита государственного бюджета, сдерживание инфляции, уменьшение дефицита платежного баланса, урегулирование внешней задолженности страны, накопление официальных валютных и золотых резервов, нормализация социально-политической обстановки в стране.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Вторая проблема — определение последовательности введения конвертируемости валюты для резидентов и нерезидентов. Судя по мировому опыту, обычно предпочтение отдается вначале иностранным партнерам с целью заинтересовать их в сотрудничестве.</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Третья проблема касается выбора операций, по которым вводится обмен валюты. С декабря 1958 г., когда сложились экономические предпосылки, страны Западной Европы ввели частичную обратимость валют для нерезидентов, отменив валютные ограничения по текущим операциям платежного баланса. Технически это было осуществлено путем слияния переводных и свободно конвертируемых счетов в одну категорию "внешние счета иностранцев". В феврале 1961 г. эти страны отменили валютные ограничения также для резидентов.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Доминирующий критерий конвертируемости валюты — отсутствие валютных ограничений по текущим операциям платежного баланса. Переход от частичной к свободной конвертируемости валюты требует отмены валютных ограничений на операции по счету движения капиталов и длительной подготовки.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Свободная конвертируемость валют была введена в странах, отменивших валютные ограничения по международным финансовым операциям.</w:t>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17. Особенности международных расчетов и их основные формы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Международные расчеты — регламентирование платежей по денежным требованиям и обязательствам, возникающим в связи с экономическими, политическими и культурными отношениями между юридическими лицами и гражданами разных стран. Международные расчеты включают, с одной стороны, условия, порядок и формы осуществления платежей, выработанные практикой и закрепленные международными документами и обычаями, с другой — ежедневную практическую деятельность банков по их проведению. Подавляющий объем расчетов осуществляется безналичным путем посредством записей на счетах банков. При этом ведущую роль в международных расчетах играют крупнейшие банки. Степень их влияния в международных расчетах зависит от масштабов внешнеэкономических связей страны базирования, использования ее национальной валюты, специализации, финансового положения, деловой репутации, сети банков-корреспондентов.</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Особенности международных расчетов.</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1. Импортеры и экспортеры, их банки вступают в определенные, обособленные от внешнеторгового контракта, отношения, связанные с оформлением, пересылкой, обработкой товарораспорядительных и платежных документов, осуществлением платежей.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2. Международные расчеты регламентируются нормативными национальными законодательными актами, а также международными банковскими правилами и обычаями.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3. Международные расчеты — объект унификации, что обусловлено повышением степени интернационализации хозяйственных связей, особенно в условиях глобализации мировой экономики.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4. Международные расчеты имеют, как правило, документарный характер, т.е. осуществляются против финансовых и коммерческих документов.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5. Международные платежи осуществляются в различных валютах. Поэтому они связаны с конверсионными валютными операциями. На эффективность их проведения влияет динамика курсов валюты цены и валюты платежа.</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6. Международные расчеты связаны с кредитными отношениями. В качестве кредитора выступает либо экспортер (предоставляет отсрочку платежа), либо импортер (выплачивает аванс).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 xml:space="preserve">7. Применение разных форм международных расчетов связано с дисконтированием (учетом, продажей) определенных сопроводительных документов на мировом финансовом рынке.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8. Расчеты связаны с гарантийными операциями банков, которые служат дополнительным обеспечением платежных обязательств импортера.</w:t>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sz w:val="28"/>
          <w:szCs w:val="28"/>
        </w:rPr>
        <w:t>9. В рамках одного контракта может применяться несколько разных форм международных расчетов (комбинированные расчеты).</w:t>
      </w:r>
      <w:r w:rsidRPr="002D0237">
        <w:rPr>
          <w:rFonts w:ascii="Arial" w:hAnsi="Arial" w:cs="Arial"/>
          <w:b/>
          <w:sz w:val="28"/>
          <w:szCs w:val="28"/>
        </w:rPr>
        <w:t xml:space="preserve">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 мировой практике применяются следующие основные формы международных расчетов: документарный аккредитив, инкассо, банковский перевод, открытый счет, аванс.</w:t>
      </w:r>
      <w:r w:rsidRPr="002D0237">
        <w:rPr>
          <w:rFonts w:ascii="Arial" w:hAnsi="Arial" w:cs="Arial"/>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18. Аккредитивная форма расчетов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Аккредитив — это соглашение, в силу которого банк обязуется по просьбе клиента произвести оплату документов бенефициару, в пользу которого открыт аккредитив, или произвести оплату, акцепт тратты, выставленной бенефициаром, или негоциацию (покупку) документов, если выполнены все условия аккредитива. </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 расчетах по документарному аккредитиву участвуют:</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импортер (приказодатель), который обращается к банку с просьбой об открытии аккредитива;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банк-эмитент, открывающий аккредитив;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авизующий банк, которому поручается известить экспортера об открытии в его пользу аккредитива и передать ему текст аккредитива, удостоверив его подлинность;</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бенефициар-экспортер, в пользу которого открыт аккредитив. Схематично осуществление аккредитивной формы расчетов можно представить в виде следующих этапов</w:t>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noProof/>
          <w:sz w:val="28"/>
          <w:szCs w:val="28"/>
          <w:lang w:eastAsia="ru-RU"/>
        </w:rPr>
        <w:drawing>
          <wp:inline distT="0" distB="0" distL="0" distR="0">
            <wp:extent cx="4615214" cy="2295525"/>
            <wp:effectExtent l="0" t="0" r="0" b="0"/>
            <wp:docPr id="3" name="Рисунок 2" descr="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jpg"/>
                    <pic:cNvPicPr/>
                  </pic:nvPicPr>
                  <pic:blipFill>
                    <a:blip r:embed="rId7" cstate="print"/>
                    <a:stretch>
                      <a:fillRect/>
                    </a:stretch>
                  </pic:blipFill>
                  <pic:spPr>
                    <a:xfrm>
                      <a:off x="0" y="0"/>
                      <a:ext cx="4632202" cy="2303975"/>
                    </a:xfrm>
                    <a:prstGeom prst="rect">
                      <a:avLst/>
                    </a:prstGeom>
                  </pic:spPr>
                </pic:pic>
              </a:graphicData>
            </a:graphic>
          </wp:inline>
        </w:drawing>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Импортер после заключения контракта с экспортером (1) представляет в банк заявление на открытие аккредитива (2).</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Банк-эмитент открывает аккредитив и направляет его своему корреспонденту, как правило, в стране экспортера, поручая ему авизовать аккредитив бенефициару (3).</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Авизующий банк извещает и передает аккредитив бенефициару, удостоверяя его подлинность (4).</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После получения открытого в его пользу аккредитива (т.е. обязательства банка произвести платеж) бенефициар производит отгрузку товара (5), представляет документы, как правило, в авизующий банк (6), который пересылает их для оплаты банку-эмитенту (7).</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После проверки правильности оформления документов, если документы соответствуют условиям аккредитива, банк-эмитент переводит деньги согласно инструкциям авизующего банка (8) и выдаст документы приказодателю (9), который получает товар.</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Поступившая в авизующий банк экспортная выручка зачисляется на счет бенефициара (10).</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Преимущества экспортера: гарантия своевременной оплаты. Недостатки: необходимость тщательного оформления документов и своевременное их предоставление в банк.</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Преимущества импортера: возможность контролировать выполнение условий сделки экспортером, уменьшение риска неполучения товара. Недостатки: риск оплаты повережденных товаров, высокая стоимость аккредитивной формы расчетов.</w:t>
      </w:r>
      <w:r w:rsidR="00FB2F28">
        <w:rPr>
          <w:rFonts w:ascii="Arial" w:hAnsi="Arial" w:cs="Arial"/>
          <w:sz w:val="28"/>
          <w:szCs w:val="28"/>
        </w:rPr>
        <w:t xml:space="preserve"> </w:t>
      </w:r>
      <w:r w:rsidRPr="002D0237">
        <w:rPr>
          <w:rFonts w:ascii="Arial" w:hAnsi="Arial" w:cs="Arial"/>
          <w:sz w:val="28"/>
          <w:szCs w:val="28"/>
        </w:rPr>
        <w:t>Виды аккредитивов:</w:t>
      </w:r>
      <w:r w:rsidR="00FB2F28">
        <w:rPr>
          <w:rFonts w:ascii="Arial" w:hAnsi="Arial" w:cs="Arial"/>
          <w:sz w:val="28"/>
          <w:szCs w:val="28"/>
        </w:rPr>
        <w:t xml:space="preserve"> </w:t>
      </w:r>
      <w:r w:rsidRPr="002D0237">
        <w:rPr>
          <w:rFonts w:ascii="Arial" w:hAnsi="Arial" w:cs="Arial"/>
          <w:sz w:val="28"/>
          <w:szCs w:val="28"/>
        </w:rPr>
        <w:t xml:space="preserve">Безотзывный (твердое обязательство) и отзывный. Подтвержденный и неподтвержденный.Покрытый и непокрытый. </w:t>
      </w:r>
      <w:r w:rsidRPr="002D0237">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19. Инкассовая форма расчетов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Инкассо — банковская операция, посредством которой банк по поручению клиента-экспортера и на основании его инструкций получает платеж от импортера за отгруженные в его адрес товары и оказанные услуги, зачисляя эти средства на счет экспортера в банке в соответствии с Унифицированными правилами по инкассо. В инкассовой форме расчетов участвуют:</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доверитель-экспортер, поручающий инкассовую операцию своему байку;</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2) банк-ремитент, которому доверитель поручает операцию по инкассированию;</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3) инкассирующий банк, получающий валютные средства;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4) представляющий банк, предъявляющий документы импортеру-плательщику;</w:t>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sz w:val="28"/>
          <w:szCs w:val="28"/>
        </w:rPr>
        <w:t>5) плательщик-импортер</w:t>
      </w:r>
      <w:r w:rsidRPr="002D0237">
        <w:rPr>
          <w:rFonts w:ascii="Arial" w:hAnsi="Arial" w:cs="Arial"/>
          <w:b/>
          <w:sz w:val="28"/>
          <w:szCs w:val="28"/>
        </w:rPr>
        <w:t>.</w:t>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noProof/>
          <w:sz w:val="28"/>
          <w:szCs w:val="28"/>
          <w:lang w:eastAsia="ru-RU"/>
        </w:rPr>
        <w:drawing>
          <wp:inline distT="0" distB="0" distL="0" distR="0">
            <wp:extent cx="5100368" cy="2457450"/>
            <wp:effectExtent l="0" t="0" r="5080" b="0"/>
            <wp:docPr id="2" name="Рисунок 1" descr="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jpg"/>
                    <pic:cNvPicPr/>
                  </pic:nvPicPr>
                  <pic:blipFill>
                    <a:blip r:embed="rId8" cstate="print"/>
                    <a:stretch>
                      <a:fillRect/>
                    </a:stretch>
                  </pic:blipFill>
                  <pic:spPr>
                    <a:xfrm>
                      <a:off x="0" y="0"/>
                      <a:ext cx="5100368" cy="2457450"/>
                    </a:xfrm>
                    <a:prstGeom prst="rect">
                      <a:avLst/>
                    </a:prstGeom>
                  </pic:spPr>
                </pic:pic>
              </a:graphicData>
            </a:graphic>
          </wp:inline>
        </w:drawing>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Экспортер заключает контракт с импортером о продаже товаров на условиях расчетов по документарному инкассо (1) и отправляет ему товар (1а).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Экспортер направляет своему байку (ремитенту) инкассовое поручение и коммерческие документы (2).</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Банк экспортера пересылает инкассовое поручение и коммерческие документы инкассирующему банку (3).</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Инкассирующий банк может одновременно выступать в качестве представляющего банка, предъявляя полученные документы импортеру для оплаты. Представление документов также может быть выполнено инкассирующим банком через другой банк (как правило, банк импортера) (4).</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Импортер производит оплату документов инкассирующему (представляющему) банку (5).</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Инкассирующий банк переводит платеж банку-ремитенту (или байку экспортера) (6).</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Банк-ремитент зачисляет переведенную сумму на счет экспортера (7).</w:t>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sz w:val="28"/>
          <w:szCs w:val="28"/>
        </w:rPr>
        <w:t>Преимущества для экспортера: Сохранение права собственности и распоряжения своим товаром до акцепта векселя или оплаты его импортером, если не практикуется пересылка непосредственно покупателю одного из оригиналов коносамента для ускорения получения товара. Недостатки: Риск отказа импортера от акцепта векселя или платежа (например, с изменением конъюнктуры рынка или финансового положения плательщика) Значительный разрыв во времени между поступлением валют-нон выручки по инкассо и отгрузкой товара, особенно при его длительной транспортировке.</w:t>
      </w:r>
      <w:r w:rsidR="00FB2F28">
        <w:rPr>
          <w:rFonts w:ascii="Arial" w:hAnsi="Arial" w:cs="Arial"/>
          <w:sz w:val="28"/>
          <w:szCs w:val="28"/>
        </w:rPr>
        <w:t xml:space="preserve"> </w:t>
      </w:r>
      <w:r w:rsidRPr="002D0237">
        <w:rPr>
          <w:rFonts w:ascii="Arial" w:hAnsi="Arial" w:cs="Arial"/>
          <w:sz w:val="28"/>
          <w:szCs w:val="28"/>
        </w:rPr>
        <w:t>Преимущества для импортера: Осуществление платежа против товарораспорядительных документов без предварительного бронирования средств за счет их отвлечения из оборота импортера Возможность отказа от оплаты товара, так как при инкассо отсутствует платежное обязательство в отличие от аккредитива.Недостатки: иск со стороны экспортер.</w:t>
      </w:r>
      <w:r w:rsidRPr="002D0237">
        <w:rPr>
          <w:rFonts w:ascii="Arial" w:hAnsi="Arial" w:cs="Arial"/>
          <w:b/>
          <w:sz w:val="28"/>
          <w:szCs w:val="28"/>
        </w:rPr>
        <w:br w:type="page"/>
      </w:r>
    </w:p>
    <w:p w:rsidR="00EA4464" w:rsidRPr="002D0237" w:rsidRDefault="00EA4464"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20. Международные валютные клиринги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Одной из форм международных расчетов являются валютные клиринги — расчеты, основанные на обязательном зачете взаимных требований и обязательств стран. Международный (валютный) клиринг отличается от национального (внутреннего) клиринга:</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Во-первых, зачеты по внутреннему клирингу производятся в добровольном порядке, а по валютному клирингу — в обязательном: при наличии клирингового соглашения между странами экспортеры и импортеры не имеют права уклоняться от расчетов по клирингу.</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Во-вторых, по внутреннему клирингу сальдо зачета немедленно оплачивается деньгами, а при валютном клиринге возникает проблема его погашения.</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В-третьих, валютный клиринг оформляется соглашением между правительствами или банками двух и более стран, а внутренний клиринг — соглашением между национальными банками.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Характерной чертой валютных клирингов является замена международных платежей в иностранной валюте расчетами в национальной валюте с клиринговыми банками, которые осуществляют окончательный зачет взаимных требований и обязательств.</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Формы валютного клиринга разнообразны и могут быть классифицированы по следующим основным признакам:</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в зависимости от числа стран-участниц различаются односторонние, двусторонние, многосторонние и международные клиринги. Односторонний клиринг нежизнеспособен.</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Распространены двусторонние клиринги, при которых импортеры вносят в свой банк национальную валюту, а экспортеры взамен инвалютной выручки получают национальную валюту. Зачет взаимных требований и обязательств осуществляют клиринговые банки, т.е. ведущие клиринговые счета. Многосторонний клиринг включает три и более страны;</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по объему операций различаются полный клиринг, охватывающий до 95% платежного оборота, и частичный;</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 по способу регулирования сальдо клирингового счета различаются клиринги:</w:t>
      </w:r>
    </w:p>
    <w:p w:rsidR="00EA4464" w:rsidRPr="002D0237"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1) со свободно конвертируемым сальдо;</w:t>
      </w:r>
      <w:r w:rsidR="00FB2F28">
        <w:rPr>
          <w:rFonts w:ascii="Arial" w:hAnsi="Arial" w:cs="Arial"/>
          <w:sz w:val="28"/>
          <w:szCs w:val="28"/>
        </w:rPr>
        <w:t xml:space="preserve"> </w:t>
      </w:r>
      <w:r w:rsidRPr="002D0237">
        <w:rPr>
          <w:rFonts w:ascii="Arial" w:hAnsi="Arial" w:cs="Arial"/>
          <w:sz w:val="28"/>
          <w:szCs w:val="28"/>
        </w:rPr>
        <w:t>2) с условной конверсией, например по истечении определенного периода после образования сальдо;</w:t>
      </w:r>
      <w:r w:rsidR="00FB2F28">
        <w:rPr>
          <w:rFonts w:ascii="Arial" w:hAnsi="Arial" w:cs="Arial"/>
          <w:sz w:val="28"/>
          <w:szCs w:val="28"/>
        </w:rPr>
        <w:t xml:space="preserve"> </w:t>
      </w:r>
      <w:r w:rsidRPr="002D0237">
        <w:rPr>
          <w:rFonts w:ascii="Arial" w:hAnsi="Arial" w:cs="Arial"/>
          <w:sz w:val="28"/>
          <w:szCs w:val="28"/>
        </w:rPr>
        <w:t>3) неконвертируемым сальдо, которое погашается в основном товарными поставками, а не иностранной валютой.</w:t>
      </w:r>
      <w:r w:rsidR="00FB2F28">
        <w:rPr>
          <w:rFonts w:ascii="Arial" w:hAnsi="Arial" w:cs="Arial"/>
          <w:sz w:val="28"/>
          <w:szCs w:val="28"/>
        </w:rPr>
        <w:t xml:space="preserve">/ </w:t>
      </w:r>
      <w:r w:rsidRPr="002D0237">
        <w:rPr>
          <w:rFonts w:ascii="Arial" w:hAnsi="Arial" w:cs="Arial"/>
          <w:sz w:val="28"/>
          <w:szCs w:val="28"/>
        </w:rPr>
        <w:t>Валюта клиринга может быть любой. Иногда применяются две валюты или международная валютная единица (например эпунит в Европейском платежном союзе (ЕПС)). При клиринговых расчетах возникают валютные риски: замораживание валютной выручки при неконвертируемом сальдо клиринга и потерн при изменении курса валют.</w:t>
      </w:r>
      <w:r w:rsidR="00FB2F28">
        <w:rPr>
          <w:rFonts w:ascii="Arial" w:hAnsi="Arial" w:cs="Arial"/>
          <w:sz w:val="28"/>
          <w:szCs w:val="28"/>
        </w:rPr>
        <w:t xml:space="preserve"> </w:t>
      </w:r>
      <w:r w:rsidRPr="002D0237">
        <w:rPr>
          <w:rFonts w:ascii="Arial" w:hAnsi="Arial" w:cs="Arial"/>
          <w:sz w:val="28"/>
          <w:szCs w:val="28"/>
        </w:rPr>
        <w:t>Многосторонний валютный клиринг отличается от двухстороннего тем, что зачет взаимных требований и обязательств и балансирование международных платежей осуществляются между всеми странами, подписавшими клиринговое соглашение.</w:t>
      </w:r>
    </w:p>
    <w:p w:rsidR="00EA4464" w:rsidRDefault="00EA4464"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Валютные клиринги, с одной стороны, способствуют развитию МЭО при валютных ограничениях и экономии валютных средств для осуществления международных расчетов. С другой стороны, при этом приходится регулировать внешнеторговый оборот с каждой страной в отдельности, а валютную выручку можно использовать только в стране, с которой заключено клиринговое соглашение.</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 xml:space="preserve">21. Валютно-финансовые и платежные условия международного кредита. </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Условия международного кредита включают валюту кредита и валюту платежа, сумму, срок, условия использования и погашения, стоимость, вид обеспечения, методы страхования рисков.</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Валюта кредита и платежа. Для международного кредита важно, в какой валюте он предоставлен, так как неустойчивость ее ведет к потерям кредитора. На выбор валюты кредита влияет ряд факторов, в том числе степень ее стабильности, уровень процентной ставки, практика международных расчетов, степень инфляции, курса валюты и т.д.</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Сумма (лимит) кредита - часть ссудного капитала, который предоставлен в товарной или денежной форме заемщику. Сумма фирменного кредита фиксируется в коммерческом контракте. Сумма банковского кредита (кредитная линия) определяется кредитным соглашением или путем обмена телексами (при краткосрочной ссуде). Кредит может предоставляться в виде одного или нескольких траншей (долей), которые различаются по своим условиям. В соответствии со сложившейся практикой кредит покрывает обычно до 85% стоимости экспортируемых машин и оборудования. Остальная часть обеспечивается авансовыми, наличными платежами, гарантиями импортера экспортеру.</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Срок международного кредита зависит от ряда факторов: целевого назначения кредита; соотношения спроса и предложения аналогичных кредитов; размера контракта; национального законодательства; традиционной практики кредитования; межгосударственных соглашений.</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xml:space="preserve">Срок кредита - важное средство конкурентной борьбы на мировых рынках. Полный срок исчисляется от момента начала использования кредита до его окончательного погашения. Он включает период использования </w:t>
      </w:r>
      <w:r w:rsidRPr="002D0237">
        <w:rPr>
          <w:rFonts w:ascii="Arial" w:eastAsia="Times New Roman" w:hAnsi="Arial" w:cs="Arial"/>
          <w:b/>
          <w:sz w:val="28"/>
          <w:szCs w:val="28"/>
          <w:lang w:eastAsia="ru-RU"/>
        </w:rPr>
        <w:t>предоставленного</w:t>
      </w:r>
      <w:r w:rsidRPr="002D0237">
        <w:rPr>
          <w:rFonts w:ascii="Arial" w:eastAsia="Times New Roman" w:hAnsi="Arial" w:cs="Arial"/>
          <w:sz w:val="28"/>
          <w:szCs w:val="28"/>
          <w:lang w:eastAsia="ru-RU"/>
        </w:rPr>
        <w:t xml:space="preserve"> кредита, льготный период – период отсрочки погашения </w:t>
      </w:r>
      <w:r w:rsidRPr="002D0237">
        <w:rPr>
          <w:rFonts w:ascii="Arial" w:eastAsia="Times New Roman" w:hAnsi="Arial" w:cs="Arial"/>
          <w:b/>
          <w:sz w:val="28"/>
          <w:szCs w:val="28"/>
          <w:lang w:eastAsia="ru-RU"/>
        </w:rPr>
        <w:t xml:space="preserve">использованного </w:t>
      </w:r>
      <w:r w:rsidRPr="002D0237">
        <w:rPr>
          <w:rFonts w:ascii="Arial" w:eastAsia="Times New Roman" w:hAnsi="Arial" w:cs="Arial"/>
          <w:sz w:val="28"/>
          <w:szCs w:val="28"/>
          <w:lang w:eastAsia="ru-RU"/>
        </w:rPr>
        <w:t xml:space="preserve">кредита, период </w:t>
      </w:r>
      <w:r w:rsidRPr="002D0237">
        <w:rPr>
          <w:rFonts w:ascii="Arial" w:eastAsia="Times New Roman" w:hAnsi="Arial" w:cs="Arial"/>
          <w:b/>
          <w:sz w:val="28"/>
          <w:szCs w:val="28"/>
          <w:lang w:eastAsia="ru-RU"/>
        </w:rPr>
        <w:t>погашения</w:t>
      </w:r>
      <w:r w:rsidRPr="002D0237">
        <w:rPr>
          <w:rFonts w:ascii="Arial" w:eastAsia="Times New Roman" w:hAnsi="Arial" w:cs="Arial"/>
          <w:sz w:val="28"/>
          <w:szCs w:val="28"/>
          <w:lang w:eastAsia="ru-RU"/>
        </w:rPr>
        <w:t>, когда осуществляется выплата основного долга и процентов. Формула расчета полного срока кредита: Сп=Пи+Лп+Пп</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По условиям погашения различаются кредиты:</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с равномерным погашением равными долями в течение срока;</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с неравномерным погашением в зависимости от зафиксированных в соглашении принципа и графика (например, увеличение доли к концу срока);</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с единовременным погашением всей суммы сразу;</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аннуитетные (равные годовые взносы основной суммы кредита</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и процентов).</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Различаются договорные и скрытые элементы стоимости кредита. К основным элементам стоимости кредита относятся сумма долга, проценты, расходы по оформлению залога, комиссии.</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К альтернативным видам кредитного обеспечения относятся:</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открытие целевых накопительных счетов;</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залог активов;</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переуступка прав по контрактам и др.</w:t>
      </w:r>
      <w:r w:rsidR="00FB2F28">
        <w:rPr>
          <w:rFonts w:ascii="Arial" w:eastAsia="Times New Roman" w:hAnsi="Arial" w:cs="Arial"/>
          <w:sz w:val="28"/>
          <w:szCs w:val="28"/>
          <w:lang w:eastAsia="ru-RU"/>
        </w:rPr>
        <w:t>/</w:t>
      </w:r>
      <w:r w:rsidRPr="002D0237">
        <w:rPr>
          <w:rFonts w:ascii="Arial" w:eastAsia="Times New Roman" w:hAnsi="Arial" w:cs="Arial"/>
          <w:sz w:val="28"/>
          <w:szCs w:val="28"/>
          <w:lang w:eastAsia="ru-RU"/>
        </w:rPr>
        <w:t>При определении валютно-финансовых условий международного кредита кредитор исходит из кредитоспособности - способности заемщика получить кредит - и платежеспособности - способности заемщика своевременно и полностью рассчитываться по своим обязательствам.</w:t>
      </w:r>
    </w:p>
    <w:p w:rsidR="00EA4464" w:rsidRPr="002D0237" w:rsidRDefault="00EA4464"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Поэтому одним из условий международного кредита является минимизация кредитных, валютных и других рисков, которым подвергаются кредиторы и заемщики.</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Таким образом, валютно-финансовые условия международного кредита зависят от состояния экономики, национального и мирового рынков ссудных капиталов.</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 xml:space="preserve">22. Проблема роста внешних долгов в мировой экономике. </w:t>
      </w:r>
    </w:p>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Вне́шний долг — суммарные денежные обязательства государства, выражаемые денежной суммой, подлежащей возврату внешним кредиторам на определённую дату, то есть общая задолженность страны по внешним займам и невыплаченным по ним процентам</w:t>
      </w:r>
    </w:p>
    <w:p w:rsidR="00EA4464" w:rsidRPr="002D0237" w:rsidRDefault="00EA4464" w:rsidP="00FB2F28">
      <w:pPr>
        <w:spacing w:after="0" w:line="240" w:lineRule="auto"/>
        <w:ind w:firstLine="142"/>
        <w:rPr>
          <w:rFonts w:ascii="Arial" w:hAnsi="Arial" w:cs="Arial"/>
          <w:sz w:val="28"/>
          <w:szCs w:val="28"/>
        </w:rPr>
      </w:pPr>
      <w:r w:rsidRPr="002D0237">
        <w:rPr>
          <w:rFonts w:ascii="Arial" w:eastAsia="Times New Roman" w:hAnsi="Arial" w:cs="Arial"/>
          <w:sz w:val="28"/>
          <w:szCs w:val="28"/>
          <w:lang w:eastAsia="ru-RU"/>
        </w:rPr>
        <w:t>Фундаментальной предпосылкой современного глобального долгового кризиса стал чрезмерный рост финансовой глобализации, особенно в сфере международного кредита. Доля финансовых активов в мировом ВВП увеличилась с 261% в 1990 г. до 356% в 2010 г. При этом в финансовых активах возросла доля государственных и корпоративных долговых обязательств до 74,1% в 2011 г. по сравнению с 67,8% накануне кризиса в 2007 г.</w:t>
      </w:r>
    </w:p>
    <w:p w:rsidR="00EA4464" w:rsidRPr="002D0237" w:rsidRDefault="00EA4464" w:rsidP="00FB2F28">
      <w:pPr>
        <w:spacing w:after="0" w:line="240" w:lineRule="auto"/>
        <w:ind w:firstLine="142"/>
        <w:rPr>
          <w:rFonts w:ascii="Arial" w:hAnsi="Arial" w:cs="Arial"/>
          <w:sz w:val="28"/>
          <w:szCs w:val="28"/>
        </w:rPr>
      </w:pPr>
      <w:r w:rsidRPr="002D0237">
        <w:rPr>
          <w:rFonts w:ascii="Arial" w:eastAsia="Times New Roman" w:hAnsi="Arial" w:cs="Arial"/>
          <w:sz w:val="28"/>
          <w:szCs w:val="28"/>
          <w:lang w:eastAsia="ru-RU"/>
        </w:rPr>
        <w:t xml:space="preserve">"Спусковым крючком" первой волны этого кризиса послужил кризис </w:t>
      </w:r>
      <w:r w:rsidRPr="002D0237">
        <w:rPr>
          <w:rFonts w:ascii="Arial" w:eastAsia="Times New Roman" w:hAnsi="Arial" w:cs="Arial"/>
          <w:b/>
          <w:bCs/>
          <w:i/>
          <w:iCs/>
          <w:sz w:val="28"/>
          <w:szCs w:val="28"/>
          <w:lang w:eastAsia="ru-RU"/>
        </w:rPr>
        <w:t>корпоративной</w:t>
      </w:r>
      <w:r w:rsidRPr="002D0237">
        <w:rPr>
          <w:rFonts w:ascii="Arial" w:eastAsia="Times New Roman" w:hAnsi="Arial" w:cs="Arial"/>
          <w:sz w:val="28"/>
          <w:szCs w:val="28"/>
          <w:lang w:eastAsia="ru-RU"/>
        </w:rPr>
        <w:t xml:space="preserve"> задолженности. Для его преодоления и оказания помощи своим ведущим корпорациям и банкам и национальным экономикам большинство стран увеличило государственные расходы. В условиях сужения спроса на рынках и падения производства это вызвало уменьшение доходов государственных бюджетов и обострение проблем бюджетного дефицита.</w:t>
      </w:r>
    </w:p>
    <w:p w:rsidR="00EA4464" w:rsidRPr="002D0237" w:rsidRDefault="00EA4464" w:rsidP="00FB2F28">
      <w:pPr>
        <w:spacing w:after="0" w:line="240" w:lineRule="auto"/>
        <w:ind w:firstLine="142"/>
        <w:rPr>
          <w:rFonts w:ascii="Arial" w:hAnsi="Arial" w:cs="Arial"/>
          <w:sz w:val="28"/>
          <w:szCs w:val="28"/>
        </w:rPr>
      </w:pPr>
      <w:r w:rsidRPr="002D0237">
        <w:rPr>
          <w:rFonts w:ascii="Arial" w:eastAsia="Times New Roman" w:hAnsi="Arial" w:cs="Arial"/>
          <w:sz w:val="28"/>
          <w:szCs w:val="28"/>
          <w:lang w:eastAsia="ru-RU"/>
        </w:rPr>
        <w:t>Хотя в 2011 г. многие страны ЕС в результате принятых мер несколько сократили бюджетный дефицит, ситуация остается тревожной.</w:t>
      </w:r>
    </w:p>
    <w:tbl>
      <w:tblPr>
        <w:tblW w:w="0" w:type="auto"/>
        <w:tblCellSpacing w:w="15" w:type="dxa"/>
        <w:tblCellMar>
          <w:top w:w="15" w:type="dxa"/>
          <w:left w:w="15" w:type="dxa"/>
          <w:bottom w:w="15" w:type="dxa"/>
          <w:right w:w="15" w:type="dxa"/>
        </w:tblCellMar>
        <w:tblLook w:val="04A0"/>
      </w:tblPr>
      <w:tblGrid>
        <w:gridCol w:w="3525"/>
        <w:gridCol w:w="3510"/>
        <w:gridCol w:w="3525"/>
      </w:tblGrid>
      <w:tr w:rsidR="00EA4464" w:rsidRPr="002D0237" w:rsidTr="00EA4464">
        <w:trPr>
          <w:tblCellSpacing w:w="15" w:type="dxa"/>
        </w:trPr>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Название страны</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Внешний долг (млн. долларов)</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Внешний долг к ВВП (%)</w:t>
            </w:r>
          </w:p>
        </w:tc>
      </w:tr>
      <w:tr w:rsidR="00EA4464" w:rsidRPr="002D0237" w:rsidTr="00EA4464">
        <w:trPr>
          <w:tblCellSpacing w:w="15" w:type="dxa"/>
        </w:trPr>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США</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16 893 000</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101</w:t>
            </w:r>
          </w:p>
        </w:tc>
      </w:tr>
      <w:tr w:rsidR="00EA4464" w:rsidRPr="002D0237" w:rsidTr="00EA4464">
        <w:trPr>
          <w:tblCellSpacing w:w="15" w:type="dxa"/>
        </w:trPr>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Великобритания</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9 836 000</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396</w:t>
            </w:r>
          </w:p>
        </w:tc>
      </w:tr>
      <w:tr w:rsidR="00EA4464" w:rsidRPr="002D0237" w:rsidTr="00EA4464">
        <w:trPr>
          <w:tblCellSpacing w:w="15" w:type="dxa"/>
        </w:trPr>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Германия</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5 624 000</w:t>
            </w:r>
          </w:p>
        </w:tc>
        <w:tc>
          <w:tcPr>
            <w:tcW w:w="3480" w:type="dxa"/>
            <w:vAlign w:val="center"/>
            <w:hideMark/>
          </w:tcPr>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159</w:t>
            </w:r>
          </w:p>
        </w:tc>
      </w:tr>
    </w:tbl>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Внешний долг России за последние два года уменьшился более чем на 200 миллиардов долларов.</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Внешний долг России составляет 522 миллиардов долл. на 1 ноября 2015 года</w:t>
      </w:r>
    </w:p>
    <w:p w:rsidR="00F73A76" w:rsidRPr="002D0237" w:rsidRDefault="00EA4464" w:rsidP="00FB2F28">
      <w:pPr>
        <w:spacing w:after="0" w:line="240" w:lineRule="auto"/>
        <w:ind w:firstLine="142"/>
        <w:rPr>
          <w:rFonts w:ascii="Arial" w:hAnsi="Arial" w:cs="Arial"/>
          <w:b/>
          <w:sz w:val="28"/>
          <w:szCs w:val="28"/>
        </w:rPr>
      </w:pPr>
      <w:r w:rsidRPr="002D0237">
        <w:rPr>
          <w:rFonts w:ascii="Arial" w:eastAsia="Times New Roman" w:hAnsi="Arial" w:cs="Arial"/>
          <w:sz w:val="28"/>
          <w:szCs w:val="28"/>
          <w:lang w:eastAsia="ru-RU"/>
        </w:rPr>
        <w:t>К основным методам урегулирования внешнего долга развивающихся стран относятся:</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реструктуризация долга с увеличением срока его погашения и снижением стоимости обслуживания (в том числе процентных ставок);</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предоставление или увеличение льготного периода, когда должнику редоставляется отсрочка погашения основного долга и выплаты процентов;</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списание долга (в зависимости от схемы по облегчению долгового бремени в диапазоне от 20—30 до 100% всего долга);</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проведение операций "своп" путем обмена: "долг — на собственность", "долг — на инвестиции", "долг — на охрану окружающей среды, или социальные траты на здравоохранение, образование";</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предоставление льготных кредитов;</w:t>
      </w:r>
      <w:r w:rsidR="00FB2F28">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расширение безвозмездной финансовой помощи (официальной помощи развитию) и др.</w:t>
      </w:r>
      <w:r w:rsidR="00FB2F28">
        <w:rPr>
          <w:rFonts w:ascii="Arial" w:eastAsia="Times New Roman" w:hAnsi="Arial" w:cs="Arial"/>
          <w:sz w:val="28"/>
          <w:szCs w:val="28"/>
          <w:lang w:eastAsia="ru-RU"/>
        </w:rPr>
        <w:t xml:space="preserve">// </w:t>
      </w:r>
      <w:r w:rsidRPr="002D0237">
        <w:rPr>
          <w:rFonts w:ascii="Arial" w:hAnsi="Arial" w:cs="Arial"/>
          <w:sz w:val="28"/>
          <w:szCs w:val="28"/>
        </w:rPr>
        <w:t xml:space="preserve">В 1956 г. был организован </w:t>
      </w:r>
      <w:r w:rsidRPr="002D0237">
        <w:rPr>
          <w:rStyle w:val="a5"/>
          <w:rFonts w:ascii="Arial" w:hAnsi="Arial" w:cs="Arial"/>
          <w:i/>
          <w:iCs/>
          <w:sz w:val="28"/>
          <w:szCs w:val="28"/>
        </w:rPr>
        <w:t>Парижский клуб кредиторов</w:t>
      </w:r>
      <w:r w:rsidRPr="002D0237">
        <w:rPr>
          <w:rFonts w:ascii="Arial" w:hAnsi="Arial" w:cs="Arial"/>
          <w:sz w:val="28"/>
          <w:szCs w:val="28"/>
        </w:rPr>
        <w:t xml:space="preserve"> для ведения переговоров по погашению задолженности государств-должников. Роль этой организации в решении долговых проблем за прошедшие 55 лет существенно возросла, и она стала одним из важнейших институтов межгосударственного урегулирования внешнего долга.</w:t>
      </w:r>
      <w:r w:rsidRPr="002D0237">
        <w:rPr>
          <w:rStyle w:val="10"/>
          <w:rFonts w:ascii="Arial" w:hAnsi="Arial" w:cs="Arial"/>
          <w:i/>
          <w:iCs/>
        </w:rPr>
        <w:t xml:space="preserve"> </w:t>
      </w:r>
      <w:r w:rsidRPr="002D0237">
        <w:rPr>
          <w:rStyle w:val="a5"/>
          <w:rFonts w:ascii="Arial" w:hAnsi="Arial" w:cs="Arial"/>
          <w:i/>
          <w:iCs/>
          <w:sz w:val="28"/>
          <w:szCs w:val="28"/>
        </w:rPr>
        <w:t>Лондонский клуб кредиторов</w:t>
      </w:r>
      <w:r w:rsidRPr="002D0237">
        <w:rPr>
          <w:rFonts w:ascii="Arial" w:hAnsi="Arial" w:cs="Arial"/>
          <w:sz w:val="28"/>
          <w:szCs w:val="28"/>
        </w:rPr>
        <w:t xml:space="preserve"> был создан в 1976 г. для реструктуризации долгов перед банками и другими корпоративными кредиторами. Это отражает возрастание их роли в международном кредитовании. МВФ и ВБ играют важную роль в урегулировании внешнего долга. </w:t>
      </w:r>
    </w:p>
    <w:p w:rsidR="00FB2F28" w:rsidRDefault="00FB2F28">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23. Виды международных кредитных рейтингов.</w:t>
      </w: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Кредитный рейтинг представляет собой независимую и надежную оценку кредитоспособности эмитента, на основе которой участники рынка могут принимать обоснованные финансовые решения.</w:t>
      </w:r>
    </w:p>
    <w:p w:rsidR="00EA4464" w:rsidRPr="002D0237" w:rsidRDefault="00EA4464" w:rsidP="00FB2F28">
      <w:pPr>
        <w:spacing w:after="0" w:line="240" w:lineRule="auto"/>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Виды: долгосрочные, среднесрочные, краткосрочные.</w:t>
      </w:r>
    </w:p>
    <w:p w:rsidR="00EA4464" w:rsidRPr="002D0237" w:rsidRDefault="00EA4464" w:rsidP="00FB2F28">
      <w:pPr>
        <w:pStyle w:val="a6"/>
        <w:spacing w:before="0" w:beforeAutospacing="0" w:after="0" w:afterAutospacing="0"/>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 xml:space="preserve">Виды прогнозов: </w:t>
      </w:r>
    </w:p>
    <w:p w:rsidR="00EA4464" w:rsidRPr="002D0237" w:rsidRDefault="00EA4464" w:rsidP="00FB2F28">
      <w:pPr>
        <w:numPr>
          <w:ilvl w:val="0"/>
          <w:numId w:val="6"/>
        </w:numPr>
        <w:spacing w:after="0" w:line="240" w:lineRule="auto"/>
        <w:ind w:left="0"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позитивный, есть перспектива повышения,</w:t>
      </w:r>
    </w:p>
    <w:p w:rsidR="00EA4464" w:rsidRPr="002D0237" w:rsidRDefault="00EA4464" w:rsidP="00FB2F28">
      <w:pPr>
        <w:numPr>
          <w:ilvl w:val="0"/>
          <w:numId w:val="7"/>
        </w:numPr>
        <w:spacing w:after="0" w:line="240" w:lineRule="auto"/>
        <w:ind w:left="0"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негативный, наоборот, существует возможность понижения рейтинга,</w:t>
      </w:r>
    </w:p>
    <w:p w:rsidR="00EA4464" w:rsidRPr="002D0237" w:rsidRDefault="00EA4464" w:rsidP="00FB2F28">
      <w:pPr>
        <w:numPr>
          <w:ilvl w:val="0"/>
          <w:numId w:val="8"/>
        </w:numPr>
        <w:spacing w:after="0" w:line="240" w:lineRule="auto"/>
        <w:ind w:left="0"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стабильный, вероятно, что прогноз не измениться не в лучшую, не в худшую сторону,</w:t>
      </w:r>
    </w:p>
    <w:p w:rsidR="00EA4464" w:rsidRPr="002D0237" w:rsidRDefault="00EA4464" w:rsidP="00FB2F28">
      <w:pPr>
        <w:numPr>
          <w:ilvl w:val="0"/>
          <w:numId w:val="9"/>
        </w:numPr>
        <w:spacing w:after="0" w:line="240" w:lineRule="auto"/>
        <w:ind w:left="0"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развивающийся, этот вид прогноза можно назвать неопределенным, так как возможно как повышение, так и понижение.</w:t>
      </w:r>
    </w:p>
    <w:p w:rsidR="00EA4464" w:rsidRPr="002D0237" w:rsidRDefault="00EA4464" w:rsidP="00FB2F28">
      <w:pPr>
        <w:spacing w:after="0" w:line="240" w:lineRule="auto"/>
        <w:ind w:firstLine="142"/>
        <w:jc w:val="both"/>
        <w:rPr>
          <w:rFonts w:ascii="Arial" w:eastAsia="Times New Roman" w:hAnsi="Arial" w:cs="Arial"/>
          <w:color w:val="000000" w:themeColor="text1"/>
          <w:sz w:val="28"/>
          <w:szCs w:val="28"/>
          <w:lang w:eastAsia="ru-RU"/>
        </w:rPr>
      </w:pPr>
      <w:r w:rsidRPr="002D0237">
        <w:rPr>
          <w:rFonts w:ascii="Arial" w:hAnsi="Arial" w:cs="Arial"/>
          <w:color w:val="000000" w:themeColor="text1"/>
          <w:sz w:val="28"/>
          <w:szCs w:val="28"/>
        </w:rPr>
        <w:t xml:space="preserve">Крупнейшими рейтинговыми агентствами (которые работают во всём мире) являются </w:t>
      </w:r>
      <w:hyperlink r:id="rId9" w:tooltip="Moody's" w:history="1">
        <w:r w:rsidRPr="002D0237">
          <w:rPr>
            <w:rStyle w:val="a7"/>
            <w:rFonts w:ascii="Arial" w:hAnsi="Arial" w:cs="Arial"/>
            <w:color w:val="000000" w:themeColor="text1"/>
            <w:sz w:val="28"/>
            <w:szCs w:val="28"/>
          </w:rPr>
          <w:t>Moody's</w:t>
        </w:r>
      </w:hyperlink>
      <w:r w:rsidRPr="002D0237">
        <w:rPr>
          <w:rFonts w:ascii="Arial" w:hAnsi="Arial" w:cs="Arial"/>
          <w:color w:val="000000" w:themeColor="text1"/>
          <w:sz w:val="28"/>
          <w:szCs w:val="28"/>
        </w:rPr>
        <w:t xml:space="preserve">, </w:t>
      </w:r>
      <w:hyperlink r:id="rId10" w:tooltip="Standard and Poor's" w:history="1">
        <w:r w:rsidRPr="002D0237">
          <w:rPr>
            <w:rStyle w:val="a7"/>
            <w:rFonts w:ascii="Arial" w:hAnsi="Arial" w:cs="Arial"/>
            <w:color w:val="000000" w:themeColor="text1"/>
            <w:sz w:val="28"/>
            <w:szCs w:val="28"/>
          </w:rPr>
          <w:t>Standard and Poor's</w:t>
        </w:r>
      </w:hyperlink>
      <w:r w:rsidRPr="002D0237">
        <w:rPr>
          <w:rFonts w:ascii="Arial" w:hAnsi="Arial" w:cs="Arial"/>
          <w:color w:val="000000" w:themeColor="text1"/>
          <w:sz w:val="28"/>
          <w:szCs w:val="28"/>
        </w:rPr>
        <w:t xml:space="preserve"> и </w:t>
      </w:r>
      <w:hyperlink r:id="rId11" w:tooltip="Fitch Ratings" w:history="1">
        <w:r w:rsidRPr="002D0237">
          <w:rPr>
            <w:rStyle w:val="a7"/>
            <w:rFonts w:ascii="Arial" w:hAnsi="Arial" w:cs="Arial"/>
            <w:color w:val="000000" w:themeColor="text1"/>
            <w:sz w:val="28"/>
            <w:szCs w:val="28"/>
          </w:rPr>
          <w:t>Fitch Ratings</w:t>
        </w:r>
      </w:hyperlink>
      <w:r w:rsidRPr="002D0237">
        <w:rPr>
          <w:rFonts w:ascii="Arial" w:hAnsi="Arial" w:cs="Arial"/>
          <w:color w:val="000000" w:themeColor="text1"/>
          <w:sz w:val="28"/>
          <w:szCs w:val="28"/>
        </w:rPr>
        <w:t>. Крупнейшими российскими рейтинговыми агентствами являются «</w:t>
      </w:r>
      <w:hyperlink r:id="rId12" w:tooltip="Эксперт РА" w:history="1">
        <w:r w:rsidRPr="002D0237">
          <w:rPr>
            <w:rStyle w:val="a7"/>
            <w:rFonts w:ascii="Arial" w:hAnsi="Arial" w:cs="Arial"/>
            <w:color w:val="000000" w:themeColor="text1"/>
            <w:sz w:val="28"/>
            <w:szCs w:val="28"/>
          </w:rPr>
          <w:t>Эксперт РА</w:t>
        </w:r>
      </w:hyperlink>
      <w:r w:rsidRPr="002D0237">
        <w:rPr>
          <w:rFonts w:ascii="Arial" w:hAnsi="Arial" w:cs="Arial"/>
          <w:color w:val="000000" w:themeColor="text1"/>
          <w:sz w:val="28"/>
          <w:szCs w:val="28"/>
        </w:rPr>
        <w:t>», «</w:t>
      </w:r>
      <w:hyperlink r:id="rId13" w:tooltip="Рус-Рейтинг" w:history="1">
        <w:r w:rsidRPr="002D0237">
          <w:rPr>
            <w:rStyle w:val="a7"/>
            <w:rFonts w:ascii="Arial" w:hAnsi="Arial" w:cs="Arial"/>
            <w:color w:val="000000" w:themeColor="text1"/>
            <w:sz w:val="28"/>
            <w:szCs w:val="28"/>
          </w:rPr>
          <w:t>РусРейтинг</w:t>
        </w:r>
      </w:hyperlink>
      <w:r w:rsidRPr="002D0237">
        <w:rPr>
          <w:rFonts w:ascii="Arial" w:hAnsi="Arial" w:cs="Arial"/>
          <w:color w:val="000000" w:themeColor="text1"/>
          <w:sz w:val="28"/>
          <w:szCs w:val="28"/>
        </w:rPr>
        <w:t>», «</w:t>
      </w:r>
      <w:hyperlink r:id="rId14" w:tooltip="Национальное Рейтинговое Агентство (страница отсутствует)" w:history="1">
        <w:r w:rsidRPr="002D0237">
          <w:rPr>
            <w:rStyle w:val="a7"/>
            <w:rFonts w:ascii="Arial" w:hAnsi="Arial" w:cs="Arial"/>
            <w:color w:val="000000" w:themeColor="text1"/>
            <w:sz w:val="28"/>
            <w:szCs w:val="28"/>
          </w:rPr>
          <w:t>Национальное Рейтинговое Агентство</w:t>
        </w:r>
      </w:hyperlink>
      <w:r w:rsidRPr="002D0237">
        <w:rPr>
          <w:rFonts w:ascii="Arial" w:hAnsi="Arial" w:cs="Arial"/>
          <w:color w:val="000000" w:themeColor="text1"/>
          <w:sz w:val="28"/>
          <w:szCs w:val="28"/>
        </w:rPr>
        <w:t xml:space="preserve">» и </w:t>
      </w:r>
      <w:hyperlink r:id="rId15" w:tooltip="Рейтинговое агентство АК&amp;M" w:history="1">
        <w:r w:rsidRPr="002D0237">
          <w:rPr>
            <w:rStyle w:val="a7"/>
            <w:rFonts w:ascii="Arial" w:hAnsi="Arial" w:cs="Arial"/>
            <w:color w:val="000000" w:themeColor="text1"/>
            <w:sz w:val="28"/>
            <w:szCs w:val="28"/>
          </w:rPr>
          <w:t>Рейтинговое агентство АК&amp;M</w:t>
        </w:r>
      </w:hyperlink>
      <w:r w:rsidRPr="002D0237">
        <w:rPr>
          <w:rFonts w:ascii="Arial" w:hAnsi="Arial" w:cs="Arial"/>
          <w:color w:val="000000" w:themeColor="text1"/>
          <w:sz w:val="28"/>
          <w:szCs w:val="28"/>
        </w:rPr>
        <w:t>.</w:t>
      </w:r>
    </w:p>
    <w:p w:rsidR="00EA4464" w:rsidRPr="002D0237" w:rsidRDefault="00EA4464" w:rsidP="00FB2F28">
      <w:pPr>
        <w:spacing w:after="0" w:line="240" w:lineRule="auto"/>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 xml:space="preserve">Рейтинг </w:t>
      </w:r>
      <w:hyperlink r:id="rId16" w:tooltip="Standard &amp; Poor's" w:history="1">
        <w:r w:rsidRPr="002D0237">
          <w:rPr>
            <w:rStyle w:val="a7"/>
            <w:rFonts w:ascii="Arial" w:hAnsi="Arial" w:cs="Arial"/>
            <w:color w:val="000000" w:themeColor="text1"/>
            <w:sz w:val="28"/>
            <w:szCs w:val="28"/>
          </w:rPr>
          <w:t>Standard &amp; Poor's</w:t>
        </w:r>
      </w:hyperlink>
      <w:r w:rsidRPr="002D0237">
        <w:rPr>
          <w:rFonts w:ascii="Arial" w:hAnsi="Arial" w:cs="Arial"/>
          <w:color w:val="000000" w:themeColor="text1"/>
          <w:sz w:val="28"/>
          <w:szCs w:val="28"/>
        </w:rPr>
        <w:t xml:space="preserve"> и </w:t>
      </w:r>
      <w:r w:rsidRPr="002D0237">
        <w:rPr>
          <w:rFonts w:ascii="Arial" w:hAnsi="Arial" w:cs="Arial"/>
          <w:color w:val="000000" w:themeColor="text1"/>
          <w:sz w:val="28"/>
          <w:szCs w:val="28"/>
          <w:lang w:val="en-US"/>
        </w:rPr>
        <w:t>Fitch</w:t>
      </w:r>
      <w:r w:rsidRPr="002D0237">
        <w:rPr>
          <w:rFonts w:ascii="Arial" w:hAnsi="Arial" w:cs="Arial"/>
          <w:color w:val="000000" w:themeColor="text1"/>
          <w:sz w:val="28"/>
          <w:szCs w:val="28"/>
        </w:rPr>
        <w:t xml:space="preserve">, в котором «A» обозначает самые платежеспособные компании, а «С» — наименее платежеспособные, </w:t>
      </w:r>
      <w:r w:rsidRPr="002D0237">
        <w:rPr>
          <w:rFonts w:ascii="Arial" w:hAnsi="Arial" w:cs="Arial"/>
          <w:color w:val="000000" w:themeColor="text1"/>
          <w:sz w:val="28"/>
          <w:szCs w:val="28"/>
          <w:lang w:val="en-US"/>
        </w:rPr>
        <w:t>D</w:t>
      </w:r>
      <w:r w:rsidRPr="002D0237">
        <w:rPr>
          <w:rFonts w:ascii="Arial" w:hAnsi="Arial" w:cs="Arial"/>
          <w:color w:val="000000" w:themeColor="text1"/>
          <w:sz w:val="28"/>
          <w:szCs w:val="28"/>
        </w:rPr>
        <w:t xml:space="preserve"> – на стадии дефолта. Рейтинговая система Moody похожа по своей концепции, но наименования выглядят немного иначе: </w:t>
      </w:r>
      <w:r w:rsidRPr="002D0237">
        <w:rPr>
          <w:rFonts w:ascii="Arial" w:hAnsi="Arial" w:cs="Arial"/>
          <w:color w:val="000000" w:themeColor="text1"/>
          <w:sz w:val="28"/>
          <w:szCs w:val="28"/>
          <w:lang w:val="en-US"/>
        </w:rPr>
        <w:t>Aaa</w:t>
      </w:r>
      <w:r w:rsidRPr="002D0237">
        <w:rPr>
          <w:rFonts w:ascii="Arial" w:hAnsi="Arial" w:cs="Arial"/>
          <w:color w:val="000000" w:themeColor="text1"/>
          <w:sz w:val="28"/>
          <w:szCs w:val="28"/>
        </w:rPr>
        <w:t xml:space="preserve">, </w:t>
      </w:r>
      <w:r w:rsidRPr="002D0237">
        <w:rPr>
          <w:rFonts w:ascii="Arial" w:hAnsi="Arial" w:cs="Arial"/>
          <w:color w:val="000000" w:themeColor="text1"/>
          <w:sz w:val="28"/>
          <w:szCs w:val="28"/>
          <w:lang w:val="en-US"/>
        </w:rPr>
        <w:t>Aa</w:t>
      </w:r>
      <w:r w:rsidRPr="002D0237">
        <w:rPr>
          <w:rFonts w:ascii="Arial" w:hAnsi="Arial" w:cs="Arial"/>
          <w:color w:val="000000" w:themeColor="text1"/>
          <w:sz w:val="28"/>
          <w:szCs w:val="28"/>
        </w:rPr>
        <w:t>1,…,</w:t>
      </w:r>
      <w:r w:rsidRPr="002D0237">
        <w:rPr>
          <w:rFonts w:ascii="Arial" w:hAnsi="Arial" w:cs="Arial"/>
          <w:color w:val="000000" w:themeColor="text1"/>
          <w:sz w:val="28"/>
          <w:szCs w:val="28"/>
          <w:lang w:val="en-US"/>
        </w:rPr>
        <w:t>C</w:t>
      </w:r>
      <w:r w:rsidRPr="002D0237">
        <w:rPr>
          <w:rFonts w:ascii="Arial" w:hAnsi="Arial" w:cs="Arial"/>
          <w:color w:val="000000" w:themeColor="text1"/>
          <w:sz w:val="28"/>
          <w:szCs w:val="28"/>
        </w:rPr>
        <w:t xml:space="preserve">. </w:t>
      </w:r>
    </w:p>
    <w:p w:rsidR="00EA4464" w:rsidRPr="002D0237" w:rsidRDefault="00EA4464" w:rsidP="00FB2F28">
      <w:pPr>
        <w:spacing w:after="0" w:line="240" w:lineRule="auto"/>
        <w:ind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Долгосрочный рейтинг оценивает способность эмитента своевременно исполнять свои долговые обязательства. У </w:t>
      </w:r>
      <w:r w:rsidRPr="002D0237">
        <w:rPr>
          <w:rFonts w:ascii="Arial" w:eastAsia="Times New Roman" w:hAnsi="Arial" w:cs="Arial"/>
          <w:color w:val="000000" w:themeColor="text1"/>
          <w:sz w:val="28"/>
          <w:szCs w:val="28"/>
          <w:lang w:val="en-US" w:eastAsia="ru-RU"/>
        </w:rPr>
        <w:t>S</w:t>
      </w:r>
      <w:r w:rsidRPr="002D0237">
        <w:rPr>
          <w:rFonts w:ascii="Arial" w:eastAsia="Times New Roman" w:hAnsi="Arial" w:cs="Arial"/>
          <w:color w:val="000000" w:themeColor="text1"/>
          <w:sz w:val="28"/>
          <w:szCs w:val="28"/>
          <w:lang w:eastAsia="ru-RU"/>
        </w:rPr>
        <w:t>&amp;</w:t>
      </w:r>
      <w:r w:rsidRPr="002D0237">
        <w:rPr>
          <w:rFonts w:ascii="Arial" w:eastAsia="Times New Roman" w:hAnsi="Arial" w:cs="Arial"/>
          <w:color w:val="000000" w:themeColor="text1"/>
          <w:sz w:val="28"/>
          <w:szCs w:val="28"/>
          <w:lang w:val="en-US" w:eastAsia="ru-RU"/>
        </w:rPr>
        <w:t>P</w:t>
      </w:r>
      <w:r w:rsidRPr="002D0237">
        <w:rPr>
          <w:rFonts w:ascii="Arial" w:eastAsia="Times New Roman" w:hAnsi="Arial" w:cs="Arial"/>
          <w:color w:val="000000" w:themeColor="text1"/>
          <w:sz w:val="28"/>
          <w:szCs w:val="28"/>
          <w:lang w:eastAsia="ru-RU"/>
        </w:rPr>
        <w:t xml:space="preserve"> и </w:t>
      </w:r>
      <w:r w:rsidRPr="002D0237">
        <w:rPr>
          <w:rFonts w:ascii="Arial" w:eastAsia="Times New Roman" w:hAnsi="Arial" w:cs="Arial"/>
          <w:color w:val="000000" w:themeColor="text1"/>
          <w:sz w:val="28"/>
          <w:szCs w:val="28"/>
          <w:lang w:val="en-US" w:eastAsia="ru-RU"/>
        </w:rPr>
        <w:t>Fitch</w:t>
      </w:r>
      <w:r w:rsidRPr="002D0237">
        <w:rPr>
          <w:rFonts w:ascii="Arial" w:eastAsia="Times New Roman" w:hAnsi="Arial" w:cs="Arial"/>
          <w:color w:val="000000" w:themeColor="text1"/>
          <w:sz w:val="28"/>
          <w:szCs w:val="28"/>
          <w:lang w:eastAsia="ru-RU"/>
        </w:rPr>
        <w:t xml:space="preserve"> олгосрочные рейтинги варьируются от наивысшей категории - "ААА" до самой низкой - "D". Рейтинги в интервале от "АА" до "ССС" могут быть дополнены знаком "плюс" (+) или "минус" (-), обозначающим промежуточные рейтинговые категории по отношению к основным категориям, т.е. прогноз (позитивный или негативный) </w:t>
      </w:r>
    </w:p>
    <w:p w:rsidR="00EA4464" w:rsidRPr="002D0237" w:rsidRDefault="00EA4464" w:rsidP="00FB2F28">
      <w:pPr>
        <w:spacing w:after="0" w:line="240" w:lineRule="auto"/>
        <w:ind w:firstLine="142"/>
        <w:jc w:val="both"/>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Краткосрочный рейтинг представляет собой оценку вероятности своевременного погашения обязательств, считающихся краткосрочными на соответствующих рынках. Краткосрочные рейтинги также имеют диапазон - от "А-1" для обязательств наивысшего качества до "D" для обязательств самого низкого качества. Рейтинги внутри категории "А-1" могут содержать знак "плюс" (+) для выделения более надежных обязательств в данной категории.</w:t>
      </w:r>
    </w:p>
    <w:p w:rsidR="00EA4464" w:rsidRPr="002D0237" w:rsidRDefault="00EA4464" w:rsidP="00FB2F28">
      <w:pPr>
        <w:spacing w:after="0" w:line="240" w:lineRule="auto"/>
        <w:ind w:firstLine="142"/>
        <w:jc w:val="both"/>
        <w:rPr>
          <w:rFonts w:ascii="Arial" w:eastAsia="Times New Roman" w:hAnsi="Arial" w:cs="Arial"/>
          <w:color w:val="000000" w:themeColor="text1"/>
          <w:sz w:val="28"/>
          <w:szCs w:val="28"/>
          <w:lang w:eastAsia="ru-RU"/>
        </w:rPr>
      </w:pPr>
    </w:p>
    <w:p w:rsidR="00EA4464" w:rsidRPr="002D0237" w:rsidRDefault="00EA4464" w:rsidP="00FB2F28">
      <w:pPr>
        <w:spacing w:after="0" w:line="240" w:lineRule="auto"/>
        <w:ind w:firstLine="142"/>
        <w:jc w:val="both"/>
        <w:rPr>
          <w:rFonts w:ascii="Arial" w:eastAsia="Times New Roman" w:hAnsi="Arial" w:cs="Arial"/>
          <w:color w:val="000000" w:themeColor="text1"/>
          <w:sz w:val="28"/>
          <w:szCs w:val="28"/>
          <w:lang w:eastAsia="ru-RU"/>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0D5694" w:rsidRDefault="000D5694">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 xml:space="preserve">24. Разновидности международных кредитных операций. </w:t>
      </w:r>
    </w:p>
    <w:p w:rsidR="00EA4464" w:rsidRPr="002D0237" w:rsidRDefault="00EA4464" w:rsidP="00FB2F28">
      <w:pPr>
        <w:pStyle w:val="a6"/>
        <w:spacing w:before="0" w:beforeAutospacing="0" w:after="0" w:afterAutospacing="0"/>
        <w:ind w:firstLine="142"/>
        <w:rPr>
          <w:rFonts w:ascii="Arial" w:hAnsi="Arial" w:cs="Arial"/>
          <w:sz w:val="28"/>
          <w:szCs w:val="28"/>
        </w:rPr>
      </w:pPr>
      <w:r w:rsidRPr="002D0237">
        <w:rPr>
          <w:rFonts w:ascii="Arial" w:hAnsi="Arial" w:cs="Arial"/>
          <w:sz w:val="28"/>
          <w:szCs w:val="28"/>
        </w:rPr>
        <w:t>Кредиты по видам делятся на товарные, предоставляемые экспортерами своим покупателям, и валютные, выдаваемые банками и импортерами (в форме авансовых платежей).</w:t>
      </w:r>
      <w:r w:rsidR="000D5694">
        <w:rPr>
          <w:rFonts w:ascii="Arial" w:hAnsi="Arial" w:cs="Arial"/>
          <w:sz w:val="28"/>
          <w:szCs w:val="28"/>
        </w:rPr>
        <w:t xml:space="preserve">// </w:t>
      </w:r>
      <w:r w:rsidRPr="002D0237">
        <w:rPr>
          <w:rFonts w:ascii="Arial" w:hAnsi="Arial" w:cs="Arial"/>
          <w:sz w:val="28"/>
          <w:szCs w:val="28"/>
        </w:rPr>
        <w:t xml:space="preserve">Бланковый кредит выдается под обязательство должника погасить его в определенный срок. Обычно документом по этому кредиту служит соло-вексель с одной подписью заемщика. Разновидностями бланковых кредитов являются </w:t>
      </w:r>
      <w:r w:rsidRPr="002D0237">
        <w:rPr>
          <w:rFonts w:ascii="Arial" w:hAnsi="Arial" w:cs="Arial"/>
          <w:b/>
          <w:bCs/>
          <w:i/>
          <w:iCs/>
          <w:sz w:val="28"/>
          <w:szCs w:val="28"/>
        </w:rPr>
        <w:t>контокоррент</w:t>
      </w:r>
      <w:r w:rsidRPr="002D0237">
        <w:rPr>
          <w:rFonts w:ascii="Arial" w:hAnsi="Arial" w:cs="Arial"/>
          <w:sz w:val="28"/>
          <w:szCs w:val="28"/>
        </w:rPr>
        <w:t xml:space="preserve"> (единый счет, на котором учитываются все операции байка с клиентом) и </w:t>
      </w:r>
      <w:r w:rsidRPr="002D0237">
        <w:rPr>
          <w:rFonts w:ascii="Arial" w:hAnsi="Arial" w:cs="Arial"/>
          <w:b/>
          <w:bCs/>
          <w:i/>
          <w:iCs/>
          <w:sz w:val="28"/>
          <w:szCs w:val="28"/>
        </w:rPr>
        <w:t>овердрафт</w:t>
      </w:r>
      <w:r w:rsidRPr="002D0237">
        <w:rPr>
          <w:rFonts w:ascii="Arial" w:hAnsi="Arial" w:cs="Arial"/>
          <w:sz w:val="28"/>
          <w:szCs w:val="28"/>
        </w:rPr>
        <w:t xml:space="preserve"> (кредит сверх остатка средств на счете клиента).</w:t>
      </w:r>
    </w:p>
    <w:p w:rsidR="00EA4464" w:rsidRPr="002D0237" w:rsidRDefault="00EA4464" w:rsidP="00FB2F28">
      <w:pPr>
        <w:pStyle w:val="a6"/>
        <w:spacing w:before="0" w:beforeAutospacing="0" w:after="0" w:afterAutospacing="0"/>
        <w:ind w:firstLine="142"/>
        <w:rPr>
          <w:rFonts w:ascii="Arial" w:hAnsi="Arial" w:cs="Arial"/>
          <w:sz w:val="28"/>
          <w:szCs w:val="28"/>
        </w:rPr>
      </w:pPr>
      <w:r w:rsidRPr="002D0237">
        <w:rPr>
          <w:rFonts w:ascii="Arial" w:hAnsi="Arial" w:cs="Arial"/>
          <w:sz w:val="28"/>
          <w:szCs w:val="28"/>
        </w:rPr>
        <w:t>С точки зрения техники предоставления различаются: финансовые (наличные) кредиты, зачисляемые на счет должника в его распоряжение; акцептные кредиты в форме акцепта тратты импортером или банком; депозитные сертификаты; облигационные займы; консорциальные/синдицированные кредиты и т.д.</w:t>
      </w:r>
    </w:p>
    <w:p w:rsidR="00EA4464" w:rsidRPr="002D0237" w:rsidRDefault="00EA4464" w:rsidP="000D5694">
      <w:pPr>
        <w:spacing w:after="0" w:line="240" w:lineRule="auto"/>
        <w:ind w:firstLine="142"/>
        <w:rPr>
          <w:rFonts w:ascii="Arial" w:hAnsi="Arial" w:cs="Arial"/>
          <w:sz w:val="28"/>
          <w:szCs w:val="28"/>
        </w:rPr>
      </w:pPr>
      <w:r w:rsidRPr="002D0237">
        <w:rPr>
          <w:rFonts w:ascii="Arial" w:hAnsi="Arial" w:cs="Arial"/>
          <w:sz w:val="28"/>
          <w:szCs w:val="28"/>
        </w:rPr>
        <w:t>Фирменный (коммерческий) кредит — ссуда, предоставляемая в товарной форме экспортером одной страны импортеру другой страны в виде отсрочки платежа; коммерческий кредит во внешней торговле сочетается с расчетами по товарным операциям. Сроки фирменных кредитов различны (обычно до двух-семи лет) и определяются состоянием конъюнктуры мировых рынков, видом товаров и другими факторами</w:t>
      </w:r>
      <w:r w:rsidR="000D5694">
        <w:rPr>
          <w:rFonts w:ascii="Arial" w:hAnsi="Arial" w:cs="Arial"/>
          <w:sz w:val="28"/>
          <w:szCs w:val="28"/>
        </w:rPr>
        <w:t xml:space="preserve">/// </w:t>
      </w:r>
      <w:r w:rsidRPr="002D0237">
        <w:rPr>
          <w:rFonts w:ascii="Arial" w:hAnsi="Arial" w:cs="Arial"/>
          <w:sz w:val="28"/>
          <w:szCs w:val="28"/>
        </w:rPr>
        <w:t>Вексельный кредит предусматривает, что экспортер, заключив соглашение о продаже товара, выставляет переводный вексель (тратту) на импортера, который, получив коммерческие документы, акцептует его, т.е. дает согласие на оплату в указанный на нем срок.</w:t>
      </w:r>
      <w:r w:rsidR="000D5694">
        <w:rPr>
          <w:rFonts w:ascii="Arial" w:hAnsi="Arial" w:cs="Arial"/>
          <w:sz w:val="28"/>
          <w:szCs w:val="28"/>
        </w:rPr>
        <w:t xml:space="preserve">// </w:t>
      </w:r>
      <w:r w:rsidRPr="002D0237">
        <w:rPr>
          <w:rFonts w:ascii="Arial" w:hAnsi="Arial" w:cs="Arial"/>
          <w:sz w:val="28"/>
          <w:szCs w:val="28"/>
        </w:rPr>
        <w:t>Кредит по открытому счету предоставляется на основе соглашения между экспортером и импортером, по которому продавец записывает на счет покупателя в качестве его долга стоимость проданных товаров или услуг, а импортер обязуется погасить кредит в установленный срок. Кредит по открытому счету практикуется при регулярных поставках товаров с периодическим погашением задолженности в середине или конце месяца.</w:t>
      </w:r>
      <w:r w:rsidR="000D5694">
        <w:rPr>
          <w:rFonts w:ascii="Arial" w:hAnsi="Arial" w:cs="Arial"/>
          <w:sz w:val="28"/>
          <w:szCs w:val="28"/>
        </w:rPr>
        <w:t xml:space="preserve">// </w:t>
      </w:r>
      <w:r w:rsidRPr="002D0237">
        <w:rPr>
          <w:rFonts w:ascii="Arial" w:hAnsi="Arial" w:cs="Arial"/>
          <w:sz w:val="28"/>
          <w:szCs w:val="28"/>
        </w:rPr>
        <w:t>Разновидностью фирменных кредитов является авансовый платеж: импортера (покупательский аванс) в валюте в пользу иностранного поставщика обычно в размере 10—15% (не более 33%) стоимости заказанных машин, оборудования, судов.</w:t>
      </w:r>
      <w:r w:rsidR="000D5694">
        <w:rPr>
          <w:rFonts w:ascii="Arial" w:hAnsi="Arial" w:cs="Arial"/>
          <w:sz w:val="28"/>
          <w:szCs w:val="28"/>
        </w:rPr>
        <w:t xml:space="preserve">// </w:t>
      </w:r>
      <w:r w:rsidRPr="002D0237">
        <w:rPr>
          <w:rFonts w:ascii="Arial" w:hAnsi="Arial" w:cs="Arial"/>
          <w:sz w:val="28"/>
          <w:szCs w:val="28"/>
        </w:rPr>
        <w:t>Банковское кредитование экспорта и импорта осуществляется в форме ссуд под залог товаров, товарных документов, векселей, а так</w:t>
      </w:r>
      <w:r w:rsidRPr="002D0237">
        <w:rPr>
          <w:rFonts w:ascii="Arial" w:hAnsi="Arial" w:cs="Arial"/>
          <w:sz w:val="28"/>
          <w:szCs w:val="28"/>
        </w:rPr>
        <w:softHyphen/>
        <w:t>же учета тратт. Иногда банки предоставляют крупным фирмам-экс</w:t>
      </w:r>
      <w:r w:rsidRPr="002D0237">
        <w:rPr>
          <w:rFonts w:ascii="Arial" w:hAnsi="Arial" w:cs="Arial"/>
          <w:sz w:val="28"/>
          <w:szCs w:val="28"/>
        </w:rPr>
        <w:softHyphen/>
        <w:t>портерам, с которыми они тесно связаны, бланковый кредит, т. е. без формального обеспечения.</w:t>
      </w:r>
    </w:p>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Банковские кредиты в международной торговле имеют преимуще</w:t>
      </w:r>
      <w:r w:rsidRPr="002D0237">
        <w:rPr>
          <w:rFonts w:ascii="Arial" w:eastAsia="Times New Roman" w:hAnsi="Arial" w:cs="Arial"/>
          <w:sz w:val="28"/>
          <w:szCs w:val="28"/>
          <w:lang w:eastAsia="ru-RU"/>
        </w:rPr>
        <w:softHyphen/>
        <w:t>ства перед фирменными. Они позволяют получателю свободнее ис</w:t>
      </w:r>
      <w:r w:rsidRPr="002D0237">
        <w:rPr>
          <w:rFonts w:ascii="Arial" w:eastAsia="Times New Roman" w:hAnsi="Arial" w:cs="Arial"/>
          <w:sz w:val="28"/>
          <w:szCs w:val="28"/>
          <w:lang w:eastAsia="ru-RU"/>
        </w:rPr>
        <w:softHyphen/>
        <w:t>пользовать средства на покупку товаров, освобождают его от необхо</w:t>
      </w:r>
      <w:r w:rsidRPr="002D0237">
        <w:rPr>
          <w:rFonts w:ascii="Arial" w:eastAsia="Times New Roman" w:hAnsi="Arial" w:cs="Arial"/>
          <w:sz w:val="28"/>
          <w:szCs w:val="28"/>
          <w:lang w:eastAsia="ru-RU"/>
        </w:rPr>
        <w:softHyphen/>
        <w:t>димости обращаться за кредитом к фирмам-поставщикам, проводить с последними расчеты за товары наличными за счет банковского креди</w:t>
      </w:r>
      <w:r w:rsidRPr="002D0237">
        <w:rPr>
          <w:rFonts w:ascii="Arial" w:eastAsia="Times New Roman" w:hAnsi="Arial" w:cs="Arial"/>
          <w:sz w:val="28"/>
          <w:szCs w:val="28"/>
          <w:lang w:eastAsia="ru-RU"/>
        </w:rPr>
        <w:softHyphen/>
        <w:t>та.</w:t>
      </w:r>
    </w:p>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hAnsi="Arial" w:cs="Arial"/>
          <w:sz w:val="28"/>
          <w:szCs w:val="28"/>
        </w:rPr>
        <w:t>Экспортным на</w:t>
      </w:r>
      <w:r w:rsidRPr="002D0237">
        <w:rPr>
          <w:rFonts w:ascii="Arial" w:hAnsi="Arial" w:cs="Arial"/>
          <w:sz w:val="28"/>
          <w:szCs w:val="28"/>
        </w:rPr>
        <w:softHyphen/>
        <w:t>зывается кредит, выдаваемый банком страны-экспортера банку стра</w:t>
      </w:r>
      <w:r w:rsidRPr="002D0237">
        <w:rPr>
          <w:rFonts w:ascii="Arial" w:hAnsi="Arial" w:cs="Arial"/>
          <w:sz w:val="28"/>
          <w:szCs w:val="28"/>
        </w:rPr>
        <w:softHyphen/>
        <w:t>ны-импортера для кредитования поставок машин, оборудования и др. Банковские кредиты выдаются в денежной форме и носят «связанный» характер, так как заемщик обязан использовать ссуду исключительно для закупок товаров в стране-кредиторе.</w:t>
      </w:r>
    </w:p>
    <w:p w:rsidR="00EA4464" w:rsidRPr="002D0237" w:rsidRDefault="00EA4464"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Особенность кредита покупателю заключается в том, что банк эк</w:t>
      </w:r>
      <w:r w:rsidRPr="002D0237">
        <w:rPr>
          <w:rFonts w:ascii="Arial" w:eastAsia="Times New Roman" w:hAnsi="Arial" w:cs="Arial"/>
          <w:sz w:val="28"/>
          <w:szCs w:val="28"/>
          <w:lang w:eastAsia="ru-RU"/>
        </w:rPr>
        <w:softHyphen/>
        <w:t>спортера непосредственно кредитует не национального экспортера, а иностранного покупателя, т. е. фирмы страны-импортера и их банки. Тем самым импортер приобретает необходимые товары с оплатой сче</w:t>
      </w:r>
      <w:r w:rsidRPr="002D0237">
        <w:rPr>
          <w:rFonts w:ascii="Arial" w:eastAsia="Times New Roman" w:hAnsi="Arial" w:cs="Arial"/>
          <w:sz w:val="28"/>
          <w:szCs w:val="28"/>
          <w:lang w:eastAsia="ru-RU"/>
        </w:rPr>
        <w:softHyphen/>
        <w:t>тов поставщика за счет средств кредитора и отнесением задолженнос</w:t>
      </w:r>
      <w:r w:rsidRPr="002D0237">
        <w:rPr>
          <w:rFonts w:ascii="Arial" w:eastAsia="Times New Roman" w:hAnsi="Arial" w:cs="Arial"/>
          <w:sz w:val="28"/>
          <w:szCs w:val="28"/>
          <w:lang w:eastAsia="ru-RU"/>
        </w:rPr>
        <w:softHyphen/>
        <w:t>ти на покупателя или на его банк. Обычно такие кредиты связываются с приобретением товаров и услуг у определенной фирмы.</w:t>
      </w:r>
    </w:p>
    <w:p w:rsidR="00FB2F28" w:rsidRDefault="00FB2F28" w:rsidP="00FB2F28">
      <w:pPr>
        <w:spacing w:after="0" w:line="240" w:lineRule="auto"/>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25. Лизинговые операции</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b/>
          <w:bCs/>
          <w:sz w:val="28"/>
          <w:szCs w:val="28"/>
        </w:rPr>
        <w:t>Лизинг</w:t>
      </w:r>
      <w:r w:rsidRPr="002D0237">
        <w:rPr>
          <w:rFonts w:ascii="Arial" w:hAnsi="Arial" w:cs="Arial"/>
          <w:sz w:val="28"/>
          <w:szCs w:val="28"/>
        </w:rPr>
        <w:t xml:space="preserve"> — пред</w:t>
      </w:r>
      <w:r w:rsidRPr="002D0237">
        <w:rPr>
          <w:rFonts w:ascii="Arial" w:hAnsi="Arial" w:cs="Arial"/>
          <w:sz w:val="28"/>
          <w:szCs w:val="28"/>
        </w:rPr>
        <w:softHyphen/>
        <w:t>оставление лизингодателем материальных ценностей лизингопо</w:t>
      </w:r>
      <w:r w:rsidRPr="002D0237">
        <w:rPr>
          <w:rFonts w:ascii="Arial" w:hAnsi="Arial" w:cs="Arial"/>
          <w:sz w:val="28"/>
          <w:szCs w:val="28"/>
        </w:rPr>
        <w:softHyphen/>
        <w:t xml:space="preserve">лучателю в аренду на разные сроки без перехода права собственности. </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Взаимодействие участников международного лизинга: Лизингополучатель выбирает объект лизинга и заключает договор аренды с лизинговой компанией. Лизингодатель покупает объект лизинга у поставщика и передает его в аренду лизингополучателю. Лизингополучатель выплачивает арендные платежи и по истечении срока лизингового договора возвращает имущество лизингодателю или выкупает его по остаточной стоимости.</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b/>
          <w:sz w:val="28"/>
          <w:szCs w:val="28"/>
        </w:rPr>
        <w:t>Лизинг</w:t>
      </w:r>
      <w:r w:rsidRPr="002D0237">
        <w:rPr>
          <w:rFonts w:ascii="Arial" w:hAnsi="Arial" w:cs="Arial"/>
          <w:sz w:val="28"/>
          <w:szCs w:val="28"/>
        </w:rPr>
        <w:t xml:space="preserve"> — одна из форм международного кредита, так как лизингополучатель получает на определенный срок от иностранного лизингодателя заказанные материальные ценности с отсрочкой платежей за аренду.</w:t>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t>Формы лизинга:</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Прямой лизинг (лизингодатель – производитель объекта лизинга)</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Косвенный (лизингодатель покупает объект лизинга и сдает его в аренду)</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Возвратный лизинг («лизбэк»). С коммерческой точки зрения эта форма лизинга используется в тех случаях, когда фирма испытывает нужду в средствах и стремится улучшить свое финансовое состояние.</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Лизинг поставщика Поставщик оборудования выступает в двойной роли: продавца и основного арендатора, не являющегося, однако, пользователем оборудования. Арендатор обязан подыскать субарендаторов и сдать им оборудование в субаренду. Для этого не требуется согласия арендодателя, а сдача оборудования в субаренду является обязательной.</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Вендор-лизинг. Здесь в роли лизинговой компании выступает ассоциация фирмизготовителей совместно с лизинговой компанией или банком.</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sz w:val="28"/>
          <w:szCs w:val="28"/>
        </w:rPr>
        <w:t>По срокам различаются аренды: рентинг (краткосрочная); хайринг (среднесрочная) – стандартное оборудование, авто и т.д; средне- и долгосрочный лизинг – для промышленного обордования, возобновляемый лизинг;</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b/>
          <w:sz w:val="28"/>
          <w:szCs w:val="28"/>
        </w:rPr>
        <w:t>С точки зрения цели:</w:t>
      </w:r>
      <w:r w:rsidR="00FB2F28">
        <w:rPr>
          <w:rFonts w:ascii="Arial" w:hAnsi="Arial" w:cs="Arial"/>
          <w:b/>
          <w:sz w:val="28"/>
          <w:szCs w:val="28"/>
        </w:rPr>
        <w:t xml:space="preserve"> </w:t>
      </w:r>
      <w:r w:rsidRPr="002D0237">
        <w:rPr>
          <w:rFonts w:ascii="Arial" w:hAnsi="Arial" w:cs="Arial"/>
          <w:sz w:val="28"/>
          <w:szCs w:val="28"/>
        </w:rPr>
        <w:t xml:space="preserve">Операционный лизинг – если лизингополучатель ограничивается арендой, Финансовый лизинг – лизингополучатель сочетает аренду с последующим выкупом его объекта по остаточной стоимости. </w:t>
      </w:r>
      <w:r w:rsidR="00FB2F28">
        <w:rPr>
          <w:rFonts w:ascii="Arial" w:hAnsi="Arial" w:cs="Arial"/>
          <w:sz w:val="28"/>
          <w:szCs w:val="28"/>
        </w:rPr>
        <w:t xml:space="preserve"> //</w:t>
      </w:r>
      <w:r w:rsidRPr="002D0237">
        <w:rPr>
          <w:rFonts w:ascii="Arial" w:hAnsi="Arial" w:cs="Arial"/>
          <w:sz w:val="28"/>
          <w:szCs w:val="28"/>
        </w:rPr>
        <w:t>С точки зрения объема услуг: «чистый» лизинг – расходы, связанные с использованием объекта лизинга, оплачивает лизингополучатель, «мокрый» лизинг - Особенность этой разновидности лизинга заключается в том, что он предусматривает дополнительные услуги лизингодателя лизингополучателю (обслуживание объекта, ремонт и т.д.), Лизинг с полным обслуживанием.</w:t>
      </w:r>
      <w:r w:rsidR="00FB2F28">
        <w:rPr>
          <w:rFonts w:ascii="Arial" w:hAnsi="Arial" w:cs="Arial"/>
          <w:sz w:val="28"/>
          <w:szCs w:val="28"/>
        </w:rPr>
        <w:t xml:space="preserve">// </w:t>
      </w:r>
      <w:r w:rsidRPr="002D0237">
        <w:rPr>
          <w:rFonts w:ascii="Arial" w:hAnsi="Arial" w:cs="Arial"/>
          <w:sz w:val="28"/>
          <w:szCs w:val="28"/>
        </w:rPr>
        <w:t>В зависимости от имущества: движимое, недвижимое. Преимущества лизингополучателя:</w:t>
      </w:r>
      <w:r w:rsidR="00FB2F28">
        <w:rPr>
          <w:rFonts w:ascii="Arial" w:hAnsi="Arial" w:cs="Arial"/>
          <w:sz w:val="28"/>
          <w:szCs w:val="28"/>
        </w:rPr>
        <w:t xml:space="preserve"> </w:t>
      </w:r>
      <w:r w:rsidRPr="002D0237">
        <w:rPr>
          <w:rFonts w:ascii="Arial" w:hAnsi="Arial" w:cs="Arial"/>
          <w:sz w:val="28"/>
          <w:szCs w:val="28"/>
        </w:rPr>
        <w:t>• риск утраты или повреждения арендуемого имущества лежит на его собственнике, т.е. на лизингодателе;</w:t>
      </w:r>
      <w:r w:rsidRPr="002D0237">
        <w:rPr>
          <w:rFonts w:ascii="Arial" w:hAnsi="Arial" w:cs="Arial"/>
          <w:sz w:val="28"/>
          <w:szCs w:val="28"/>
        </w:rPr>
        <w:br/>
        <w:t>• лизинг позволяет осуществлять или увеличивать производство без накопления капитала для приобретения оборудования в собственность, избегать замораживания капиталовложений;</w:t>
      </w:r>
      <w:r w:rsidRPr="002D0237">
        <w:rPr>
          <w:rFonts w:ascii="Arial" w:hAnsi="Arial" w:cs="Arial"/>
          <w:sz w:val="28"/>
          <w:szCs w:val="28"/>
        </w:rPr>
        <w:br/>
      </w:r>
    </w:p>
    <w:p w:rsidR="000D5694" w:rsidRDefault="000D5694">
      <w:pPr>
        <w:rPr>
          <w:rFonts w:ascii="Arial" w:hAnsi="Arial" w:cs="Arial"/>
          <w:b/>
          <w:sz w:val="28"/>
          <w:szCs w:val="28"/>
        </w:rPr>
      </w:pPr>
      <w:r>
        <w:rPr>
          <w:rFonts w:ascii="Arial" w:hAnsi="Arial" w:cs="Arial"/>
          <w:b/>
          <w:sz w:val="28"/>
          <w:szCs w:val="28"/>
        </w:rPr>
        <w:br w:type="page"/>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26. Факторинг и форфейтинг</w:t>
      </w:r>
    </w:p>
    <w:p w:rsidR="00EA4464" w:rsidRPr="002D0237" w:rsidRDefault="00EA4464" w:rsidP="00FB2F28">
      <w:pPr>
        <w:spacing w:after="0" w:line="240" w:lineRule="auto"/>
        <w:ind w:firstLine="142"/>
        <w:rPr>
          <w:rFonts w:ascii="Arial" w:hAnsi="Arial" w:cs="Arial"/>
          <w:sz w:val="28"/>
          <w:szCs w:val="28"/>
        </w:rPr>
      </w:pPr>
      <w:r w:rsidRPr="002D0237">
        <w:rPr>
          <w:rFonts w:ascii="Arial" w:hAnsi="Arial" w:cs="Arial"/>
          <w:b/>
          <w:sz w:val="28"/>
          <w:szCs w:val="28"/>
        </w:rPr>
        <w:t>Международный факторинг</w:t>
      </w:r>
      <w:r w:rsidRPr="002D0237">
        <w:rPr>
          <w:rFonts w:ascii="Arial" w:hAnsi="Arial" w:cs="Arial"/>
          <w:sz w:val="28"/>
          <w:szCs w:val="28"/>
        </w:rPr>
        <w:t xml:space="preserve"> — кредитование экспорта в форме покупки факторинговой компанией (иногда банком) неоплаченных платежных требований экспортера к импортеру и их инкассация.</w:t>
      </w:r>
      <w:r w:rsidR="00FB2F28">
        <w:rPr>
          <w:rFonts w:ascii="Arial" w:hAnsi="Arial" w:cs="Arial"/>
          <w:sz w:val="28"/>
          <w:szCs w:val="28"/>
        </w:rPr>
        <w:t xml:space="preserve"> </w:t>
      </w:r>
      <w:r w:rsidRPr="002D0237">
        <w:rPr>
          <w:rFonts w:ascii="Arial" w:hAnsi="Arial" w:cs="Arial"/>
          <w:sz w:val="28"/>
          <w:szCs w:val="28"/>
        </w:rPr>
        <w:t>Международный факторинг — кредитование экспорта в форме покупки факторинговой компанией (иногда банком) неоплаченных платежных требований экспортера к импортеру и их инкассация.</w:t>
      </w:r>
      <w:r w:rsidR="00FB2F28">
        <w:rPr>
          <w:rFonts w:ascii="Arial" w:hAnsi="Arial" w:cs="Arial"/>
          <w:sz w:val="28"/>
          <w:szCs w:val="28"/>
        </w:rPr>
        <w:t xml:space="preserve">// </w:t>
      </w:r>
      <w:r w:rsidRPr="002D0237">
        <w:rPr>
          <w:rFonts w:ascii="Arial" w:hAnsi="Arial" w:cs="Arial"/>
          <w:sz w:val="28"/>
          <w:szCs w:val="28"/>
        </w:rPr>
        <w:t>Авансируя экспортеру средства до наступления срока требований, факторинговая компания кредитует его. Величина ссуды колеблется от 70 до 90% суммы счета-фактуры в зависимости от кредитоспособности клиента. Остальные 10-30% после вычета процента за кредит и комиссии за услуги зачисляются на счет клиента. Средства этого счета служат для покрытия не принятых факторинговой компанией коммерческих рисков (недостатки качества товаров, их некомплектность, споры о цене и т. д.). После инкассации платежных требований факторинговая компания закрывает счет и возвращает экспортеру его остаток, включая выплаченные импортером пени за просрочку.</w:t>
      </w:r>
      <w:r w:rsidR="00FB2F28">
        <w:rPr>
          <w:rFonts w:ascii="Arial" w:hAnsi="Arial" w:cs="Arial"/>
          <w:sz w:val="28"/>
          <w:szCs w:val="28"/>
        </w:rPr>
        <w:t xml:space="preserve"> //</w:t>
      </w:r>
      <w:r w:rsidRPr="002D0237">
        <w:rPr>
          <w:rFonts w:ascii="Arial" w:hAnsi="Arial" w:cs="Arial"/>
          <w:sz w:val="28"/>
          <w:szCs w:val="28"/>
        </w:rPr>
        <w:t>Виды: Различают</w:t>
      </w:r>
      <w:r w:rsidRPr="002D0237">
        <w:rPr>
          <w:rFonts w:ascii="Arial" w:hAnsi="Arial" w:cs="Arial"/>
          <w:b/>
          <w:sz w:val="28"/>
          <w:szCs w:val="28"/>
        </w:rPr>
        <w:t xml:space="preserve"> конвенционный</w:t>
      </w:r>
      <w:r w:rsidRPr="002D0237">
        <w:rPr>
          <w:rFonts w:ascii="Arial" w:hAnsi="Arial" w:cs="Arial"/>
          <w:sz w:val="28"/>
          <w:szCs w:val="28"/>
        </w:rPr>
        <w:t xml:space="preserve"> (открытая цессия) факторинг, при котором экспортер извещает импортера о переуступке своих платежных требований на его имя факторинговой компании, которая при этом осуществляет все агентские функции (финансовобухгалтерские, юридические и др.). При</w:t>
      </w:r>
      <w:r w:rsidRPr="002D0237">
        <w:rPr>
          <w:rFonts w:ascii="Arial" w:hAnsi="Arial" w:cs="Arial"/>
          <w:b/>
          <w:sz w:val="28"/>
          <w:szCs w:val="28"/>
        </w:rPr>
        <w:t xml:space="preserve"> конфиденциальном</w:t>
      </w:r>
      <w:r w:rsidRPr="002D0237">
        <w:rPr>
          <w:rFonts w:ascii="Arial" w:hAnsi="Arial" w:cs="Arial"/>
          <w:sz w:val="28"/>
          <w:szCs w:val="28"/>
        </w:rPr>
        <w:t xml:space="preserve"> факторинге (скрытая цессия) импортер об этом не уведомляется и компания выполняет лишь часть комиссионных операций, кредитуя экспортера путем покупки неоплаченных счетовфактур и их инкассации.</w:t>
      </w:r>
    </w:p>
    <w:p w:rsidR="00EA4464" w:rsidRPr="002D0237" w:rsidRDefault="00EA4464" w:rsidP="00FB2F28">
      <w:pPr>
        <w:spacing w:after="0" w:line="240" w:lineRule="auto"/>
        <w:ind w:firstLine="142"/>
        <w:rPr>
          <w:rFonts w:ascii="Arial" w:hAnsi="Arial" w:cs="Arial"/>
          <w:b/>
          <w:sz w:val="28"/>
          <w:szCs w:val="28"/>
        </w:rPr>
      </w:pPr>
      <w:r w:rsidRPr="002D0237">
        <w:rPr>
          <w:rFonts w:ascii="Arial" w:hAnsi="Arial" w:cs="Arial"/>
          <w:sz w:val="28"/>
          <w:szCs w:val="28"/>
        </w:rPr>
        <w:t>С точки зрения заключения договора различаются следующие виды международного факторинга:</w:t>
      </w:r>
      <w:r w:rsidR="00FB2F28">
        <w:rPr>
          <w:rFonts w:ascii="Arial" w:hAnsi="Arial" w:cs="Arial"/>
          <w:sz w:val="28"/>
          <w:szCs w:val="28"/>
        </w:rPr>
        <w:t xml:space="preserve"> </w:t>
      </w:r>
      <w:r w:rsidRPr="002D0237">
        <w:rPr>
          <w:rFonts w:ascii="Arial" w:hAnsi="Arial" w:cs="Arial"/>
          <w:sz w:val="28"/>
          <w:szCs w:val="28"/>
        </w:rPr>
        <w:t xml:space="preserve">1) взаимный (двухфакторинговый) предусматривает взаимодействие двух факторинговых компаний, обслуживающих </w:t>
      </w:r>
      <w:r w:rsidR="00FB2F28">
        <w:rPr>
          <w:rFonts w:ascii="Arial" w:hAnsi="Arial" w:cs="Arial"/>
          <w:sz w:val="28"/>
          <w:szCs w:val="28"/>
        </w:rPr>
        <w:t>в</w:t>
      </w:r>
      <w:r w:rsidRPr="002D0237">
        <w:rPr>
          <w:rFonts w:ascii="Arial" w:hAnsi="Arial" w:cs="Arial"/>
          <w:sz w:val="28"/>
          <w:szCs w:val="28"/>
        </w:rPr>
        <w:t>нешнеэкономическую сделку соответственно в стране экспортера и импортера;</w:t>
      </w:r>
      <w:r w:rsidR="00FB2F28">
        <w:rPr>
          <w:rFonts w:ascii="Arial" w:hAnsi="Arial" w:cs="Arial"/>
          <w:sz w:val="28"/>
          <w:szCs w:val="28"/>
        </w:rPr>
        <w:t xml:space="preserve"> </w:t>
      </w:r>
      <w:r w:rsidRPr="002D0237">
        <w:rPr>
          <w:rFonts w:ascii="Arial" w:hAnsi="Arial" w:cs="Arial"/>
          <w:sz w:val="28"/>
          <w:szCs w:val="28"/>
        </w:rPr>
        <w:t>2) прямой импортный — заключение экспортером (при регулярных сделках) договора о факторинговом обслуживании в стране импортера путем инкассации экспортной выручки или выдачи платежной гарантии за импортера;</w:t>
      </w:r>
      <w:r w:rsidR="00FB2F28">
        <w:rPr>
          <w:rFonts w:ascii="Arial" w:hAnsi="Arial" w:cs="Arial"/>
          <w:sz w:val="28"/>
          <w:szCs w:val="28"/>
        </w:rPr>
        <w:t xml:space="preserve"> </w:t>
      </w:r>
      <w:r w:rsidRPr="002D0237">
        <w:rPr>
          <w:rFonts w:ascii="Arial" w:hAnsi="Arial" w:cs="Arial"/>
          <w:sz w:val="28"/>
          <w:szCs w:val="28"/>
        </w:rPr>
        <w:t>3) прямой экспортный — заключение экспортером в своей стране договора с факторинговой компанией, которая берет на себя кредитный риск; при этом варианте факторинговая компания осуществляет оценку платежеспособности импортера и инкассацию выставленных на него счетов-фактур.</w:t>
      </w:r>
      <w:r w:rsidR="00FB2F28">
        <w:rPr>
          <w:rFonts w:ascii="Arial" w:hAnsi="Arial" w:cs="Arial"/>
          <w:sz w:val="28"/>
          <w:szCs w:val="28"/>
        </w:rPr>
        <w:t>//Эк</w:t>
      </w:r>
      <w:r w:rsidRPr="002D0237">
        <w:rPr>
          <w:rFonts w:ascii="Arial" w:hAnsi="Arial" w:cs="Arial"/>
          <w:sz w:val="28"/>
          <w:szCs w:val="28"/>
        </w:rPr>
        <w:t>спортное форфетирование — это кредит в форме покупки форфетором платежных требований экспортера на иностранного импортера на полный срок без права их регресса (оборота) на прежнего владельца (т.е. экспортера) для возмещения уплаченной суммы.</w:t>
      </w:r>
      <w:r w:rsidR="00FB2F28">
        <w:rPr>
          <w:rFonts w:ascii="Arial" w:hAnsi="Arial" w:cs="Arial"/>
          <w:sz w:val="28"/>
          <w:szCs w:val="28"/>
        </w:rPr>
        <w:t xml:space="preserve">// </w:t>
      </w:r>
      <w:r w:rsidRPr="002D0237">
        <w:rPr>
          <w:rFonts w:ascii="Arial" w:hAnsi="Arial" w:cs="Arial"/>
          <w:sz w:val="28"/>
          <w:szCs w:val="28"/>
        </w:rPr>
        <w:t>Форфетирование как форма экспортного кредитования имеет следующие особенности:</w:t>
      </w:r>
      <w:r w:rsidR="00FB2F28">
        <w:rPr>
          <w:rFonts w:ascii="Arial" w:hAnsi="Arial" w:cs="Arial"/>
          <w:sz w:val="28"/>
          <w:szCs w:val="28"/>
        </w:rPr>
        <w:t xml:space="preserve"> </w:t>
      </w:r>
      <w:r w:rsidRPr="002D0237">
        <w:rPr>
          <w:rFonts w:ascii="Arial" w:hAnsi="Arial" w:cs="Arial"/>
          <w:sz w:val="28"/>
          <w:szCs w:val="28"/>
        </w:rPr>
        <w:t>1) покупка существующих платежных требований, а не будущих, еще не полностью определенных, что характерно для экспортного факторинга;</w:t>
      </w:r>
      <w:r w:rsidR="00FB2F28">
        <w:rPr>
          <w:rFonts w:ascii="Arial" w:hAnsi="Arial" w:cs="Arial"/>
          <w:sz w:val="28"/>
          <w:szCs w:val="28"/>
        </w:rPr>
        <w:t xml:space="preserve"> </w:t>
      </w:r>
      <w:r w:rsidRPr="002D0237">
        <w:rPr>
          <w:rFonts w:ascii="Arial" w:hAnsi="Arial" w:cs="Arial"/>
          <w:sz w:val="28"/>
          <w:szCs w:val="28"/>
        </w:rPr>
        <w:t>2) используется по долгосрочным (до 8 лет) и крупным сделкам (от 250 тыс. долл.);</w:t>
      </w:r>
      <w:r w:rsidR="00FB2F28">
        <w:rPr>
          <w:rFonts w:ascii="Arial" w:hAnsi="Arial" w:cs="Arial"/>
          <w:sz w:val="28"/>
          <w:szCs w:val="28"/>
        </w:rPr>
        <w:t xml:space="preserve"> </w:t>
      </w:r>
      <w:r w:rsidRPr="002D0237">
        <w:rPr>
          <w:rFonts w:ascii="Arial" w:hAnsi="Arial" w:cs="Arial"/>
          <w:sz w:val="28"/>
          <w:szCs w:val="28"/>
        </w:rPr>
        <w:t>3) долги импортера должны быть оформлены векселями, авалированными (гарантированными) первоклассным банком, что необходимо для их переучета; передача векселей оформляется индоссаментом;</w:t>
      </w:r>
      <w:r w:rsidR="00FB2F28">
        <w:rPr>
          <w:rFonts w:ascii="Arial" w:hAnsi="Arial" w:cs="Arial"/>
          <w:sz w:val="28"/>
          <w:szCs w:val="28"/>
        </w:rPr>
        <w:t xml:space="preserve"> </w:t>
      </w:r>
      <w:r w:rsidRPr="002D0237">
        <w:rPr>
          <w:rFonts w:ascii="Arial" w:hAnsi="Arial" w:cs="Arial"/>
          <w:sz w:val="28"/>
          <w:szCs w:val="28"/>
        </w:rPr>
        <w:t xml:space="preserve">4) высокая стоимость. 5) все виды рисков, присущих факторингу  присутствуют и при форфетировании в дополнение к риску, связанному с долгосрочным </w:t>
      </w:r>
      <w:r w:rsidRPr="002D0237">
        <w:rPr>
          <w:rFonts w:ascii="Arial" w:hAnsi="Arial" w:cs="Arial"/>
          <w:b/>
          <w:sz w:val="28"/>
          <w:szCs w:val="28"/>
        </w:rPr>
        <w:t>характером пр</w:t>
      </w:r>
      <w:r w:rsidR="00FB2F28">
        <w:rPr>
          <w:rFonts w:ascii="Arial" w:hAnsi="Arial" w:cs="Arial"/>
          <w:b/>
          <w:sz w:val="28"/>
          <w:szCs w:val="28"/>
        </w:rPr>
        <w:t>иобретаемых долговых требований</w:t>
      </w:r>
    </w:p>
    <w:p w:rsidR="000D5694" w:rsidRDefault="000D5694">
      <w:pPr>
        <w:rPr>
          <w:rFonts w:ascii="Arial" w:hAnsi="Arial" w:cs="Arial"/>
          <w:b/>
          <w:sz w:val="28"/>
          <w:szCs w:val="28"/>
        </w:rPr>
      </w:pPr>
      <w:r>
        <w:rPr>
          <w:rFonts w:ascii="Arial" w:hAnsi="Arial" w:cs="Arial"/>
          <w:b/>
          <w:sz w:val="28"/>
          <w:szCs w:val="28"/>
        </w:rPr>
        <w:br w:type="page"/>
      </w:r>
    </w:p>
    <w:p w:rsidR="005067BE" w:rsidRPr="002D0237" w:rsidRDefault="005067BE"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27. Роль синдицированных кредитов как одного из источников корпоративного фондирования.</w:t>
      </w:r>
    </w:p>
    <w:p w:rsidR="005067BE" w:rsidRPr="002D0237" w:rsidRDefault="005067BE" w:rsidP="00FB2F28">
      <w:pPr>
        <w:spacing w:after="0" w:line="240" w:lineRule="auto"/>
        <w:ind w:firstLine="142"/>
        <w:jc w:val="both"/>
        <w:rPr>
          <w:rFonts w:ascii="Arial" w:hAnsi="Arial" w:cs="Arial"/>
          <w:color w:val="000000" w:themeColor="text1"/>
          <w:sz w:val="28"/>
          <w:szCs w:val="28"/>
        </w:rPr>
      </w:pPr>
      <w:r w:rsidRPr="002D0237">
        <w:rPr>
          <w:rFonts w:ascii="Arial" w:hAnsi="Arial" w:cs="Arial"/>
          <w:b/>
          <w:bCs/>
          <w:sz w:val="28"/>
          <w:szCs w:val="28"/>
        </w:rPr>
        <w:t>Синдици́рованный креди́т</w:t>
      </w:r>
      <w:r w:rsidRPr="002D0237">
        <w:rPr>
          <w:rFonts w:ascii="Arial" w:hAnsi="Arial" w:cs="Arial"/>
          <w:sz w:val="28"/>
          <w:szCs w:val="28"/>
        </w:rPr>
        <w:t xml:space="preserve"> </w:t>
      </w:r>
      <w:r w:rsidRPr="002D0237">
        <w:rPr>
          <w:rFonts w:ascii="Arial" w:hAnsi="Arial" w:cs="Arial"/>
          <w:color w:val="000000" w:themeColor="text1"/>
          <w:sz w:val="28"/>
          <w:szCs w:val="28"/>
        </w:rPr>
        <w:t xml:space="preserve">— </w:t>
      </w:r>
      <w:hyperlink r:id="rId17" w:tooltip="Кредит" w:history="1">
        <w:r w:rsidRPr="002D0237">
          <w:rPr>
            <w:rStyle w:val="a7"/>
            <w:rFonts w:ascii="Arial" w:hAnsi="Arial" w:cs="Arial"/>
            <w:color w:val="000000" w:themeColor="text1"/>
            <w:sz w:val="28"/>
            <w:szCs w:val="28"/>
          </w:rPr>
          <w:t>кредит</w:t>
        </w:r>
      </w:hyperlink>
      <w:r w:rsidRPr="002D0237">
        <w:rPr>
          <w:rFonts w:ascii="Arial" w:hAnsi="Arial" w:cs="Arial"/>
          <w:color w:val="000000" w:themeColor="text1"/>
          <w:sz w:val="28"/>
          <w:szCs w:val="28"/>
        </w:rPr>
        <w:t>, предоставляемый заёмщику по меньшей мере двумя кредиторами (</w:t>
      </w:r>
      <w:hyperlink r:id="rId18" w:tooltip="Синдикат" w:history="1">
        <w:r w:rsidRPr="002D0237">
          <w:rPr>
            <w:rStyle w:val="a7"/>
            <w:rFonts w:ascii="Arial" w:hAnsi="Arial" w:cs="Arial"/>
            <w:color w:val="000000" w:themeColor="text1"/>
            <w:sz w:val="28"/>
            <w:szCs w:val="28"/>
          </w:rPr>
          <w:t>синдикатом</w:t>
        </w:r>
      </w:hyperlink>
      <w:r w:rsidRPr="002D0237">
        <w:rPr>
          <w:rFonts w:ascii="Arial" w:hAnsi="Arial" w:cs="Arial"/>
          <w:color w:val="000000" w:themeColor="text1"/>
          <w:sz w:val="28"/>
          <w:szCs w:val="28"/>
        </w:rPr>
        <w:t xml:space="preserve"> кредиторов), участвующими в данной сделке в определённых долях в рамках, как правило, единого кредитного соглашения.</w:t>
      </w:r>
    </w:p>
    <w:p w:rsidR="005067BE" w:rsidRPr="002D0237" w:rsidRDefault="005067BE" w:rsidP="00FB2F28">
      <w:pPr>
        <w:spacing w:after="0" w:line="240" w:lineRule="auto"/>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 xml:space="preserve">Международный синдицированный кредит – кредит, предоставляемый банками разных стран-членов банковского синдиката на осуществление крупного инвестиционного проекта. </w:t>
      </w:r>
    </w:p>
    <w:p w:rsidR="005067BE" w:rsidRPr="002D0237" w:rsidRDefault="005067BE" w:rsidP="00FB2F28">
      <w:pPr>
        <w:spacing w:after="0" w:line="240" w:lineRule="auto"/>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 xml:space="preserve">Синдицированными могут быть экспортные кредиты, проектное финансирование, кредитные линии, лизинговые сделки, аккредитивы и т.д. Отличие синдицированного кредита от обычного в том, что </w:t>
      </w:r>
      <w:r w:rsidRPr="002D0237">
        <w:rPr>
          <w:rStyle w:val="a5"/>
          <w:rFonts w:ascii="Arial" w:hAnsi="Arial" w:cs="Arial"/>
          <w:color w:val="000000" w:themeColor="text1"/>
          <w:sz w:val="28"/>
          <w:szCs w:val="28"/>
        </w:rPr>
        <w:t>в нем участвуют несколько кредиторов</w:t>
      </w:r>
      <w:r w:rsidRPr="002D0237">
        <w:rPr>
          <w:rFonts w:ascii="Arial" w:hAnsi="Arial" w:cs="Arial"/>
          <w:color w:val="000000" w:themeColor="text1"/>
          <w:sz w:val="28"/>
          <w:szCs w:val="28"/>
        </w:rPr>
        <w:t>. С помощью синдицированного кредитования заемщики могут получать крупные кредиты, которые один банк предоставить не в состоянии вследствие высокого риска или превышения законодательных ограничений. Синдицирование позволяет снижать страновой риск и кредитный риск на одного заемщика.</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eastAsia="Times New Roman" w:hAnsi="Arial" w:cs="Arial"/>
          <w:sz w:val="28"/>
          <w:szCs w:val="28"/>
          <w:lang w:eastAsia="ru-RU"/>
        </w:rPr>
        <w:t>Синдицированные кредиты делятся на:</w:t>
      </w:r>
    </w:p>
    <w:p w:rsidR="005067BE" w:rsidRPr="002D0237" w:rsidRDefault="005067BE" w:rsidP="00FB2F28">
      <w:pPr>
        <w:numPr>
          <w:ilvl w:val="0"/>
          <w:numId w:val="12"/>
        </w:numPr>
        <w:spacing w:after="0" w:line="240" w:lineRule="auto"/>
        <w:ind w:left="0" w:firstLine="142"/>
        <w:jc w:val="both"/>
        <w:rPr>
          <w:rFonts w:ascii="Arial" w:eastAsia="Times New Roman" w:hAnsi="Arial" w:cs="Arial"/>
          <w:sz w:val="28"/>
          <w:szCs w:val="28"/>
          <w:lang w:eastAsia="ru-RU"/>
        </w:rPr>
      </w:pPr>
      <w:r w:rsidRPr="002D0237">
        <w:rPr>
          <w:rFonts w:ascii="Arial" w:eastAsia="Times New Roman" w:hAnsi="Arial" w:cs="Arial"/>
          <w:b/>
          <w:bCs/>
          <w:sz w:val="28"/>
          <w:szCs w:val="28"/>
          <w:lang w:eastAsia="ru-RU"/>
        </w:rPr>
        <w:t>Обеспеченные:</w:t>
      </w:r>
      <w:r w:rsidRPr="002D0237">
        <w:rPr>
          <w:rFonts w:ascii="Arial" w:eastAsia="Times New Roman" w:hAnsi="Arial" w:cs="Arial"/>
          <w:sz w:val="28"/>
          <w:szCs w:val="28"/>
          <w:lang w:eastAsia="ru-RU"/>
        </w:rPr>
        <w:t xml:space="preserve"> считается кредит, обеспеченный приемлемым залогом или гарантией правительства.</w:t>
      </w:r>
    </w:p>
    <w:p w:rsidR="005067BE" w:rsidRPr="002D0237" w:rsidRDefault="005067BE" w:rsidP="00FB2F28">
      <w:pPr>
        <w:numPr>
          <w:ilvl w:val="0"/>
          <w:numId w:val="12"/>
        </w:numPr>
        <w:spacing w:after="0" w:line="240" w:lineRule="auto"/>
        <w:ind w:left="0" w:firstLine="142"/>
        <w:jc w:val="both"/>
        <w:rPr>
          <w:rFonts w:ascii="Arial" w:eastAsia="Times New Roman" w:hAnsi="Arial" w:cs="Arial"/>
          <w:sz w:val="28"/>
          <w:szCs w:val="28"/>
          <w:lang w:eastAsia="ru-RU"/>
        </w:rPr>
      </w:pPr>
      <w:r w:rsidRPr="002D0237">
        <w:rPr>
          <w:rFonts w:ascii="Arial" w:eastAsia="Times New Roman" w:hAnsi="Arial" w:cs="Arial"/>
          <w:b/>
          <w:bCs/>
          <w:sz w:val="28"/>
          <w:szCs w:val="28"/>
          <w:lang w:eastAsia="ru-RU"/>
        </w:rPr>
        <w:t>Необеспеченные</w:t>
      </w:r>
    </w:p>
    <w:p w:rsidR="005067BE" w:rsidRPr="002D0237" w:rsidRDefault="005067BE"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Для развивающихся стран сроки кредитования обычно составляют 6-12 месяцев. Это связано с тем, что банки-кредиторы сами не желают увеличивать риски по развивающимся странам и странам с переходной экономикой. В то же время и заемщики предпочитают из-за быстрой смены конъюнктуры внутреннего рынка не привлекать внешние займы на длительный срок, если средства не идут на финансирование долгосрочных проектов.</w:t>
      </w:r>
    </w:p>
    <w:p w:rsidR="005067BE" w:rsidRPr="002D0237" w:rsidRDefault="005067BE" w:rsidP="00FB2F28">
      <w:pPr>
        <w:spacing w:after="0" w:line="240" w:lineRule="auto"/>
        <w:ind w:firstLine="142"/>
        <w:jc w:val="both"/>
        <w:rPr>
          <w:rFonts w:ascii="Arial" w:eastAsia="Times New Roman" w:hAnsi="Arial" w:cs="Arial"/>
          <w:b/>
          <w:sz w:val="28"/>
          <w:szCs w:val="28"/>
          <w:lang w:eastAsia="ru-RU"/>
        </w:rPr>
      </w:pPr>
      <w:r w:rsidRPr="002D0237">
        <w:rPr>
          <w:rFonts w:ascii="Arial" w:eastAsia="Times New Roman" w:hAnsi="Arial" w:cs="Arial"/>
          <w:b/>
          <w:sz w:val="28"/>
          <w:szCs w:val="28"/>
          <w:lang w:eastAsia="ru-RU"/>
        </w:rPr>
        <w:t xml:space="preserve">Основные виды синдицированных сделок: </w:t>
      </w:r>
    </w:p>
    <w:p w:rsidR="005067BE" w:rsidRPr="002D0237" w:rsidRDefault="005067BE" w:rsidP="00FB2F28">
      <w:pPr>
        <w:numPr>
          <w:ilvl w:val="0"/>
          <w:numId w:val="14"/>
        </w:numPr>
        <w:spacing w:after="0" w:line="240" w:lineRule="auto"/>
        <w:ind w:left="0" w:firstLine="142"/>
        <w:jc w:val="both"/>
        <w:rPr>
          <w:rFonts w:ascii="Arial" w:eastAsia="Times New Roman" w:hAnsi="Arial" w:cs="Arial"/>
          <w:sz w:val="28"/>
          <w:szCs w:val="28"/>
          <w:lang w:eastAsia="ru-RU"/>
        </w:rPr>
      </w:pPr>
      <w:r w:rsidRPr="002D0237">
        <w:rPr>
          <w:rFonts w:ascii="Arial" w:eastAsia="Times New Roman" w:hAnsi="Arial" w:cs="Arial"/>
          <w:bCs/>
          <w:sz w:val="28"/>
          <w:szCs w:val="28"/>
          <w:lang w:eastAsia="ru-RU"/>
        </w:rPr>
        <w:t>Гарантированная сделка (</w:t>
      </w:r>
      <w:r w:rsidRPr="002D0237">
        <w:rPr>
          <w:rFonts w:ascii="Arial" w:eastAsia="Times New Roman" w:hAnsi="Arial" w:cs="Arial"/>
          <w:bCs/>
          <w:sz w:val="28"/>
          <w:szCs w:val="28"/>
          <w:lang w:val="en-US" w:eastAsia="ru-RU"/>
        </w:rPr>
        <w:t>Underwritten Deal)</w:t>
      </w:r>
    </w:p>
    <w:p w:rsidR="005067BE" w:rsidRPr="002D0237" w:rsidRDefault="005067BE" w:rsidP="00FB2F28">
      <w:pPr>
        <w:numPr>
          <w:ilvl w:val="0"/>
          <w:numId w:val="14"/>
        </w:numPr>
        <w:spacing w:after="0" w:line="240" w:lineRule="auto"/>
        <w:ind w:left="0" w:firstLine="142"/>
        <w:jc w:val="both"/>
        <w:rPr>
          <w:rFonts w:ascii="Arial" w:eastAsia="Times New Roman" w:hAnsi="Arial" w:cs="Arial"/>
          <w:sz w:val="28"/>
          <w:szCs w:val="28"/>
          <w:lang w:eastAsia="ru-RU"/>
        </w:rPr>
      </w:pPr>
      <w:r w:rsidRPr="002D0237">
        <w:rPr>
          <w:rFonts w:ascii="Arial" w:eastAsia="Times New Roman" w:hAnsi="Arial" w:cs="Arial"/>
          <w:bCs/>
          <w:sz w:val="28"/>
          <w:szCs w:val="28"/>
          <w:lang w:eastAsia="ru-RU"/>
        </w:rPr>
        <w:t>Синдикация на условиях «максимум усилий» (</w:t>
      </w:r>
      <w:r w:rsidRPr="002D0237">
        <w:rPr>
          <w:rFonts w:ascii="Arial" w:eastAsia="Times New Roman" w:hAnsi="Arial" w:cs="Arial"/>
          <w:bCs/>
          <w:sz w:val="28"/>
          <w:szCs w:val="28"/>
          <w:lang w:val="en-US" w:eastAsia="ru-RU"/>
        </w:rPr>
        <w:t>Best</w:t>
      </w:r>
      <w:r w:rsidRPr="002D0237">
        <w:rPr>
          <w:rFonts w:ascii="Arial" w:eastAsia="Times New Roman" w:hAnsi="Arial" w:cs="Arial"/>
          <w:bCs/>
          <w:sz w:val="28"/>
          <w:szCs w:val="28"/>
          <w:lang w:eastAsia="ru-RU"/>
        </w:rPr>
        <w:t xml:space="preserve"> </w:t>
      </w:r>
      <w:r w:rsidRPr="002D0237">
        <w:rPr>
          <w:rFonts w:ascii="Arial" w:eastAsia="Times New Roman" w:hAnsi="Arial" w:cs="Arial"/>
          <w:bCs/>
          <w:sz w:val="28"/>
          <w:szCs w:val="28"/>
          <w:lang w:val="en-US" w:eastAsia="ru-RU"/>
        </w:rPr>
        <w:t>Efforts</w:t>
      </w:r>
      <w:r w:rsidRPr="002D0237">
        <w:rPr>
          <w:rFonts w:ascii="Arial" w:eastAsia="Times New Roman" w:hAnsi="Arial" w:cs="Arial"/>
          <w:bCs/>
          <w:sz w:val="28"/>
          <w:szCs w:val="28"/>
          <w:lang w:eastAsia="ru-RU"/>
        </w:rPr>
        <w:t xml:space="preserve"> </w:t>
      </w:r>
      <w:r w:rsidRPr="002D0237">
        <w:rPr>
          <w:rFonts w:ascii="Arial" w:eastAsia="Times New Roman" w:hAnsi="Arial" w:cs="Arial"/>
          <w:bCs/>
          <w:sz w:val="28"/>
          <w:szCs w:val="28"/>
          <w:lang w:val="en-US" w:eastAsia="ru-RU"/>
        </w:rPr>
        <w:t>Syndication</w:t>
      </w:r>
      <w:r w:rsidRPr="002D0237">
        <w:rPr>
          <w:rFonts w:ascii="Arial" w:eastAsia="Times New Roman" w:hAnsi="Arial" w:cs="Arial"/>
          <w:bCs/>
          <w:sz w:val="28"/>
          <w:szCs w:val="28"/>
          <w:lang w:eastAsia="ru-RU"/>
        </w:rPr>
        <w:t>)</w:t>
      </w:r>
    </w:p>
    <w:p w:rsidR="00F73A76" w:rsidRPr="002D0237" w:rsidRDefault="005067BE" w:rsidP="00FB2F28">
      <w:pPr>
        <w:numPr>
          <w:ilvl w:val="0"/>
          <w:numId w:val="14"/>
        </w:numPr>
        <w:spacing w:after="0" w:line="240" w:lineRule="auto"/>
        <w:ind w:left="0" w:firstLine="142"/>
        <w:jc w:val="both"/>
        <w:rPr>
          <w:rFonts w:ascii="Arial" w:eastAsia="Times New Roman" w:hAnsi="Arial" w:cs="Arial"/>
          <w:sz w:val="28"/>
          <w:szCs w:val="28"/>
          <w:lang w:eastAsia="ru-RU"/>
        </w:rPr>
      </w:pPr>
      <w:r w:rsidRPr="002D0237">
        <w:rPr>
          <w:rFonts w:ascii="Arial" w:eastAsia="Times New Roman" w:hAnsi="Arial" w:cs="Arial"/>
          <w:bCs/>
          <w:sz w:val="28"/>
          <w:szCs w:val="28"/>
          <w:lang w:eastAsia="ru-RU"/>
        </w:rPr>
        <w:t>«Клубная» сделка (</w:t>
      </w:r>
      <w:r w:rsidRPr="002D0237">
        <w:rPr>
          <w:rFonts w:ascii="Arial" w:eastAsia="Times New Roman" w:hAnsi="Arial" w:cs="Arial"/>
          <w:bCs/>
          <w:sz w:val="28"/>
          <w:szCs w:val="28"/>
          <w:lang w:val="en-US" w:eastAsia="ru-RU"/>
        </w:rPr>
        <w:t>Club Deal)</w:t>
      </w:r>
    </w:p>
    <w:p w:rsidR="00F73A76" w:rsidRPr="002D0237" w:rsidRDefault="005067BE" w:rsidP="00FB2F28">
      <w:pPr>
        <w:spacing w:after="0" w:line="240" w:lineRule="auto"/>
        <w:ind w:firstLine="142"/>
        <w:jc w:val="both"/>
        <w:rPr>
          <w:rFonts w:ascii="Arial" w:eastAsia="Times New Roman" w:hAnsi="Arial" w:cs="Arial"/>
          <w:bCs/>
          <w:sz w:val="28"/>
          <w:szCs w:val="28"/>
          <w:lang w:eastAsia="ru-RU"/>
        </w:rPr>
      </w:pPr>
      <w:r w:rsidRPr="002D0237">
        <w:rPr>
          <w:rFonts w:ascii="Arial" w:eastAsia="Times New Roman" w:hAnsi="Arial" w:cs="Arial"/>
          <w:b/>
          <w:bCs/>
          <w:sz w:val="28"/>
          <w:szCs w:val="28"/>
          <w:lang w:eastAsia="ru-RU"/>
        </w:rPr>
        <w:t xml:space="preserve">Участники  синдицированного кредита: </w:t>
      </w:r>
      <w:r w:rsidRPr="002D0237">
        <w:rPr>
          <w:rFonts w:ascii="Arial" w:eastAsia="Times New Roman" w:hAnsi="Arial" w:cs="Arial"/>
          <w:bCs/>
          <w:sz w:val="28"/>
          <w:szCs w:val="28"/>
          <w:lang w:eastAsia="ru-RU"/>
        </w:rPr>
        <w:t xml:space="preserve">Заемщик, Организатор синдикации (их может быть несколько), Организаторы синдикации более низкого уровня, или со-организаторы, Участники общей синдикации, Юридический консультант, Андеррайтер (их может быть несколько), Банк-Агент, Процессуальный агент </w:t>
      </w:r>
    </w:p>
    <w:p w:rsidR="00F73A76" w:rsidRPr="002D0237" w:rsidRDefault="00F73A76"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b/>
          <w:sz w:val="28"/>
          <w:szCs w:val="28"/>
          <w:lang w:eastAsia="ru-RU"/>
        </w:rPr>
        <w:t>Роль синдицированного кредита:</w:t>
      </w:r>
      <w:r w:rsidRPr="002D0237">
        <w:rPr>
          <w:rFonts w:ascii="Arial" w:eastAsia="Times New Roman" w:hAnsi="Arial" w:cs="Arial"/>
          <w:sz w:val="28"/>
          <w:szCs w:val="28"/>
          <w:lang w:eastAsia="ru-RU"/>
        </w:rPr>
        <w:t xml:space="preserve"> создание банковских синдикатов позволяет аккумулировать необходимые кредитные ресурсы, в частности, для долгосрочных инвестиций. Синдицированный кредит позволяет снизить риски для кредиторов, что повышает доступность корпораций к кредитным ресурсам, что особенно актуально в условиях повышенных геополитических рисков. </w:t>
      </w:r>
    </w:p>
    <w:p w:rsidR="00F73A76" w:rsidRPr="00FB2F28" w:rsidRDefault="00F73A76" w:rsidP="00FB2F28">
      <w:pPr>
        <w:spacing w:after="0" w:line="240" w:lineRule="auto"/>
        <w:ind w:firstLine="142"/>
        <w:rPr>
          <w:rFonts w:ascii="Arial" w:eastAsia="Times New Roman" w:hAnsi="Arial" w:cs="Arial"/>
          <w:sz w:val="28"/>
          <w:szCs w:val="28"/>
          <w:lang w:eastAsia="ru-RU"/>
        </w:rPr>
      </w:pPr>
      <w:r w:rsidRPr="00FB2F28">
        <w:rPr>
          <w:rFonts w:ascii="Arial" w:eastAsia="Times New Roman" w:hAnsi="Arial" w:cs="Arial"/>
          <w:sz w:val="28"/>
          <w:szCs w:val="28"/>
          <w:lang w:eastAsia="ru-RU"/>
        </w:rPr>
        <w:t>Преимущества синдицированного кредита для заемщика:</w:t>
      </w:r>
      <w:r w:rsidR="00FB2F28">
        <w:rPr>
          <w:rFonts w:ascii="Arial" w:eastAsia="Times New Roman" w:hAnsi="Arial" w:cs="Arial"/>
          <w:sz w:val="28"/>
          <w:szCs w:val="28"/>
          <w:lang w:eastAsia="ru-RU"/>
        </w:rPr>
        <w:t xml:space="preserve"> </w:t>
      </w:r>
      <w:r w:rsidRPr="00FB2F28">
        <w:rPr>
          <w:rFonts w:ascii="Arial" w:eastAsia="Times New Roman" w:hAnsi="Arial" w:cs="Arial"/>
          <w:bCs/>
          <w:sz w:val="28"/>
          <w:szCs w:val="28"/>
          <w:lang w:eastAsia="ru-RU"/>
        </w:rPr>
        <w:t>Относительно невысокая стоимость</w:t>
      </w:r>
      <w:r w:rsidR="00FB2F28">
        <w:rPr>
          <w:rFonts w:ascii="Arial" w:eastAsia="Times New Roman" w:hAnsi="Arial" w:cs="Arial"/>
          <w:bCs/>
          <w:sz w:val="28"/>
          <w:szCs w:val="28"/>
          <w:lang w:eastAsia="ru-RU"/>
        </w:rPr>
        <w:t xml:space="preserve">, </w:t>
      </w:r>
      <w:r w:rsidRPr="00FB2F28">
        <w:rPr>
          <w:rFonts w:ascii="Arial" w:eastAsia="Times New Roman" w:hAnsi="Arial" w:cs="Arial"/>
          <w:bCs/>
          <w:sz w:val="28"/>
          <w:szCs w:val="28"/>
          <w:lang w:eastAsia="ru-RU"/>
        </w:rPr>
        <w:t>Возможность аккумулирования крупных денежных сумм</w:t>
      </w:r>
      <w:r w:rsidR="00FB2F28">
        <w:rPr>
          <w:rFonts w:ascii="Arial" w:eastAsia="Times New Roman" w:hAnsi="Arial" w:cs="Arial"/>
          <w:bCs/>
          <w:sz w:val="28"/>
          <w:szCs w:val="28"/>
          <w:lang w:eastAsia="ru-RU"/>
        </w:rPr>
        <w:t xml:space="preserve">, </w:t>
      </w:r>
      <w:r w:rsidRPr="00FB2F28">
        <w:rPr>
          <w:rFonts w:ascii="Arial" w:eastAsia="Times New Roman" w:hAnsi="Arial" w:cs="Arial"/>
          <w:bCs/>
          <w:sz w:val="28"/>
          <w:szCs w:val="28"/>
          <w:lang w:eastAsia="ru-RU"/>
        </w:rPr>
        <w:t>Степень раскрытия ин</w:t>
      </w:r>
      <w:r w:rsidR="00FB2F28">
        <w:rPr>
          <w:rFonts w:ascii="Arial" w:eastAsia="Times New Roman" w:hAnsi="Arial" w:cs="Arial"/>
          <w:bCs/>
          <w:sz w:val="28"/>
          <w:szCs w:val="28"/>
          <w:lang w:eastAsia="ru-RU"/>
        </w:rPr>
        <w:t xml:space="preserve">формации определяется заемщиком, </w:t>
      </w:r>
      <w:r w:rsidRPr="00FB2F28">
        <w:rPr>
          <w:rFonts w:ascii="Arial" w:eastAsia="Times New Roman" w:hAnsi="Arial" w:cs="Arial"/>
          <w:bCs/>
          <w:sz w:val="28"/>
          <w:szCs w:val="28"/>
          <w:lang w:eastAsia="ru-RU"/>
        </w:rPr>
        <w:t>Расширение сущ</w:t>
      </w:r>
      <w:r w:rsidR="00FB2F28">
        <w:rPr>
          <w:rFonts w:ascii="Arial" w:eastAsia="Times New Roman" w:hAnsi="Arial" w:cs="Arial"/>
          <w:bCs/>
          <w:sz w:val="28"/>
          <w:szCs w:val="28"/>
          <w:lang w:eastAsia="ru-RU"/>
        </w:rPr>
        <w:t xml:space="preserve">ествующей базы банков-партнеров, </w:t>
      </w:r>
      <w:r w:rsidRPr="00FB2F28">
        <w:rPr>
          <w:rFonts w:ascii="Arial" w:eastAsia="Times New Roman" w:hAnsi="Arial" w:cs="Arial"/>
          <w:bCs/>
          <w:sz w:val="28"/>
          <w:szCs w:val="28"/>
          <w:lang w:eastAsia="ru-RU"/>
        </w:rPr>
        <w:t>Относительная простота механизма привлечения финансирования</w:t>
      </w:r>
      <w:r w:rsidR="00FB2F28">
        <w:rPr>
          <w:rFonts w:ascii="Arial" w:eastAsia="Times New Roman" w:hAnsi="Arial" w:cs="Arial"/>
          <w:bCs/>
          <w:sz w:val="28"/>
          <w:szCs w:val="28"/>
          <w:lang w:eastAsia="ru-RU"/>
        </w:rPr>
        <w:t xml:space="preserve">, </w:t>
      </w:r>
      <w:r w:rsidRPr="00FB2F28">
        <w:rPr>
          <w:rFonts w:ascii="Arial" w:eastAsia="Times New Roman" w:hAnsi="Arial" w:cs="Arial"/>
          <w:bCs/>
          <w:sz w:val="28"/>
          <w:szCs w:val="28"/>
          <w:lang w:eastAsia="ru-RU"/>
        </w:rPr>
        <w:t>Формирование междунаро</w:t>
      </w:r>
      <w:r w:rsidR="00FB2F28">
        <w:rPr>
          <w:rFonts w:ascii="Arial" w:eastAsia="Times New Roman" w:hAnsi="Arial" w:cs="Arial"/>
          <w:bCs/>
          <w:sz w:val="28"/>
          <w:szCs w:val="28"/>
          <w:lang w:eastAsia="ru-RU"/>
        </w:rPr>
        <w:t xml:space="preserve">дной деловой репутации заемщика, </w:t>
      </w:r>
      <w:r w:rsidRPr="00FB2F28">
        <w:rPr>
          <w:rFonts w:ascii="Arial" w:eastAsia="Times New Roman" w:hAnsi="Arial" w:cs="Arial"/>
          <w:bCs/>
          <w:sz w:val="28"/>
          <w:szCs w:val="28"/>
          <w:lang w:eastAsia="ru-RU"/>
        </w:rPr>
        <w:t xml:space="preserve">Не требует государственной регистрации   </w:t>
      </w:r>
    </w:p>
    <w:p w:rsidR="005067BE" w:rsidRPr="002D0237" w:rsidRDefault="005067BE" w:rsidP="00FB2F28">
      <w:pPr>
        <w:spacing w:after="0" w:line="240" w:lineRule="auto"/>
        <w:ind w:firstLine="142"/>
        <w:jc w:val="both"/>
        <w:rPr>
          <w:rFonts w:ascii="Arial" w:eastAsia="Times New Roman" w:hAnsi="Arial" w:cs="Arial"/>
          <w:sz w:val="28"/>
          <w:szCs w:val="28"/>
          <w:lang w:eastAsia="ru-RU"/>
        </w:rPr>
      </w:pPr>
    </w:p>
    <w:p w:rsidR="005067BE" w:rsidRPr="002D0237" w:rsidRDefault="005067BE" w:rsidP="00FB2F28">
      <w:pPr>
        <w:spacing w:after="0" w:line="240" w:lineRule="auto"/>
        <w:ind w:firstLine="142"/>
        <w:jc w:val="both"/>
        <w:rPr>
          <w:rFonts w:ascii="Arial" w:eastAsia="Times New Roman" w:hAnsi="Arial" w:cs="Arial"/>
          <w:sz w:val="28"/>
          <w:szCs w:val="28"/>
          <w:lang w:eastAsia="ru-RU"/>
        </w:rPr>
        <w:sectPr w:rsidR="005067BE" w:rsidRPr="002D0237" w:rsidSect="00FB2F28">
          <w:pgSz w:w="11906" w:h="16838"/>
          <w:pgMar w:top="340" w:right="340" w:bottom="55"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5067BE" w:rsidRPr="002D0237" w:rsidRDefault="005067BE" w:rsidP="00FB2F28">
      <w:pPr>
        <w:spacing w:after="0" w:line="240" w:lineRule="auto"/>
        <w:ind w:firstLine="142"/>
        <w:jc w:val="both"/>
        <w:rPr>
          <w:rFonts w:ascii="Arial" w:eastAsia="Times New Roman" w:hAnsi="Arial" w:cs="Arial"/>
          <w:sz w:val="28"/>
          <w:szCs w:val="28"/>
          <w:lang w:eastAsia="ru-RU"/>
        </w:rPr>
        <w:sectPr w:rsidR="005067BE" w:rsidRPr="002D0237" w:rsidSect="002D0237">
          <w:type w:val="continuous"/>
          <w:pgSz w:w="11906" w:h="16838"/>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num="2" w:space="708"/>
          <w:docGrid w:linePitch="360"/>
        </w:sectPr>
      </w:pPr>
    </w:p>
    <w:p w:rsidR="005067BE" w:rsidRPr="002D0237" w:rsidRDefault="005067BE" w:rsidP="00FB2F28">
      <w:pPr>
        <w:spacing w:after="0" w:line="240" w:lineRule="auto"/>
        <w:ind w:firstLine="142"/>
        <w:rPr>
          <w:rFonts w:ascii="Arial" w:eastAsia="Times New Roman" w:hAnsi="Arial" w:cs="Arial"/>
          <w:b/>
          <w:sz w:val="28"/>
          <w:szCs w:val="28"/>
          <w:lang w:eastAsia="ru-RU"/>
        </w:rPr>
      </w:pPr>
      <w:r w:rsidRPr="002D0237">
        <w:rPr>
          <w:rFonts w:ascii="Arial" w:eastAsia="Times New Roman" w:hAnsi="Arial" w:cs="Arial"/>
          <w:b/>
          <w:sz w:val="28"/>
          <w:szCs w:val="28"/>
          <w:lang w:eastAsia="ru-RU"/>
        </w:rPr>
        <w:lastRenderedPageBreak/>
        <w:t>28. Структура и участники мирового финансового рынка и особенности его функционирования</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Мировой финансовый рынок – это сфера рыночных отношений, где осуществляется движение денежного капитала между странами и формируется спрос и предложение на него. Мировой финансовый рынок выполняет функцию межстранового перераспределения денежных капиталов, обеспечивая экономический рост и прибыли участников рынка, а также является совокупностью валютного, кредитного, фондового, страхового рынков, а также рынка золота.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Мировой финансовый рынок также является совокупностью институтов: банки, финансово-кредитные учреждения, фондовые биржи, инвестиционные фонды, через которые осуществляется перераспределение мировых финансовых потоков.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Структура мирового финансового рынка: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Сегменты национального финансового рынка: Рынок ссудных капиталов: денежный рынок, рынок средне- и долгосрочных кредитов, Валютный рынок, Рынок ценных бумаг: первичный, вторичный, деривативов. Рынок страхования и перестрахования, рынок золота.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Сегменты мирового финансового рынка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Мировой рынок ссудных капиталов: мировой денежный рынок, мировой рынок капитала, рынок еврокредитов, еврорынок. Мировой валютный рынок: рынок евровалют. Мировой рынок ценных бумаг: первичный, вторичный, рынок деривативов. Еврофинансовый рынок. Мировой рынок страхования и перестраховани. Мировой рынок золота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Участники финансового рынка: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Национальные участники: Корпорации, Банки и специализированные кредитно-финансовые организации, Фондовые (частично товарные) биржи, Государство.</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Международные участники: Транснациональные корпорации, Международные банки, ТНБ, специализированные кредитно-финансовые организации, фонды, международные финансовые институты, Ведущие фондовые (частично товарные) биржи, Государство</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На развитие мирового финансового рынка влияет ряд факторов: глобализация, модернизация структуры международного разделения труда (специализация стран по сфера, отраслям, стадиям технологического процесса), повышение степени открытости национального воспроизводства и его вовлечения в мирохозяйственные связи, либерализация мирохозяйственных связей, развитие ТНК, технологического прогресса.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 условиях глобализации мировой экономики сформировались следующие функциональные и институциональные особенности развития мирового финансового рынка: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Рост масштабов мирового финансового рынка, диверсификация финансовых инструментов, чрезмерная либерализация мирового финансового рынка, отсутствие эффективного надзора и контроля, виртуализация финансовых операций, преобладание спекулятивных операций, усиление позиций ТНК и ТНБ, повышение роли институциональных инвесторов, активизация операций гос. органов. </w:t>
      </w:r>
    </w:p>
    <w:p w:rsidR="00F73A76" w:rsidRDefault="00F73A76" w:rsidP="00FB2F28">
      <w:pPr>
        <w:spacing w:after="0" w:line="240" w:lineRule="auto"/>
        <w:ind w:firstLine="142"/>
        <w:rPr>
          <w:rFonts w:ascii="Arial" w:eastAsia="Times New Roman" w:hAnsi="Arial" w:cs="Arial"/>
          <w:sz w:val="28"/>
          <w:szCs w:val="28"/>
          <w:lang w:eastAsia="ru-RU"/>
        </w:rPr>
      </w:pPr>
    </w:p>
    <w:p w:rsidR="00FB2F28" w:rsidRPr="002D0237" w:rsidRDefault="00FB2F28" w:rsidP="00FB2F28">
      <w:pPr>
        <w:spacing w:after="0" w:line="240" w:lineRule="auto"/>
        <w:ind w:firstLine="142"/>
        <w:rPr>
          <w:rFonts w:ascii="Arial" w:eastAsia="Times New Roman" w:hAnsi="Arial" w:cs="Arial"/>
          <w:sz w:val="28"/>
          <w:szCs w:val="28"/>
          <w:lang w:eastAsia="ru-RU"/>
        </w:rPr>
      </w:pPr>
    </w:p>
    <w:p w:rsidR="00F73A76" w:rsidRPr="002D0237" w:rsidRDefault="00F73A76" w:rsidP="00FB2F28">
      <w:pPr>
        <w:spacing w:after="0" w:line="240" w:lineRule="auto"/>
        <w:ind w:firstLine="142"/>
        <w:rPr>
          <w:rFonts w:ascii="Arial" w:eastAsia="Times New Roman" w:hAnsi="Arial" w:cs="Arial"/>
          <w:sz w:val="28"/>
          <w:szCs w:val="28"/>
          <w:lang w:eastAsia="ru-RU"/>
        </w:rPr>
      </w:pPr>
    </w:p>
    <w:p w:rsidR="000D5694" w:rsidRDefault="000D5694">
      <w:pPr>
        <w:rPr>
          <w:rFonts w:ascii="Arial" w:hAnsi="Arial" w:cs="Arial"/>
          <w:sz w:val="28"/>
          <w:szCs w:val="28"/>
        </w:rPr>
      </w:pPr>
      <w:r>
        <w:rPr>
          <w:rFonts w:ascii="Arial" w:hAnsi="Arial" w:cs="Arial"/>
          <w:sz w:val="28"/>
          <w:szCs w:val="28"/>
        </w:rPr>
        <w:br w:type="page"/>
      </w:r>
    </w:p>
    <w:p w:rsidR="005067BE" w:rsidRPr="002D0237" w:rsidRDefault="005067BE" w:rsidP="00FB2F28">
      <w:pPr>
        <w:spacing w:after="0" w:line="240" w:lineRule="auto"/>
        <w:ind w:firstLine="142"/>
        <w:rPr>
          <w:rFonts w:ascii="Arial" w:hAnsi="Arial" w:cs="Arial"/>
          <w:sz w:val="28"/>
          <w:szCs w:val="28"/>
        </w:rPr>
      </w:pPr>
      <w:r w:rsidRPr="000D5694">
        <w:rPr>
          <w:rFonts w:ascii="Arial" w:hAnsi="Arial" w:cs="Arial"/>
          <w:b/>
          <w:sz w:val="28"/>
          <w:szCs w:val="28"/>
        </w:rPr>
        <w:lastRenderedPageBreak/>
        <w:t xml:space="preserve">29. Факторы, влияющие на функционирование современного мирового </w:t>
      </w:r>
      <w:r w:rsidRPr="002D0237">
        <w:rPr>
          <w:rFonts w:ascii="Arial" w:hAnsi="Arial" w:cs="Arial"/>
          <w:b/>
          <w:sz w:val="28"/>
          <w:szCs w:val="28"/>
        </w:rPr>
        <w:t>финансового рынка.</w:t>
      </w:r>
    </w:p>
    <w:p w:rsidR="005067BE" w:rsidRPr="002D0237" w:rsidRDefault="005067BE"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Мировой финансовый рынок – это сфера рыночных отношений, где осуществляется движение денежного капитала между странами и формируется спрос и предложение на него. Мировой финансовый рынок выполняет функцию межстранового перераспределения денежных капиталов, обеспечивая экономический рост и прибыли участников рынка, а также является совокупностью валютного, кредитного, фондового, страхового рынков, а также рынка золота. </w:t>
      </w:r>
    </w:p>
    <w:p w:rsidR="005067BE" w:rsidRPr="002D0237" w:rsidRDefault="005067BE"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На развитие мирового финансового рынка влияет ряд факторов: глобализация, модернизация структуры международного разделения труда (специализация стран по сфера, отраслям, стадиям технологического процесса), повышение степени открытости национального воспроизводства и его вовлечения в мирохозяйственные связи, либерализация мирохозяйственных связей, развитие ТНК, технологического прогресса.</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Финансовая глобализациия – высшая степень интернационализации финансовых отношений, в том числе в процессе межстранового перераспределения денежного капитала через мировой финансовый рынок. </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Специализация стран по сферам, отраслям и отдельным стадиям технологического процесса сопровождается масштабным переносом из развитых стран в менее развитые трудоемких, материалоемких, экологически обременительных и низкотехнологичных производств. На этой основе растет масштаб деятельности транснационального финансово-экономического бизнеса.</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Модификация процесса воспроизводства в условиях глобализации мировой экономики и финансов проявляется в возрастании фиктивного капитала в отрыве от динамики его основы -реального капитала, в опережающем развитии финансового сектора по сравнению с реальным сектором экономики. Накануне мирового финансово-экономического кризиса объем рынка производных финансовых инструментов (700 трлн долл. в 2007 г.) в 1,4 раза превысил мировой ВВП.</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Существенную роль в ускорении либерализации мирохозяйственных связей играла созданная в 1996 г. Всемирная торговая организация (ранее ГАТТ), которая формирует глобальный торговый режим. Доля стран — участниц ГАТТ/ВТО в мировом экспорте товаров составляет более 95%.</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Технологический прогресс в операциях на мировом финансовом рынке, использование компьютерных телекоммуникаций, электронных технологий, современных средств связи, информационных сетей, Интернета совершенствуют инфраструктуру рынка. В условиях глобализации мировой экономики усилилась виртуализация операций и возрос масштаб невиданных спекуляций на мировом финансовом рынке. С этой целью формируются ниши, офшорные зоны с теневыми (нелегальными) финансовыми потоками, "беглым" капиталом, легализацией (отмыванием) криминальных доходов. </w:t>
      </w:r>
    </w:p>
    <w:p w:rsidR="005067BE" w:rsidRPr="002D0237" w:rsidRDefault="005067BE" w:rsidP="00FB2F28">
      <w:pPr>
        <w:spacing w:after="0" w:line="240" w:lineRule="auto"/>
        <w:ind w:firstLine="142"/>
        <w:jc w:val="both"/>
        <w:rPr>
          <w:rFonts w:ascii="Arial" w:hAnsi="Arial" w:cs="Arial"/>
          <w:sz w:val="28"/>
          <w:szCs w:val="28"/>
        </w:rPr>
      </w:pPr>
      <w:r w:rsidRPr="002D0237">
        <w:rPr>
          <w:rFonts w:ascii="Arial" w:hAnsi="Arial" w:cs="Arial"/>
          <w:sz w:val="28"/>
          <w:szCs w:val="28"/>
        </w:rPr>
        <w:t>Нарастание противоречий между фиктивным и реальным капиталом, финансовым и реальным секторами глобализирующейся мировой экономики усиливает системные риски функционирования мирового финансового рынка и кризисные потрясения. Эти риски связаны со взаимозависимостью сегментов и участников этого рынка.</w:t>
      </w:r>
    </w:p>
    <w:p w:rsidR="000D5694" w:rsidRDefault="000D5694">
      <w:pPr>
        <w:rPr>
          <w:rFonts w:ascii="Arial" w:hAnsi="Arial" w:cs="Arial"/>
          <w:b/>
          <w:sz w:val="28"/>
          <w:szCs w:val="28"/>
        </w:rPr>
      </w:pPr>
      <w:r>
        <w:rPr>
          <w:rFonts w:ascii="Arial" w:hAnsi="Arial" w:cs="Arial"/>
          <w:b/>
          <w:sz w:val="28"/>
          <w:szCs w:val="28"/>
        </w:rPr>
        <w:br w:type="page"/>
      </w:r>
    </w:p>
    <w:p w:rsidR="005067BE" w:rsidRPr="002D0237" w:rsidRDefault="005067BE"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30. Проблемы регулирования мирового финансового рынка на современном этапе.</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Проблемы регулирования проявляются в следующем:</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Во-первых, они заключаются в противоречиях между</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национальным характером деятельности регуляторов и международным характером деятельности финансовых институтов-участников мирового финансового рынка.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Во - вторых, - в разнонаправленности интересов стран-лидеров рынка в отношении используемых методов и механизмов регулирования.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В-третьих, они проявляются в опережающим развитии новых финансовых инструментов и институтов по сравнению с определенным отставанием в создании механизмов их регулирования.</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Данные пределы существенно затрудняют инновации в регулировании, что, в свою очередь, является серьезным ограничителем развития современного мирового финансового рынка. </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В этой связи выявление возможностей совершенствования регулирования мирового финансового рынка с учетом существующих пределов приобретает особую актуальность в современных условиях посткризисной стабилизации мирового финансового рынка.</w:t>
      </w:r>
    </w:p>
    <w:p w:rsidR="005067BE" w:rsidRPr="002D0237" w:rsidRDefault="005067BE" w:rsidP="00FB2F28">
      <w:pPr>
        <w:spacing w:after="0" w:line="240" w:lineRule="auto"/>
        <w:ind w:firstLine="142"/>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Анализ современного мирового опыта регулирования позволяет сделать вывод о существенных различиях в подходах к регулированию национальных финансовых рынков. Здесь речь идет как о степени охвата национальными законодательными актами различных областей финансовых рынков, так и о существенных различиях в полномочиях надзорных органов. </w:t>
      </w:r>
    </w:p>
    <w:p w:rsidR="005067BE" w:rsidRPr="002D0237" w:rsidRDefault="005067BE" w:rsidP="00FB2F28">
      <w:pPr>
        <w:spacing w:after="0" w:line="240" w:lineRule="auto"/>
        <w:ind w:firstLine="142"/>
        <w:jc w:val="both"/>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0D5694" w:rsidRDefault="000D5694">
      <w:pPr>
        <w:rPr>
          <w:rFonts w:ascii="Arial" w:hAnsi="Arial" w:cs="Arial"/>
          <w:b/>
          <w:sz w:val="28"/>
          <w:szCs w:val="28"/>
        </w:rPr>
      </w:pPr>
      <w:r>
        <w:rPr>
          <w:rFonts w:ascii="Arial" w:hAnsi="Arial" w:cs="Arial"/>
          <w:b/>
          <w:sz w:val="28"/>
          <w:szCs w:val="28"/>
        </w:rPr>
        <w:br w:type="page"/>
      </w:r>
    </w:p>
    <w:p w:rsidR="004D67BC" w:rsidRPr="002D0237" w:rsidRDefault="00FB2F28" w:rsidP="00FB2F28">
      <w:pPr>
        <w:spacing w:after="0" w:line="240" w:lineRule="auto"/>
        <w:ind w:firstLine="142"/>
        <w:jc w:val="both"/>
        <w:rPr>
          <w:rFonts w:ascii="Arial" w:hAnsi="Arial" w:cs="Arial"/>
          <w:b/>
          <w:sz w:val="28"/>
          <w:szCs w:val="28"/>
        </w:rPr>
      </w:pPr>
      <w:r>
        <w:rPr>
          <w:rFonts w:ascii="Arial" w:hAnsi="Arial" w:cs="Arial"/>
          <w:b/>
          <w:sz w:val="28"/>
          <w:szCs w:val="28"/>
        </w:rPr>
        <w:lastRenderedPageBreak/>
        <w:t>31.</w:t>
      </w:r>
      <w:r w:rsidR="004D67BC" w:rsidRPr="002D0237">
        <w:rPr>
          <w:rFonts w:ascii="Arial" w:hAnsi="Arial" w:cs="Arial"/>
          <w:b/>
          <w:sz w:val="28"/>
          <w:szCs w:val="28"/>
        </w:rPr>
        <w:t xml:space="preserve"> Государства как участники системы мировых финансов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Государство и международные финансовые и другие организации стремятся регулировать деятельность мирового рынка в целях предотвращения или преодоления кризисных потрясений. Повысилось участие государства в операциях на разных сегментах мирового финансового рынка, особенно в качестве международного кредитора и заемщика.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Государство является активным участником международных кредитных отношений, выступая в роли кредитора, донора, гаранта и заемщика. Используя часть национального дохода, аккумулированного через госбюджет, государство предоставляет правительственные или смешанные кредиты, субсидии, помощь другим странам.</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Как свидетельствует мировой опыт, государство поощряет внешнеэкономическую деятельность предприятий с помощью субсидий, кредитов, налоговых, таможенных льгот, гарантий, субсидирования процентных ставок, т. е. бонификации (возмещения банкам за счет госбюджета разницы между рыночными и льготными процентными ставками по экспортным кредитам). Государственные гарантии по краткосрочным экспортным кредитам в виде акцептно-авальных операций превращают тратты экспортеров в первоклассное платежное средство.</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Государство, освобождая экспортеров от уплаты косвенных и некоторых прямых налогов, способствует снижению цен вывозимых товаров, повышая их конкурентоспособность.</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Для поощрения экспансии монополий на внешних рынках созданы государственные или полугосударственные экспортно-импортные (внешнеторговые) банки, которые осуществляют кредитование и страхование внешнеэкономических операций, гарантируют экспортные кредиты частных банков. Цель создания этих специализированных банков — обеспечить доступ экспортерам к кредиту, который является важным средством конкуренции наряду с ценой, качеством и услугами, и тем самым стимулировать национальный экспорт. Экспортно-импортные банки призваны дополнять и поощрять деятельность частного капитала, не конкурируя с ним, совместно стимулировать экспорт.</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rPr>
          <w:rFonts w:ascii="Arial" w:hAnsi="Arial" w:cs="Arial"/>
          <w:b/>
          <w:sz w:val="28"/>
          <w:szCs w:val="28"/>
        </w:rPr>
      </w:pPr>
      <w:r w:rsidRPr="002D0237">
        <w:rPr>
          <w:rFonts w:ascii="Arial" w:hAnsi="Arial" w:cs="Arial"/>
          <w:b/>
          <w:sz w:val="28"/>
          <w:szCs w:val="28"/>
        </w:rPr>
        <w:lastRenderedPageBreak/>
        <w:t>32</w:t>
      </w:r>
      <w:r w:rsidR="000D5694">
        <w:rPr>
          <w:rFonts w:ascii="Arial" w:hAnsi="Arial" w:cs="Arial"/>
          <w:b/>
          <w:sz w:val="28"/>
          <w:szCs w:val="28"/>
        </w:rPr>
        <w:t>.</w:t>
      </w:r>
      <w:r w:rsidRPr="002D0237">
        <w:rPr>
          <w:rFonts w:ascii="Arial" w:hAnsi="Arial" w:cs="Arial"/>
          <w:b/>
          <w:sz w:val="28"/>
          <w:szCs w:val="28"/>
        </w:rPr>
        <w:t xml:space="preserve"> Роль мировых финансовых центров на современном этапе</w:t>
      </w:r>
    </w:p>
    <w:p w:rsidR="004D67BC" w:rsidRPr="002D0237" w:rsidRDefault="004D67BC" w:rsidP="00FB2F28">
      <w:pPr>
        <w:spacing w:after="0" w:line="240" w:lineRule="auto"/>
        <w:ind w:firstLine="142"/>
        <w:rPr>
          <w:rFonts w:ascii="Arial" w:hAnsi="Arial" w:cs="Arial"/>
          <w:sz w:val="28"/>
          <w:szCs w:val="28"/>
        </w:rPr>
      </w:pPr>
      <w:r w:rsidRPr="002D0237">
        <w:rPr>
          <w:rFonts w:ascii="Arial" w:hAnsi="Arial" w:cs="Arial"/>
          <w:sz w:val="28"/>
          <w:szCs w:val="28"/>
        </w:rPr>
        <w:t>В результате конкуренции сложились мировые финансовые центры — Нью-Йорк, Лондон, Цюрих, Люксембург, Франкфурт-на-Майне, Сингапур и др. Мировые финансовые центры — центры сосредоточения банков и специализированных кредитно-финансовых институтов, осуществляющих международные валютные, кредитные, финансовые операции, сделки с ценными бумагами, золотом. Исторически они возникли на базе национальных рынков, а затем — на основе мировых валютных, кредитных, финансовых рынков, рынков золота.</w:t>
      </w:r>
    </w:p>
    <w:p w:rsidR="004D67BC" w:rsidRPr="002D0237" w:rsidRDefault="004D67BC" w:rsidP="00FB2F28">
      <w:pPr>
        <w:spacing w:after="0" w:line="240" w:lineRule="auto"/>
        <w:ind w:firstLine="142"/>
        <w:rPr>
          <w:rFonts w:ascii="Arial" w:hAnsi="Arial" w:cs="Arial"/>
          <w:sz w:val="28"/>
          <w:szCs w:val="28"/>
        </w:rPr>
      </w:pPr>
      <w:r w:rsidRPr="002D0237">
        <w:rPr>
          <w:rFonts w:ascii="Arial" w:hAnsi="Arial" w:cs="Arial"/>
          <w:sz w:val="28"/>
          <w:szCs w:val="28"/>
        </w:rPr>
        <w:t>Мировым финансовым центром является Цюрих, который оспаривает первенство у Лондона по операциям с золотом, а также Люксембург. На долю последнего приходится около 1/4 всех евровалютных кредитов. Мировым финансовым центром стал Токио в результате усиления позиций Японии в мировом хозяйстве в ходе конкурентной борьбы, создания за рубежом мощной банковской сети, внедрения иены в международный экономический оборот, отмены валютных ограничений. В отличие от США, которые с 1985 г. стали нетто-должником, Япония — ведущая страна нетто-кредитор. Японские банки доминируют в мире, в том числе в сфере международных операций (почти 40% в начале 90-х годов), опередив банки США (15%) и Западной Европы. В конце 90-х годов произошло временное ослабление международных позиций Японии в связи с экономическим кризисом и в значительной степени под влиянием небывалого за последние 30 лет финансового и валютного кризисов в регионе ЮВА.</w:t>
      </w:r>
    </w:p>
    <w:p w:rsidR="004D67BC" w:rsidRPr="002D0237" w:rsidRDefault="004D67BC" w:rsidP="00FB2F28">
      <w:pPr>
        <w:spacing w:after="0" w:line="240" w:lineRule="auto"/>
        <w:ind w:firstLine="142"/>
        <w:rPr>
          <w:rFonts w:ascii="Arial" w:hAnsi="Arial" w:cs="Arial"/>
          <w:sz w:val="28"/>
          <w:szCs w:val="28"/>
        </w:rPr>
      </w:pPr>
      <w:r w:rsidRPr="002D0237">
        <w:rPr>
          <w:rFonts w:ascii="Arial" w:hAnsi="Arial" w:cs="Arial"/>
          <w:sz w:val="28"/>
          <w:szCs w:val="28"/>
        </w:rPr>
        <w:t>Появление финансовых центров на периферии мирового хозяйства, таких, как Багамские острова, Сингапур, Сянган (Гонконг), Панама, Бахрейн и др., обусловлено в известной мере более низкими налогами и операционными расходами, незначительным государственным вмешательством, либеральным валютным законодательством.</w:t>
      </w:r>
    </w:p>
    <w:p w:rsidR="004D67BC" w:rsidRPr="002D0237" w:rsidRDefault="004D67BC" w:rsidP="00FB2F28">
      <w:pPr>
        <w:spacing w:after="0" w:line="240" w:lineRule="auto"/>
        <w:ind w:firstLine="142"/>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r w:rsidRPr="002D0237">
        <w:rPr>
          <w:rFonts w:ascii="Arial" w:hAnsi="Arial" w:cs="Arial"/>
          <w:sz w:val="28"/>
          <w:szCs w:val="28"/>
        </w:rPr>
        <w:t>В условиях глобализации мировой экономики и финансов усилились важнейшие тенденции развития МФЦ – расширение масштаба деятельности; специализация и конкретизация определенных операций в том или ином центре; увеличение числа МФЦ; повышение роли МФЦ, расположенных в развивающихся странах; регионализация МФЦ на основе формирования интеграционных экономических союзов.</w:t>
      </w: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33</w:t>
      </w:r>
      <w:r w:rsidR="000D5694">
        <w:rPr>
          <w:rFonts w:ascii="Arial" w:hAnsi="Arial" w:cs="Arial"/>
          <w:b/>
          <w:sz w:val="28"/>
          <w:szCs w:val="28"/>
        </w:rPr>
        <w:t>.</w:t>
      </w:r>
      <w:r w:rsidRPr="002D0237">
        <w:rPr>
          <w:rFonts w:ascii="Arial" w:hAnsi="Arial" w:cs="Arial"/>
          <w:b/>
          <w:sz w:val="28"/>
          <w:szCs w:val="28"/>
        </w:rPr>
        <w:t xml:space="preserve"> Особенности функционирования современного мирового валютного рынка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Валютный рынок – рынок, где совершается купля-продажа иностранных валют на национальную по рыночному курсу. Это сфера экономических отношений, возникающих при согласовании интересов продавцов и покупателей валюты. С институциональной точки зрения это совокупность профессиональных участников (банков, бирж, брокеров и др.), организующих валютные торги с использованием современных технологий и средств связи. Современный МВР характеризуется следующими основными особенностями: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1) Глобализация валютного рынка на основе усиления интернационализации хозяйственных связей</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2) Операции совершаются непрерывно в течении суток попеременно во всех частях света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3) Технологическое переоснащение валютных рынков с переходом на электронные системы – дилинговые и брокерские</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4) На базе электронного соединения информационно-торговой системы ведущих банков сформировался глобальных межбанковский валютный рынок, отмежевавшийся от клиентского рынка. С усилением прозрачности валютных операций сузилась курсовая разница и обострилась конкуренция банков за качество своих операций и услуг. Основная часть валютных операций производится с использованием интернет-технологий. На этой основе меняется структура МВР по линии развития сегмента прямых розничных услуг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5) Масштабный и ликвидный МРВ нестабилен и крайне чувствителен к экономическим и политическим новостям.</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С функциональной точки зрения валютные рынки обеспечивают:</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1) своевременное осуществление международных расчетов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2) страхование рисков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3) взаимосвязь всех сегментов мирового финансового рынка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4) диверсификацию валютных резервов банков, корпораций, государства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5) регулирование валютных курсов (рыночное и государственное)</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6) получение спекулятивной прибыли их участниками в виде разницы курсов валют</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7) проведение валютной политики банков, корпораций и государств</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34</w:t>
      </w:r>
      <w:r w:rsidR="000D5694">
        <w:rPr>
          <w:rFonts w:ascii="Arial" w:hAnsi="Arial" w:cs="Arial"/>
          <w:b/>
          <w:sz w:val="28"/>
          <w:szCs w:val="28"/>
        </w:rPr>
        <w:t xml:space="preserve">. </w:t>
      </w:r>
      <w:r w:rsidRPr="002D0237">
        <w:rPr>
          <w:rFonts w:ascii="Arial" w:hAnsi="Arial" w:cs="Arial"/>
          <w:b/>
          <w:sz w:val="28"/>
          <w:szCs w:val="28"/>
        </w:rPr>
        <w:t>Наличные и срочные валютные операции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Наличные валютные операции (спот) - эти операции наиболее распространены и их сущность заключается в купле-продаже валюты на условиях ее поставки банками-контрагентами на второй рабочий день со дня заключения сделки по курсу, зафиксированному в момент ее заключения. При этом считаются рабочие дни по каждой из валют, участвующих в сделке, т. е. если следующий день за датой сделки является нерабочим для одной валюты, срок поставки валют — дата валютирования (value data) — увеличивается на 1 день, но если последующий день нерабочий для другой валюты, то срок поставки увеличивается еще на 1 день. Для сделок, заключенных в четверг, нормальный срок поставки — понедельник, в пятницу — вторник (суббота и воскресенье — нерабочие дни). Разновидностью сделки спот являются кассовые сделки в форме купли-продажи наличной иностранной валюты обычно в банках или обменных пунктах. Широкое распространение электронных средств связи (СВИФТ), систем электронных клиринговых расчетов (ЧИПС в США, ЧАПС в Англии и т. д.), компьютерной обработки операций позволяет значительно быстрее осуществлять операции. Об этом свидетельствуют, например, операции по размещению однодневных депозитов «с сегодня до завтра» или «с завтра до послезавтра». Таким образом, на межбанковском краткосрочном рынке осуществляются:</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сделки Today по курсу Today с поставкой валюты в день заключения сделки;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 сделки Tomorrow — по курсу Tomorrow с условием поставки валюты на следующий день после заключения сделки.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Однако традиционно базовой валютной операцией остается сделка «спот» и базовым курсом — курс «спот». Именно на базе этих курсов определяются курсы срочных сделок.</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Срочные валютные сделки (форвардные, фьючерсные) — это валютные сделки, при которых стороны договариваются о поставке обусловленной суммы иностранной валюты через определенный срок после заключения сделки по курсу, зафиксированному в момент ее заключения. Из этого определения вытекают две особенности срочных валютных операций.</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1. Интервал во времени между моментом заключения и исполнения сделки. Срок исполнения сделки, т. е. поставки валюты, определяется как конец периода от</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даты заключения сделки (срок 1—2 недели, 1, 2, 3, 6, 12 месяцев и до 5 лет), иногда любой другой период в пределах срока (ломаная дата).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2. Курс валют по срочной валютной операции фиксируется в момент заключения сделки, хотя она исполняется через определенный срок.</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35</w:t>
      </w:r>
      <w:r w:rsidR="000D5694">
        <w:rPr>
          <w:rFonts w:ascii="Arial" w:hAnsi="Arial" w:cs="Arial"/>
          <w:b/>
          <w:sz w:val="28"/>
          <w:szCs w:val="28"/>
        </w:rPr>
        <w:t>.</w:t>
      </w:r>
      <w:r w:rsidRPr="002D0237">
        <w:rPr>
          <w:rFonts w:ascii="Arial" w:hAnsi="Arial" w:cs="Arial"/>
          <w:b/>
          <w:sz w:val="28"/>
          <w:szCs w:val="28"/>
        </w:rPr>
        <w:t xml:space="preserve"> Форвардные и фьючерсные контракты</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Валютные фьючерсы - соглашение, которое означает обязательство (а не право выбора в отличие от опциона) на продажу или покупку стандартного количества определенной валюты на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определенную дату (в будущем) по курсу, заранее установленному при заключении сделки. Разница между валютным курсом дня заключения и исполнения фьючерсной сделки называется спред. В стандартных контрактах регламентируются все условия: сумма, срок, гарантийный депозит, метод расчета. Тип контракта определяется суммой валюты и месяцем его исполнения.</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Торговля фьючерсами осуществляется через клиринговую (расчетную) палату, которая является продавцом для каждого покупателя и покупателем — для продавца. Тем самым упрощается торговля: одни сделки покрывают другие.</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Эффективность фьючерсной сделки определяется маржой, уточняемой после рабочего сеанса для каждой сделки. М=рК(С-С</w:t>
      </w:r>
      <w:r w:rsidRPr="002D0237">
        <w:rPr>
          <w:rFonts w:ascii="Arial" w:hAnsi="Arial" w:cs="Arial"/>
          <w:sz w:val="28"/>
          <w:szCs w:val="28"/>
          <w:lang w:val="en-US"/>
        </w:rPr>
        <w:t>m</w:t>
      </w:r>
      <w:r w:rsidRPr="002D0237">
        <w:rPr>
          <w:rFonts w:ascii="Arial" w:hAnsi="Arial" w:cs="Arial"/>
          <w:sz w:val="28"/>
          <w:szCs w:val="28"/>
        </w:rPr>
        <w:t xml:space="preserve">) где, М – маржа, р=1 при продаже валюты, К – количество контрактов, С – курс валюты на день заключения сделки, </w:t>
      </w:r>
      <w:r w:rsidRPr="002D0237">
        <w:rPr>
          <w:rFonts w:ascii="Arial" w:hAnsi="Arial" w:cs="Arial"/>
          <w:sz w:val="28"/>
          <w:szCs w:val="28"/>
          <w:lang w:val="en-US"/>
        </w:rPr>
        <w:t>Cm</w:t>
      </w:r>
      <w:r w:rsidRPr="002D0237">
        <w:rPr>
          <w:rFonts w:ascii="Arial" w:hAnsi="Arial" w:cs="Arial"/>
          <w:sz w:val="28"/>
          <w:szCs w:val="28"/>
        </w:rPr>
        <w:t xml:space="preserve"> – курс валюты текущего рабочего сеанса.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Лондонская биржа по торговле фьючерсными контрактами (LIFFE) различает три категории их участников: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 хеджеры (hedgers) — банки, корпорации, менеджеры по инвестициям, которые управляют рисками;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 спекулянты (traders), принимающие на себя риск с целью получения прибыли;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арбитражеры (arbitragers).</w:t>
      </w:r>
    </w:p>
    <w:p w:rsidR="004D67BC" w:rsidRPr="002D0237" w:rsidRDefault="004D67BC" w:rsidP="00FB2F28">
      <w:pPr>
        <w:spacing w:after="0" w:line="240" w:lineRule="auto"/>
        <w:ind w:firstLine="142"/>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36</w:t>
      </w:r>
      <w:r w:rsidR="000D5694">
        <w:rPr>
          <w:rFonts w:ascii="Arial" w:hAnsi="Arial" w:cs="Arial"/>
          <w:b/>
          <w:sz w:val="28"/>
          <w:szCs w:val="28"/>
        </w:rPr>
        <w:t>.</w:t>
      </w:r>
      <w:r w:rsidRPr="002D0237">
        <w:rPr>
          <w:rFonts w:ascii="Arial" w:hAnsi="Arial" w:cs="Arial"/>
          <w:b/>
          <w:sz w:val="28"/>
          <w:szCs w:val="28"/>
        </w:rPr>
        <w:t xml:space="preserve"> Опционы (основные виды и стратегии)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Опцион с валютой — соглашение, которое при условии уплаты установленной комиссии (премии) предоставляет одной из сторон в сделке купли- продажи право выбора (но не обязанность) либо купить (сделка «колл» — call-опцион покупателя), либо продать (сделка «пут» — put-опцион продавца) определенное количество определенной валюты по курсу, установленному при заключении сделки до истечения оговоренного срока (в любой день — американский опцион; на определенную дату раз в месяц — европейский опцион).</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В основе заключения опционной сделки лежит колебание валютного курса. Доход от опциона на покупку валюты можно определить используя формулу </w:t>
      </w:r>
      <w:r w:rsidRPr="002D0237">
        <w:rPr>
          <w:rFonts w:ascii="Arial" w:hAnsi="Arial" w:cs="Arial"/>
          <w:sz w:val="28"/>
          <w:szCs w:val="28"/>
          <w:lang w:val="en-US"/>
        </w:rPr>
        <w:t>Ic</w:t>
      </w:r>
      <w:r w:rsidRPr="002D0237">
        <w:rPr>
          <w:rFonts w:ascii="Arial" w:hAnsi="Arial" w:cs="Arial"/>
          <w:sz w:val="28"/>
          <w:szCs w:val="28"/>
        </w:rPr>
        <w:t>=(</w:t>
      </w:r>
      <w:r w:rsidRPr="002D0237">
        <w:rPr>
          <w:rFonts w:ascii="Arial" w:hAnsi="Arial" w:cs="Arial"/>
          <w:sz w:val="28"/>
          <w:szCs w:val="28"/>
          <w:lang w:val="en-US"/>
        </w:rPr>
        <w:t>Ps</w:t>
      </w:r>
      <w:r w:rsidRPr="002D0237">
        <w:rPr>
          <w:rFonts w:ascii="Arial" w:hAnsi="Arial" w:cs="Arial"/>
          <w:sz w:val="28"/>
          <w:szCs w:val="28"/>
        </w:rPr>
        <w:t>-</w:t>
      </w:r>
      <w:r w:rsidRPr="002D0237">
        <w:rPr>
          <w:rFonts w:ascii="Arial" w:hAnsi="Arial" w:cs="Arial"/>
          <w:sz w:val="28"/>
          <w:szCs w:val="28"/>
          <w:lang w:val="en-US"/>
        </w:rPr>
        <w:t>Po</w:t>
      </w:r>
      <w:r w:rsidRPr="002D0237">
        <w:rPr>
          <w:rFonts w:ascii="Arial" w:hAnsi="Arial" w:cs="Arial"/>
          <w:sz w:val="28"/>
          <w:szCs w:val="28"/>
        </w:rPr>
        <w:t>)</w:t>
      </w:r>
      <w:r w:rsidRPr="002D0237">
        <w:rPr>
          <w:rFonts w:ascii="Arial" w:hAnsi="Arial" w:cs="Arial"/>
          <w:sz w:val="28"/>
          <w:szCs w:val="28"/>
          <w:lang w:val="en-US"/>
        </w:rPr>
        <w:t>n</w:t>
      </w:r>
      <w:r w:rsidRPr="002D0237">
        <w:rPr>
          <w:rFonts w:ascii="Arial" w:hAnsi="Arial" w:cs="Arial"/>
          <w:sz w:val="28"/>
          <w:szCs w:val="28"/>
        </w:rPr>
        <w:t>-</w:t>
      </w:r>
      <w:r w:rsidRPr="002D0237">
        <w:rPr>
          <w:rFonts w:ascii="Arial" w:hAnsi="Arial" w:cs="Arial"/>
          <w:sz w:val="28"/>
          <w:szCs w:val="28"/>
          <w:lang w:val="en-US"/>
        </w:rPr>
        <w:t>Dn</w:t>
      </w:r>
      <w:r w:rsidRPr="002D0237">
        <w:rPr>
          <w:rFonts w:ascii="Arial" w:hAnsi="Arial" w:cs="Arial"/>
          <w:sz w:val="28"/>
          <w:szCs w:val="28"/>
        </w:rPr>
        <w:t xml:space="preserve"> где, </w:t>
      </w:r>
      <w:r w:rsidRPr="002D0237">
        <w:rPr>
          <w:rFonts w:ascii="Arial" w:hAnsi="Arial" w:cs="Arial"/>
          <w:sz w:val="28"/>
          <w:szCs w:val="28"/>
          <w:lang w:val="en-US"/>
        </w:rPr>
        <w:t>Ic</w:t>
      </w:r>
      <w:r w:rsidRPr="002D0237">
        <w:rPr>
          <w:rFonts w:ascii="Arial" w:hAnsi="Arial" w:cs="Arial"/>
          <w:sz w:val="28"/>
          <w:szCs w:val="28"/>
        </w:rPr>
        <w:t xml:space="preserve"> – доход от опциона на покупку, Ps – курс спот на момент исполнения контракта, </w:t>
      </w:r>
      <w:r w:rsidRPr="002D0237">
        <w:rPr>
          <w:rFonts w:ascii="Arial" w:hAnsi="Arial" w:cs="Arial"/>
          <w:sz w:val="28"/>
          <w:szCs w:val="28"/>
          <w:lang w:val="en-US"/>
        </w:rPr>
        <w:t>Po</w:t>
      </w:r>
      <w:r w:rsidRPr="002D0237">
        <w:rPr>
          <w:rFonts w:ascii="Arial" w:hAnsi="Arial" w:cs="Arial"/>
          <w:sz w:val="28"/>
          <w:szCs w:val="28"/>
        </w:rPr>
        <w:t xml:space="preserve"> – курс (страйк) опциона колл на покупку валюты, </w:t>
      </w:r>
      <w:r w:rsidRPr="002D0237">
        <w:rPr>
          <w:rFonts w:ascii="Arial" w:hAnsi="Arial" w:cs="Arial"/>
          <w:sz w:val="28"/>
          <w:szCs w:val="28"/>
          <w:lang w:val="en-US"/>
        </w:rPr>
        <w:t>n</w:t>
      </w:r>
      <w:r w:rsidRPr="002D0237">
        <w:rPr>
          <w:rFonts w:ascii="Arial" w:hAnsi="Arial" w:cs="Arial"/>
          <w:sz w:val="28"/>
          <w:szCs w:val="28"/>
        </w:rPr>
        <w:t xml:space="preserve"> – сумма сделки, </w:t>
      </w:r>
      <w:r w:rsidRPr="002D0237">
        <w:rPr>
          <w:rFonts w:ascii="Arial" w:hAnsi="Arial" w:cs="Arial"/>
          <w:sz w:val="28"/>
          <w:szCs w:val="28"/>
          <w:lang w:val="en-US"/>
        </w:rPr>
        <w:t>Dn</w:t>
      </w:r>
      <w:r w:rsidRPr="002D0237">
        <w:rPr>
          <w:rFonts w:ascii="Arial" w:hAnsi="Arial" w:cs="Arial"/>
          <w:sz w:val="28"/>
          <w:szCs w:val="28"/>
        </w:rPr>
        <w:t xml:space="preserve"> – премия опциона (комиссия). Доход от опциона на продажу валюты можно определить по </w:t>
      </w:r>
      <w:r w:rsidRPr="002D0237">
        <w:rPr>
          <w:rFonts w:ascii="Arial" w:hAnsi="Arial" w:cs="Arial"/>
          <w:sz w:val="28"/>
          <w:szCs w:val="28"/>
          <w:lang w:val="en-US"/>
        </w:rPr>
        <w:t>Ip</w:t>
      </w:r>
      <w:r w:rsidRPr="002D0237">
        <w:rPr>
          <w:rFonts w:ascii="Arial" w:hAnsi="Arial" w:cs="Arial"/>
          <w:sz w:val="28"/>
          <w:szCs w:val="28"/>
        </w:rPr>
        <w:t>=(</w:t>
      </w:r>
      <w:r w:rsidRPr="002D0237">
        <w:rPr>
          <w:rFonts w:ascii="Arial" w:hAnsi="Arial" w:cs="Arial"/>
          <w:sz w:val="28"/>
          <w:szCs w:val="28"/>
          <w:lang w:val="en-US"/>
        </w:rPr>
        <w:t>Po</w:t>
      </w:r>
      <w:r w:rsidRPr="002D0237">
        <w:rPr>
          <w:rFonts w:ascii="Arial" w:hAnsi="Arial" w:cs="Arial"/>
          <w:sz w:val="28"/>
          <w:szCs w:val="28"/>
        </w:rPr>
        <w:t>-</w:t>
      </w:r>
      <w:r w:rsidRPr="002D0237">
        <w:rPr>
          <w:rFonts w:ascii="Arial" w:hAnsi="Arial" w:cs="Arial"/>
          <w:sz w:val="28"/>
          <w:szCs w:val="28"/>
          <w:lang w:val="en-US"/>
        </w:rPr>
        <w:t>Ps</w:t>
      </w:r>
      <w:r w:rsidRPr="002D0237">
        <w:rPr>
          <w:rFonts w:ascii="Arial" w:hAnsi="Arial" w:cs="Arial"/>
          <w:sz w:val="28"/>
          <w:szCs w:val="28"/>
        </w:rPr>
        <w:t>)</w:t>
      </w:r>
      <w:r w:rsidRPr="002D0237">
        <w:rPr>
          <w:rFonts w:ascii="Arial" w:hAnsi="Arial" w:cs="Arial"/>
          <w:sz w:val="28"/>
          <w:szCs w:val="28"/>
          <w:lang w:val="en-US"/>
        </w:rPr>
        <w:t>n</w:t>
      </w:r>
      <w:r w:rsidRPr="002D0237">
        <w:rPr>
          <w:rFonts w:ascii="Arial" w:hAnsi="Arial" w:cs="Arial"/>
          <w:sz w:val="28"/>
          <w:szCs w:val="28"/>
        </w:rPr>
        <w:t>-</w:t>
      </w:r>
      <w:r w:rsidRPr="002D0237">
        <w:rPr>
          <w:rFonts w:ascii="Arial" w:hAnsi="Arial" w:cs="Arial"/>
          <w:sz w:val="28"/>
          <w:szCs w:val="28"/>
          <w:lang w:val="en-US"/>
        </w:rPr>
        <w:t>Dn</w:t>
      </w:r>
      <w:r w:rsidRPr="002D0237">
        <w:rPr>
          <w:rFonts w:ascii="Arial" w:hAnsi="Arial" w:cs="Arial"/>
          <w:sz w:val="28"/>
          <w:szCs w:val="28"/>
        </w:rPr>
        <w:t xml:space="preserve">, где </w:t>
      </w:r>
      <w:r w:rsidRPr="002D0237">
        <w:rPr>
          <w:rFonts w:ascii="Arial" w:hAnsi="Arial" w:cs="Arial"/>
          <w:sz w:val="28"/>
          <w:szCs w:val="28"/>
          <w:lang w:val="en-US"/>
        </w:rPr>
        <w:t>Ip</w:t>
      </w:r>
      <w:r w:rsidRPr="002D0237">
        <w:rPr>
          <w:rFonts w:ascii="Arial" w:hAnsi="Arial" w:cs="Arial"/>
          <w:sz w:val="28"/>
          <w:szCs w:val="28"/>
        </w:rPr>
        <w:t xml:space="preserve"> – доход от опциона на продажу, </w:t>
      </w:r>
      <w:r w:rsidRPr="002D0237">
        <w:rPr>
          <w:rFonts w:ascii="Arial" w:hAnsi="Arial" w:cs="Arial"/>
          <w:sz w:val="28"/>
          <w:szCs w:val="28"/>
          <w:lang w:val="en-US"/>
        </w:rPr>
        <w:t>Po</w:t>
      </w:r>
      <w:r w:rsidRPr="002D0237">
        <w:rPr>
          <w:rFonts w:ascii="Arial" w:hAnsi="Arial" w:cs="Arial"/>
          <w:sz w:val="28"/>
          <w:szCs w:val="28"/>
        </w:rPr>
        <w:t xml:space="preserve"> – курс опциона пут на продажу валюты,  </w:t>
      </w:r>
      <w:r w:rsidRPr="002D0237">
        <w:rPr>
          <w:rFonts w:ascii="Arial" w:hAnsi="Arial" w:cs="Arial"/>
          <w:sz w:val="28"/>
          <w:szCs w:val="28"/>
          <w:lang w:val="en-US"/>
        </w:rPr>
        <w:t>Ps</w:t>
      </w:r>
      <w:r w:rsidRPr="002D0237">
        <w:rPr>
          <w:rFonts w:ascii="Arial" w:hAnsi="Arial" w:cs="Arial"/>
          <w:sz w:val="28"/>
          <w:szCs w:val="28"/>
        </w:rPr>
        <w:t xml:space="preserve"> – курс спот на момент исполнения контракта, </w:t>
      </w:r>
      <w:r w:rsidRPr="002D0237">
        <w:rPr>
          <w:rFonts w:ascii="Arial" w:hAnsi="Arial" w:cs="Arial"/>
          <w:sz w:val="28"/>
          <w:szCs w:val="28"/>
          <w:lang w:val="en-US"/>
        </w:rPr>
        <w:t>n</w:t>
      </w:r>
      <w:r w:rsidRPr="002D0237">
        <w:rPr>
          <w:rFonts w:ascii="Arial" w:hAnsi="Arial" w:cs="Arial"/>
          <w:sz w:val="28"/>
          <w:szCs w:val="28"/>
        </w:rPr>
        <w:t xml:space="preserve"> – сумма сделки, </w:t>
      </w:r>
      <w:r w:rsidRPr="002D0237">
        <w:rPr>
          <w:rFonts w:ascii="Arial" w:hAnsi="Arial" w:cs="Arial"/>
          <w:sz w:val="28"/>
          <w:szCs w:val="28"/>
          <w:lang w:val="en-US"/>
        </w:rPr>
        <w:t>Dn</w:t>
      </w:r>
      <w:r w:rsidRPr="002D0237">
        <w:rPr>
          <w:rFonts w:ascii="Arial" w:hAnsi="Arial" w:cs="Arial"/>
          <w:sz w:val="28"/>
          <w:szCs w:val="28"/>
        </w:rPr>
        <w:t xml:space="preserve"> – премия опциона.</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r w:rsidRPr="002D0237">
        <w:rPr>
          <w:rFonts w:ascii="Arial" w:hAnsi="Arial" w:cs="Arial"/>
          <w:sz w:val="28"/>
          <w:szCs w:val="28"/>
        </w:rPr>
        <w:t>Практикуется также индексный опцион, дающий право купить или продать определенную часть индекса — показателя курса валюты или ценных бумаг — по заранее установленной цене и на определенную дату. Индексы определяются обычно к базисному периоду его введения. Опционами торгуют не только на межбанковском рынке, но и на биржах — фондовых и товарных.</w:t>
      </w: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37</w:t>
      </w:r>
      <w:r w:rsidR="000D5694">
        <w:rPr>
          <w:rFonts w:ascii="Arial" w:hAnsi="Arial" w:cs="Arial"/>
          <w:b/>
          <w:sz w:val="28"/>
          <w:szCs w:val="28"/>
        </w:rPr>
        <w:t>.</w:t>
      </w:r>
      <w:r w:rsidRPr="002D0237">
        <w:rPr>
          <w:rFonts w:ascii="Arial" w:hAnsi="Arial" w:cs="Arial"/>
          <w:b/>
          <w:sz w:val="28"/>
          <w:szCs w:val="28"/>
        </w:rPr>
        <w:t xml:space="preserve"> Операции своп</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Разновидностью валютной сделки, сочетающей наличную и срочную операции, являются сделки «своп». «Своп» (англ. swap — мена, обмен) — это валютная операция, сочетающая куплю- продажу двух валют на условиях немедленной поставки с одновременной контрсделкой на определенный срок с теми же валютами. При этом договариваются о встречных платежах два партнера (банки, корпорации и др.). По операциям «своп» наличная сделка осуществляется по курсу «слот», который в контрсделке (срочной) корректируется с учетом премии или дисконта в зависимости от динамики валютного курса. Разница между курсами слот и форвард называется своп-ставкой. Она зависит от разницы процентных ставок за определённый период, так как валютный своп по существу означает взаимное кредитование партнерами в соответствующих валютах. Операции «своп» используются для:</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коммерческих сделок: банк продает иностранную валюту на условиях немедленной поставки и одновременно покупает ее по курсу форвард на условиях срочной сделки. При этом возможен убыток на курсовой разнице, но в итоге банк получает прибыль, предоставляя в кредит приобретённую валюту.</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приобретения банком необходимой валюты без валютного риска (на основе покрытия контрсделкой) для обеспечения международных расчетов, диверсификации валютных активов;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взаимного межбанковского кредитования в двух валютах.</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Коммерческие банки заключают два вида краткосрочной своп-сделки: </w:t>
      </w:r>
      <w:r w:rsidRPr="002D0237">
        <w:rPr>
          <w:rFonts w:ascii="Arial" w:hAnsi="Arial" w:cs="Arial"/>
          <w:sz w:val="28"/>
          <w:szCs w:val="28"/>
          <w:lang w:val="en-US"/>
        </w:rPr>
        <w:t>spot</w:t>
      </w:r>
      <w:r w:rsidRPr="002D0237">
        <w:rPr>
          <w:rFonts w:ascii="Arial" w:hAnsi="Arial" w:cs="Arial"/>
          <w:sz w:val="28"/>
          <w:szCs w:val="28"/>
        </w:rPr>
        <w:t>/</w:t>
      </w:r>
      <w:r w:rsidRPr="002D0237">
        <w:rPr>
          <w:rFonts w:ascii="Arial" w:hAnsi="Arial" w:cs="Arial"/>
          <w:sz w:val="28"/>
          <w:szCs w:val="28"/>
          <w:lang w:val="en-US"/>
        </w:rPr>
        <w:t>next</w:t>
      </w:r>
      <w:r w:rsidRPr="002D0237">
        <w:rPr>
          <w:rFonts w:ascii="Arial" w:hAnsi="Arial" w:cs="Arial"/>
          <w:sz w:val="28"/>
          <w:szCs w:val="28"/>
        </w:rPr>
        <w:t xml:space="preserve"> (в день заключения сделки спот дата валютирования пролонгируется до следующего рабочего дня) и </w:t>
      </w:r>
      <w:r w:rsidRPr="002D0237">
        <w:rPr>
          <w:rFonts w:ascii="Arial" w:hAnsi="Arial" w:cs="Arial"/>
          <w:sz w:val="28"/>
          <w:szCs w:val="28"/>
          <w:lang w:val="en-US"/>
        </w:rPr>
        <w:t>tom</w:t>
      </w:r>
      <w:r w:rsidRPr="002D0237">
        <w:rPr>
          <w:rFonts w:ascii="Arial" w:hAnsi="Arial" w:cs="Arial"/>
          <w:sz w:val="28"/>
          <w:szCs w:val="28"/>
        </w:rPr>
        <w:t>/</w:t>
      </w:r>
      <w:r w:rsidRPr="002D0237">
        <w:rPr>
          <w:rFonts w:ascii="Arial" w:hAnsi="Arial" w:cs="Arial"/>
          <w:sz w:val="28"/>
          <w:szCs w:val="28"/>
          <w:lang w:val="en-US"/>
        </w:rPr>
        <w:t>next</w:t>
      </w:r>
      <w:r w:rsidRPr="002D0237">
        <w:rPr>
          <w:rFonts w:ascii="Arial" w:hAnsi="Arial" w:cs="Arial"/>
          <w:sz w:val="28"/>
          <w:szCs w:val="28"/>
        </w:rPr>
        <w:t xml:space="preserve"> (если операция пролонгируется до следующего рабочего дня после дня ее заключения). При этом первоначальный курс меняется в зависимости от доходов и расходов по сделке своп. При необходимости банки используют своп-сделки для пролонгации срока платежей по валютному форварду.</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Аналогичная сделка своп, при которой первая сделка осуществляется с датой валютирования </w:t>
      </w:r>
      <w:r w:rsidRPr="002D0237">
        <w:rPr>
          <w:rFonts w:ascii="Arial" w:hAnsi="Arial" w:cs="Arial"/>
          <w:sz w:val="28"/>
          <w:szCs w:val="28"/>
          <w:lang w:val="en-US"/>
        </w:rPr>
        <w:t>today</w:t>
      </w:r>
      <w:r w:rsidRPr="002D0237">
        <w:rPr>
          <w:rFonts w:ascii="Arial" w:hAnsi="Arial" w:cs="Arial"/>
          <w:sz w:val="28"/>
          <w:szCs w:val="28"/>
        </w:rPr>
        <w:t xml:space="preserve">, а обратная сделка – по курсу </w:t>
      </w:r>
      <w:r w:rsidRPr="002D0237">
        <w:rPr>
          <w:rFonts w:ascii="Arial" w:hAnsi="Arial" w:cs="Arial"/>
          <w:sz w:val="28"/>
          <w:szCs w:val="28"/>
          <w:lang w:val="en-US"/>
        </w:rPr>
        <w:t>tomorrow</w:t>
      </w:r>
      <w:r w:rsidRPr="002D0237">
        <w:rPr>
          <w:rFonts w:ascii="Arial" w:hAnsi="Arial" w:cs="Arial"/>
          <w:sz w:val="28"/>
          <w:szCs w:val="28"/>
        </w:rPr>
        <w:t>, получила название «тод-некст своп».</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Операции своп совершаются не только с валютами, но и с процентами. Сущность процентного свопа заключается в том, что одна сторона обязуется выплатить другой проценты по ставке ЛИБОР в обмен на получение процентов по фиксированной ставке в целях извлечения прибыли в виде разницы между ними. При этом сторона, имеющая среднесрочные вложения по фиксированному проценту, но краткосрочные пассивы или пассивы по плавающей ставке процента, страхует свой процентный риск (процентную позицию), «покупая» долгосрочную фиксированную ставку, или наоборот.</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38</w:t>
      </w:r>
      <w:r w:rsidR="000D5694">
        <w:rPr>
          <w:rFonts w:ascii="Arial" w:hAnsi="Arial" w:cs="Arial"/>
          <w:b/>
          <w:sz w:val="28"/>
          <w:szCs w:val="28"/>
        </w:rPr>
        <w:t>.</w:t>
      </w:r>
      <w:r w:rsidRPr="002D0237">
        <w:rPr>
          <w:rFonts w:ascii="Arial" w:hAnsi="Arial" w:cs="Arial"/>
          <w:b/>
          <w:sz w:val="28"/>
          <w:szCs w:val="28"/>
        </w:rPr>
        <w:t xml:space="preserve"> Структура, участники и основные инструменты международного фондового рынка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Мировой фондовый рынок – рынок, где осуществляются эмиссия и купля-продажа ценных бумаг. Структура МФР:</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1) Мировой рынок ценных бумаг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2) Первичный рынок – эмиссия ценных бумаг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3) Вторичный рынок – купля-продажа ранее выпущенных ценных бумаг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4) Рынок производных финансовых инструментов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5) Еврофинансовый рынок (еврооблигации, евроакции, евровекселя, производные финансовые инструменты)</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bCs/>
          <w:sz w:val="28"/>
          <w:szCs w:val="28"/>
        </w:rPr>
        <w:t xml:space="preserve">Инвесторами </w:t>
      </w:r>
      <w:r w:rsidRPr="002D0237">
        <w:rPr>
          <w:rFonts w:ascii="Arial" w:hAnsi="Arial" w:cs="Arial"/>
          <w:sz w:val="28"/>
          <w:szCs w:val="28"/>
        </w:rPr>
        <w:t xml:space="preserve">на мировом фондовом рынке могут выступать как профессиональные участники рынка ценных бумаг, так и отдельные юридические и физические лица, для которых покупка ценных бумаг является разовой акцией. </w:t>
      </w:r>
      <w:r w:rsidRPr="002D0237">
        <w:rPr>
          <w:rFonts w:ascii="Arial" w:hAnsi="Arial" w:cs="Arial"/>
          <w:bCs/>
          <w:sz w:val="28"/>
          <w:szCs w:val="28"/>
        </w:rPr>
        <w:t>Эмитентами</w:t>
      </w:r>
      <w:r w:rsidRPr="002D0237">
        <w:rPr>
          <w:rFonts w:ascii="Arial" w:hAnsi="Arial" w:cs="Arial"/>
          <w:sz w:val="28"/>
          <w:szCs w:val="28"/>
        </w:rPr>
        <w:t xml:space="preserve"> могут быть государственные структуры в лице центральных и местных органов власти, коммерческие структуры в виде финансовых и нефинансовых институтов, а также различные международные организации.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bCs/>
          <w:sz w:val="28"/>
          <w:szCs w:val="28"/>
        </w:rPr>
        <w:t>На рынке долевых ценных бумаг эмитентами являются различные финансовые и нефинансовые организации, организационно-правовая форма которых позволяет им выпускать в свободное обращение долевые ценные бумаги</w:t>
      </w:r>
      <w:r w:rsidRPr="002D0237">
        <w:rPr>
          <w:rFonts w:ascii="Arial" w:hAnsi="Arial" w:cs="Arial"/>
          <w:sz w:val="28"/>
          <w:szCs w:val="28"/>
        </w:rPr>
        <w:t xml:space="preserve">. </w:t>
      </w:r>
      <w:r w:rsidRPr="002D0237">
        <w:rPr>
          <w:rFonts w:ascii="Arial" w:hAnsi="Arial" w:cs="Arial"/>
          <w:bCs/>
          <w:sz w:val="28"/>
          <w:szCs w:val="28"/>
        </w:rPr>
        <w:t>На рынке долговых ценных бумаг эмитентами могут быть финансовые и нефинансовые организации, местные правительства, центральные правительства, международные организации.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Различают базовые и производные финансовые инструменты, цена которых производна от цены базового актива (финансового обязательства) на котором они основаны. Базовые инструменты различны, среди них облигации, акции, банковские акцепты, депозитарные сертификаты. Базовыми инструментами операций фондового рынка являются ценные бумаги – депозитарные расписки (американские и глобальные).Сертификаты ценных бумаг – зарегистрированные в государственном органе документы, дающие владельцу права документарных ценных бумаг.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Депозитарные расписки – документ, выданный кастодиальным депозитарием, который обычно совмещает хранение ценных бумаг с банковской, брокерской, дилерской деятельностью на фондовом рынке.</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К производным финансовым инструментам относят срочные контракты (форвард, фьючерс, опцион): аннулируемый форвардный валютный контракт, предельный форвардный валютный контракт, своп с нулевым купоном, обмениваемым на купон с плавающей процентной ставкой, своп «цирк», свопцион, цилиндрический опцион, двойной спред, перпендикулярный спред, календарный спред. Также используются гибридные финансовые инструменты на базе комбинаций обычных ценных бумаг со срочными контрактами.</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39</w:t>
      </w:r>
      <w:r w:rsidR="000D5694">
        <w:rPr>
          <w:rFonts w:ascii="Arial" w:hAnsi="Arial" w:cs="Arial"/>
          <w:b/>
          <w:sz w:val="28"/>
          <w:szCs w:val="28"/>
        </w:rPr>
        <w:t>.</w:t>
      </w:r>
      <w:r w:rsidRPr="002D0237">
        <w:rPr>
          <w:rFonts w:ascii="Arial" w:hAnsi="Arial" w:cs="Arial"/>
          <w:b/>
          <w:sz w:val="28"/>
          <w:szCs w:val="28"/>
        </w:rPr>
        <w:t xml:space="preserve"> Кризисы на международном финансовом рынке: причины и последствия</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Кризис на МФР – нарушение функционирования его взаимосвязанных сегментов, вызванное циклическим кризисом, системными рисками деятельности МФР, проявляющимися в резком падении его показателей, что вызывает негативные экономические и социальные последствия в мировой и национальных экономиках.</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Причины кризиса: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Кризис на МФР выявил прямую и обратную связь его деятельности с процессом воспроизводства. Прямая связь заключается в том, что непосредственной причиной кризиса на МФР стал циклический экономический кризис, проявившийся в перепроизводстве товаров и услуг и эконмическом спаде. Глубинной причиной современного кризиса стала модификация процесса воспроизводства по линии опережающего развития фиктивного капитала в отрыве от реального капитала и финансового рынка, от реального сектора экономики. Факторами кризиса на мировом финансовом рынке стали снижения нормы валовых сбережений и рост внешней долговой зависимости стран. Проблема внешнего долга приобрела глобальный характер и особенно остро проявилась в ряде стран еврозоны. Многофакторность рассматриваемого кризиса проявляется в сочетании воспроизводственных и специальных причин, обусловленных особенностями МФР в условиях глобализации мировой экономики. В их числе небывалый рост масштаба его деятельности, диверсификация финансовых инструментов, бурное развитие производных финансовых инструментов, виртуализация международных финансовых операций и расширение объема спекулятивных сделок в отрыве от реального процесса общественного производства. Либерализация операций на мировом финансовом рынке при отсутствии эффективного надзора, контроля и регулирования его деятельности также стала важной причиной кризиса на этом рынке. Современный кризис на мировом финансовом рынке проявился в следующих формах:</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1) цепная реакция падения показателей деятельности рынка, капитализации, курса ценных бумаг, усиление нестабильности курсов валют;</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2) значительное обесценение финансовых активов участников рынка в результате резкого падения курса ценных бумаг;</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3) снижение ликвидности, платежеспособности, кредитоспособности, и производственных финансовых инструментов;</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4) затруднение доступа должников к новым заимствованиям на МФР для рефинансирования задолженности;</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массовые банкротства участников финансового рынка;</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5) одновременной развитие специфических форм кризиса – фондового, кредитного и банковского, валютного, страхового, долгового, нарушение функционирования и взаимосвязи сегментов и институциональных участников МФР;</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6) падение доверия инвесторов к МФР.</w:t>
      </w:r>
    </w:p>
    <w:p w:rsidR="004D67BC" w:rsidRPr="002D0237" w:rsidRDefault="004D67BC" w:rsidP="00FB2F28">
      <w:pPr>
        <w:spacing w:after="0" w:line="240" w:lineRule="auto"/>
        <w:ind w:firstLine="142"/>
        <w:jc w:val="both"/>
        <w:rPr>
          <w:rFonts w:ascii="Arial" w:hAnsi="Arial" w:cs="Arial"/>
          <w:sz w:val="28"/>
          <w:szCs w:val="28"/>
        </w:rPr>
        <w:sectPr w:rsidR="004D67BC" w:rsidRPr="002D0237" w:rsidSect="002D0237">
          <w:pgSz w:w="11900" w:h="16840"/>
          <w:pgMar w:top="340" w:right="340" w:bottom="340" w:left="340" w:header="708" w:footer="708" w:gutter="0"/>
          <w:pgBorders w:offsetFrom="page">
            <w:top w:val="single" w:sz="4" w:space="6" w:color="auto"/>
            <w:left w:val="single" w:sz="4" w:space="6" w:color="auto"/>
            <w:bottom w:val="single" w:sz="4" w:space="6" w:color="auto"/>
            <w:right w:val="single" w:sz="4" w:space="6" w:color="auto"/>
          </w:pgBorders>
          <w:cols w:space="708"/>
          <w:docGrid w:linePitch="360"/>
        </w:sectPr>
      </w:pPr>
    </w:p>
    <w:p w:rsidR="004D67BC" w:rsidRPr="002D0237" w:rsidRDefault="004D67BC" w:rsidP="00FB2F28">
      <w:pPr>
        <w:spacing w:after="0" w:line="240" w:lineRule="auto"/>
        <w:ind w:firstLine="142"/>
        <w:jc w:val="both"/>
        <w:rPr>
          <w:rFonts w:ascii="Arial" w:hAnsi="Arial" w:cs="Arial"/>
          <w:b/>
          <w:sz w:val="28"/>
          <w:szCs w:val="28"/>
        </w:rPr>
      </w:pPr>
      <w:r w:rsidRPr="002D0237">
        <w:rPr>
          <w:rFonts w:ascii="Arial" w:hAnsi="Arial" w:cs="Arial"/>
          <w:b/>
          <w:sz w:val="28"/>
          <w:szCs w:val="28"/>
        </w:rPr>
        <w:lastRenderedPageBreak/>
        <w:t>40</w:t>
      </w:r>
      <w:r w:rsidR="000D5694">
        <w:rPr>
          <w:rFonts w:ascii="Arial" w:hAnsi="Arial" w:cs="Arial"/>
          <w:b/>
          <w:sz w:val="28"/>
          <w:szCs w:val="28"/>
        </w:rPr>
        <w:t>.</w:t>
      </w:r>
      <w:r w:rsidRPr="002D0237">
        <w:rPr>
          <w:rFonts w:ascii="Arial" w:hAnsi="Arial" w:cs="Arial"/>
          <w:b/>
          <w:sz w:val="28"/>
          <w:szCs w:val="28"/>
        </w:rPr>
        <w:t xml:space="preserve"> Способы размещения акций на международном фондовом рынке (</w:t>
      </w:r>
      <w:r w:rsidRPr="002D0237">
        <w:rPr>
          <w:rFonts w:ascii="Arial" w:hAnsi="Arial" w:cs="Arial"/>
          <w:b/>
          <w:sz w:val="28"/>
          <w:szCs w:val="28"/>
          <w:lang w:val="en-US"/>
        </w:rPr>
        <w:t>IPO</w:t>
      </w:r>
      <w:r w:rsidRPr="002D0237">
        <w:rPr>
          <w:rFonts w:ascii="Arial" w:hAnsi="Arial" w:cs="Arial"/>
          <w:b/>
          <w:sz w:val="28"/>
          <w:szCs w:val="28"/>
        </w:rPr>
        <w:t xml:space="preserve">, </w:t>
      </w:r>
      <w:r w:rsidRPr="002D0237">
        <w:rPr>
          <w:rFonts w:ascii="Arial" w:hAnsi="Arial" w:cs="Arial"/>
          <w:b/>
          <w:sz w:val="28"/>
          <w:szCs w:val="28"/>
          <w:lang w:val="en-US"/>
        </w:rPr>
        <w:t>ADR</w:t>
      </w:r>
      <w:r w:rsidRPr="002D0237">
        <w:rPr>
          <w:rFonts w:ascii="Arial" w:hAnsi="Arial" w:cs="Arial"/>
          <w:b/>
          <w:sz w:val="28"/>
          <w:szCs w:val="28"/>
        </w:rPr>
        <w:t xml:space="preserve">, </w:t>
      </w:r>
      <w:r w:rsidRPr="002D0237">
        <w:rPr>
          <w:rFonts w:ascii="Arial" w:hAnsi="Arial" w:cs="Arial"/>
          <w:b/>
          <w:sz w:val="28"/>
          <w:szCs w:val="28"/>
          <w:lang w:val="en-US"/>
        </w:rPr>
        <w:t>GDR</w:t>
      </w:r>
      <w:r w:rsidRPr="002D0237">
        <w:rPr>
          <w:rFonts w:ascii="Arial" w:hAnsi="Arial" w:cs="Arial"/>
          <w:b/>
          <w:sz w:val="28"/>
          <w:szCs w:val="28"/>
        </w:rPr>
        <w:t>)</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В США купля-продажа иностранных ценных бумаг разрешена лишь в формате американских депозитарных расписок (</w:t>
      </w:r>
      <w:r w:rsidRPr="002D0237">
        <w:rPr>
          <w:rFonts w:ascii="Arial" w:hAnsi="Arial" w:cs="Arial"/>
          <w:sz w:val="28"/>
          <w:szCs w:val="28"/>
          <w:lang w:val="en-US"/>
        </w:rPr>
        <w:t>ADR</w:t>
      </w:r>
      <w:r w:rsidRPr="002D0237">
        <w:rPr>
          <w:rFonts w:ascii="Arial" w:hAnsi="Arial" w:cs="Arial"/>
          <w:sz w:val="28"/>
          <w:szCs w:val="28"/>
        </w:rPr>
        <w:t xml:space="preserve">), которые относительно свободно приобретаются национальными инвесторами, так как их эмитенты находятся под строгим государственным надзором.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На мировом фондовом рынке для организации торгов иностранных ценных бумаг используются также глобальные депозитарные расписки (</w:t>
      </w:r>
      <w:r w:rsidRPr="002D0237">
        <w:rPr>
          <w:rFonts w:ascii="Arial" w:hAnsi="Arial" w:cs="Arial"/>
          <w:sz w:val="28"/>
          <w:szCs w:val="28"/>
          <w:lang w:val="en-US"/>
        </w:rPr>
        <w:t>GDR</w:t>
      </w:r>
      <w:r w:rsidRPr="002D0237">
        <w:rPr>
          <w:rFonts w:ascii="Arial" w:hAnsi="Arial" w:cs="Arial"/>
          <w:sz w:val="28"/>
          <w:szCs w:val="28"/>
        </w:rPr>
        <w:t>).</w:t>
      </w:r>
    </w:p>
    <w:p w:rsidR="004D67BC" w:rsidRPr="002D0237" w:rsidRDefault="004D67BC" w:rsidP="00FB2F28">
      <w:pPr>
        <w:spacing w:after="0" w:line="240" w:lineRule="auto"/>
        <w:ind w:firstLine="142"/>
        <w:jc w:val="both"/>
        <w:rPr>
          <w:rFonts w:ascii="Arial" w:hAnsi="Arial" w:cs="Arial"/>
          <w:bCs/>
          <w:sz w:val="28"/>
          <w:szCs w:val="28"/>
        </w:rPr>
      </w:pPr>
      <w:r w:rsidRPr="002D0237">
        <w:rPr>
          <w:rFonts w:ascii="Arial" w:hAnsi="Arial" w:cs="Arial"/>
          <w:sz w:val="28"/>
          <w:szCs w:val="28"/>
        </w:rPr>
        <w:t xml:space="preserve">IPO - </w:t>
      </w:r>
      <w:r w:rsidRPr="002D0237">
        <w:rPr>
          <w:rFonts w:ascii="Arial" w:hAnsi="Arial" w:cs="Arial"/>
          <w:bCs/>
          <w:sz w:val="28"/>
          <w:szCs w:val="28"/>
        </w:rPr>
        <w:t>первичное размещение новой эмиссии акций среди широкого круга инвесторов, которое сопровождается листингом на фондовой бирже</w:t>
      </w:r>
      <w:r w:rsidRPr="002D0237">
        <w:rPr>
          <w:rFonts w:ascii="Arial" w:hAnsi="Arial" w:cs="Arial"/>
          <w:sz w:val="28"/>
          <w:szCs w:val="28"/>
        </w:rPr>
        <w:t xml:space="preserve">. </w:t>
      </w:r>
      <w:r w:rsidRPr="002D0237">
        <w:rPr>
          <w:rFonts w:ascii="Arial" w:hAnsi="Arial" w:cs="Arial"/>
          <w:bCs/>
          <w:sz w:val="28"/>
          <w:szCs w:val="28"/>
          <w:lang w:val="en-US"/>
        </w:rPr>
        <w:t>IPO</w:t>
      </w:r>
      <w:r w:rsidRPr="002D0237">
        <w:rPr>
          <w:rFonts w:ascii="Arial" w:hAnsi="Arial" w:cs="Arial"/>
          <w:bCs/>
          <w:sz w:val="28"/>
          <w:szCs w:val="28"/>
        </w:rPr>
        <w:t xml:space="preserve"> могут проводиться как на национальных, так и на международном фондовом рынке</w:t>
      </w:r>
      <w:r w:rsidRPr="002D0237">
        <w:rPr>
          <w:rFonts w:ascii="Arial" w:hAnsi="Arial" w:cs="Arial"/>
          <w:sz w:val="28"/>
          <w:szCs w:val="28"/>
        </w:rPr>
        <w:t xml:space="preserve">. </w:t>
      </w:r>
      <w:r w:rsidRPr="002D0237">
        <w:rPr>
          <w:rFonts w:ascii="Arial" w:hAnsi="Arial" w:cs="Arial"/>
          <w:bCs/>
          <w:sz w:val="28"/>
          <w:szCs w:val="28"/>
        </w:rPr>
        <w:t xml:space="preserve">Современный международный рынок </w:t>
      </w:r>
      <w:r w:rsidRPr="002D0237">
        <w:rPr>
          <w:rFonts w:ascii="Arial" w:hAnsi="Arial" w:cs="Arial"/>
          <w:bCs/>
          <w:sz w:val="28"/>
          <w:szCs w:val="28"/>
          <w:lang w:val="en-US"/>
        </w:rPr>
        <w:t>IPO</w:t>
      </w:r>
      <w:r w:rsidRPr="002D0237">
        <w:rPr>
          <w:rFonts w:ascii="Arial" w:hAnsi="Arial" w:cs="Arial"/>
          <w:bCs/>
          <w:sz w:val="28"/>
          <w:szCs w:val="28"/>
        </w:rPr>
        <w:t xml:space="preserve"> начал формироваться с 70-х годов </w:t>
      </w:r>
      <w:r w:rsidRPr="002D0237">
        <w:rPr>
          <w:rFonts w:ascii="Arial" w:hAnsi="Arial" w:cs="Arial"/>
          <w:bCs/>
          <w:sz w:val="28"/>
          <w:szCs w:val="28"/>
          <w:lang w:val="en-US"/>
        </w:rPr>
        <w:t>XX</w:t>
      </w:r>
      <w:r w:rsidRPr="002D0237">
        <w:rPr>
          <w:rFonts w:ascii="Arial" w:hAnsi="Arial" w:cs="Arial"/>
          <w:bCs/>
          <w:sz w:val="28"/>
          <w:szCs w:val="28"/>
        </w:rPr>
        <w:t xml:space="preserve"> в. в результате либерализации международного финансового рынка</w:t>
      </w:r>
      <w:r w:rsidRPr="002D0237">
        <w:rPr>
          <w:rFonts w:ascii="Arial" w:hAnsi="Arial" w:cs="Arial"/>
          <w:sz w:val="28"/>
          <w:szCs w:val="28"/>
        </w:rPr>
        <w:t xml:space="preserve">. </w:t>
      </w:r>
      <w:r w:rsidRPr="002D0237">
        <w:rPr>
          <w:rFonts w:ascii="Arial" w:hAnsi="Arial" w:cs="Arial"/>
          <w:bCs/>
          <w:sz w:val="28"/>
          <w:szCs w:val="28"/>
        </w:rPr>
        <w:t xml:space="preserve">Отличительной особенностью рынка </w:t>
      </w:r>
      <w:r w:rsidRPr="002D0237">
        <w:rPr>
          <w:rFonts w:ascii="Arial" w:hAnsi="Arial" w:cs="Arial"/>
          <w:bCs/>
          <w:sz w:val="28"/>
          <w:szCs w:val="28"/>
          <w:lang w:val="en-US"/>
        </w:rPr>
        <w:t>IPO</w:t>
      </w:r>
      <w:r w:rsidRPr="002D0237">
        <w:rPr>
          <w:rFonts w:ascii="Arial" w:hAnsi="Arial" w:cs="Arial"/>
          <w:bCs/>
          <w:sz w:val="28"/>
          <w:szCs w:val="28"/>
        </w:rPr>
        <w:t xml:space="preserve"> является его высокая степень зависимости от текущей финансово-экономической конъюнктуры.</w:t>
      </w:r>
    </w:p>
    <w:p w:rsidR="004D67BC" w:rsidRPr="002D0237" w:rsidRDefault="004D67BC" w:rsidP="00FB2F28">
      <w:pPr>
        <w:spacing w:after="0" w:line="240" w:lineRule="auto"/>
        <w:ind w:firstLine="142"/>
        <w:jc w:val="both"/>
        <w:rPr>
          <w:rFonts w:ascii="Arial" w:hAnsi="Arial" w:cs="Arial"/>
          <w:bCs/>
          <w:sz w:val="28"/>
          <w:szCs w:val="28"/>
        </w:rPr>
      </w:pPr>
      <w:r w:rsidRPr="002D0237">
        <w:rPr>
          <w:rFonts w:ascii="Arial" w:hAnsi="Arial" w:cs="Arial"/>
          <w:bCs/>
          <w:sz w:val="28"/>
          <w:szCs w:val="28"/>
        </w:rPr>
        <w:t>Депозитарная расписка – это сертификат, удостоверяющий право ее владельца на определенное количество акций</w:t>
      </w:r>
      <w:r w:rsidRPr="002D0237">
        <w:rPr>
          <w:rFonts w:ascii="Arial" w:hAnsi="Arial" w:cs="Arial"/>
          <w:sz w:val="28"/>
          <w:szCs w:val="28"/>
        </w:rPr>
        <w:t>.</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bCs/>
          <w:sz w:val="28"/>
          <w:szCs w:val="28"/>
        </w:rPr>
        <w:t>Еврооблигации – это долговые обязательства, размещаемые на международном фондовом рынке среди, как правило, широкого круга инвесторов из разных стран</w:t>
      </w:r>
      <w:r w:rsidRPr="002D0237">
        <w:rPr>
          <w:rFonts w:ascii="Arial" w:hAnsi="Arial" w:cs="Arial"/>
          <w:sz w:val="28"/>
          <w:szCs w:val="28"/>
        </w:rPr>
        <w:t xml:space="preserve">. </w:t>
      </w:r>
      <w:r w:rsidRPr="002D0237">
        <w:rPr>
          <w:rFonts w:ascii="Arial" w:hAnsi="Arial" w:cs="Arial"/>
          <w:bCs/>
          <w:sz w:val="28"/>
          <w:szCs w:val="28"/>
        </w:rPr>
        <w:t>Могут быть номинированы в любой валюте, но размещаются только за пределами страны регистрации эмитента</w:t>
      </w:r>
      <w:r w:rsidRPr="002D0237">
        <w:rPr>
          <w:rFonts w:ascii="Arial" w:hAnsi="Arial" w:cs="Arial"/>
          <w:sz w:val="28"/>
          <w:szCs w:val="28"/>
        </w:rPr>
        <w:t xml:space="preserve">. </w:t>
      </w:r>
      <w:r w:rsidRPr="002D0237">
        <w:rPr>
          <w:rFonts w:ascii="Arial" w:hAnsi="Arial" w:cs="Arial"/>
          <w:bCs/>
          <w:sz w:val="28"/>
          <w:szCs w:val="28"/>
        </w:rPr>
        <w:t>Размещаются синдикатом инвестиционных банков, в котором по крайней мере два участника относятся к разным юрисдикциям</w:t>
      </w:r>
      <w:r w:rsidRPr="002D0237">
        <w:rPr>
          <w:rFonts w:ascii="Arial" w:hAnsi="Arial" w:cs="Arial"/>
          <w:sz w:val="28"/>
          <w:szCs w:val="28"/>
        </w:rPr>
        <w:t>.</w:t>
      </w:r>
    </w:p>
    <w:p w:rsidR="004D67BC" w:rsidRPr="002D0237" w:rsidRDefault="004D67BC" w:rsidP="00FB2F28">
      <w:pPr>
        <w:spacing w:after="0" w:line="240" w:lineRule="auto"/>
        <w:ind w:firstLine="142"/>
        <w:jc w:val="both"/>
        <w:rPr>
          <w:rFonts w:ascii="Arial" w:hAnsi="Arial" w:cs="Arial"/>
          <w:sz w:val="28"/>
          <w:szCs w:val="28"/>
        </w:rPr>
      </w:pPr>
    </w:p>
    <w:p w:rsidR="004D67BC" w:rsidRPr="002D0237" w:rsidRDefault="004D67BC" w:rsidP="00FB2F28">
      <w:pPr>
        <w:spacing w:after="0" w:line="240" w:lineRule="auto"/>
        <w:ind w:firstLine="142"/>
        <w:jc w:val="both"/>
        <w:rPr>
          <w:rFonts w:ascii="Arial" w:hAnsi="Arial" w:cs="Arial"/>
          <w:sz w:val="28"/>
          <w:szCs w:val="28"/>
        </w:rPr>
      </w:pPr>
    </w:p>
    <w:p w:rsidR="004D67BC" w:rsidRPr="002D0237" w:rsidRDefault="004D67BC" w:rsidP="00FB2F28">
      <w:pPr>
        <w:spacing w:after="0" w:line="240" w:lineRule="auto"/>
        <w:ind w:firstLine="142"/>
        <w:jc w:val="both"/>
        <w:rPr>
          <w:rFonts w:ascii="Arial" w:hAnsi="Arial" w:cs="Arial"/>
          <w:sz w:val="28"/>
          <w:szCs w:val="28"/>
        </w:rPr>
      </w:pPr>
    </w:p>
    <w:p w:rsidR="004D67BC" w:rsidRPr="002D0237" w:rsidRDefault="004D67BC" w:rsidP="00FB2F28">
      <w:pPr>
        <w:spacing w:after="0" w:line="240" w:lineRule="auto"/>
        <w:ind w:firstLine="142"/>
        <w:jc w:val="both"/>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EA4464" w:rsidRPr="002D0237" w:rsidRDefault="00EA4464" w:rsidP="00FB2F28">
      <w:pPr>
        <w:spacing w:after="0" w:line="240" w:lineRule="auto"/>
        <w:ind w:firstLine="142"/>
        <w:rPr>
          <w:rFonts w:ascii="Arial" w:hAnsi="Arial" w:cs="Arial"/>
          <w:sz w:val="28"/>
          <w:szCs w:val="28"/>
        </w:rPr>
      </w:pPr>
    </w:p>
    <w:p w:rsidR="000D5694" w:rsidRDefault="000D5694">
      <w:pPr>
        <w:rPr>
          <w:rFonts w:ascii="Arial" w:eastAsiaTheme="majorEastAsia" w:hAnsi="Arial" w:cs="Arial"/>
          <w:b/>
          <w:bCs/>
          <w:sz w:val="28"/>
          <w:szCs w:val="28"/>
        </w:rPr>
      </w:pPr>
      <w:r>
        <w:rPr>
          <w:rFonts w:ascii="Arial" w:hAnsi="Arial" w:cs="Arial"/>
        </w:rPr>
        <w:br w:type="page"/>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41. Операции с различными видами международных долговых ценных бумаг (облигации, векселя, депозитные сертификаты и др.)</w:t>
      </w:r>
    </w:p>
    <w:p w:rsidR="004D67BC" w:rsidRPr="002D0237" w:rsidRDefault="004D67BC" w:rsidP="00FB2F28">
      <w:pPr>
        <w:spacing w:after="0" w:line="240" w:lineRule="auto"/>
        <w:ind w:firstLine="142"/>
        <w:jc w:val="both"/>
        <w:rPr>
          <w:rFonts w:ascii="Arial" w:hAnsi="Arial" w:cs="Arial"/>
          <w:sz w:val="28"/>
          <w:szCs w:val="28"/>
        </w:rPr>
      </w:pPr>
      <w:r w:rsidRPr="002D0237">
        <w:rPr>
          <w:rStyle w:val="a5"/>
          <w:rFonts w:ascii="Arial" w:hAnsi="Arial" w:cs="Arial"/>
          <w:sz w:val="28"/>
          <w:szCs w:val="28"/>
        </w:rPr>
        <w:t>международные ценные бумаги</w:t>
      </w:r>
      <w:r w:rsidRPr="002D0237">
        <w:rPr>
          <w:rFonts w:ascii="Arial" w:hAnsi="Arial" w:cs="Arial"/>
          <w:sz w:val="28"/>
          <w:szCs w:val="28"/>
        </w:rPr>
        <w:t xml:space="preserve"> – это ценные бумаги, размещаемые на международных финансовых рынках, внешних по отношению к стране эмитента этих бумаг.</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color w:val="000000"/>
          <w:sz w:val="28"/>
          <w:szCs w:val="28"/>
          <w:lang w:eastAsia="ru-RU"/>
        </w:rPr>
        <w:t>Долговые ценные бумаги – обязательства, размещенные эмитентами на фондовом рынке для заимствования денежных средств. В отечественной практике к долговым ценным бумагам относят облигации, депозитные сертификаты и векселя.</w:t>
      </w:r>
    </w:p>
    <w:p w:rsidR="004D67BC" w:rsidRPr="002D0237" w:rsidRDefault="004D67BC" w:rsidP="00FB2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Arial" w:eastAsia="Times New Roman" w:hAnsi="Arial" w:cs="Arial"/>
          <w:color w:val="000000"/>
          <w:sz w:val="28"/>
          <w:szCs w:val="28"/>
          <w:lang w:eastAsia="ru-RU"/>
        </w:rPr>
      </w:pPr>
      <w:r w:rsidRPr="002D0237">
        <w:rPr>
          <w:rFonts w:ascii="Arial" w:eastAsia="Times New Roman" w:hAnsi="Arial" w:cs="Arial"/>
          <w:color w:val="000000"/>
          <w:sz w:val="28"/>
          <w:szCs w:val="28"/>
          <w:u w:val="single"/>
          <w:lang w:eastAsia="ru-RU"/>
        </w:rPr>
        <w:t>Облигация</w:t>
      </w:r>
      <w:r w:rsidRPr="002D0237">
        <w:rPr>
          <w:rFonts w:ascii="Arial" w:eastAsia="Times New Roman" w:hAnsi="Arial" w:cs="Arial"/>
          <w:color w:val="000000"/>
          <w:sz w:val="28"/>
          <w:szCs w:val="28"/>
          <w:lang w:eastAsia="ru-RU"/>
        </w:rPr>
        <w:t xml:space="preserve"> – ценная бумага, подтверждающая обязательство возместить ее владельцу номинальную стоимость с уплатой фиксированного процента. </w:t>
      </w:r>
    </w:p>
    <w:p w:rsidR="004D67BC" w:rsidRPr="002D0237" w:rsidRDefault="004D67BC" w:rsidP="00FB2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Arial" w:eastAsia="Times New Roman" w:hAnsi="Arial" w:cs="Arial"/>
          <w:color w:val="000000"/>
          <w:sz w:val="28"/>
          <w:szCs w:val="28"/>
          <w:lang w:eastAsia="ru-RU"/>
        </w:rPr>
      </w:pPr>
      <w:r w:rsidRPr="002D0237">
        <w:rPr>
          <w:rFonts w:ascii="Arial" w:eastAsia="Times New Roman" w:hAnsi="Arial" w:cs="Arial"/>
          <w:color w:val="000000"/>
          <w:sz w:val="28"/>
          <w:szCs w:val="28"/>
          <w:u w:val="single"/>
          <w:lang w:eastAsia="ru-RU"/>
        </w:rPr>
        <w:t>Облигации бывают следующих видов: 1.</w:t>
      </w:r>
      <w:r w:rsidRPr="002D0237">
        <w:rPr>
          <w:rFonts w:ascii="Arial" w:eastAsia="Times New Roman" w:hAnsi="Arial" w:cs="Arial"/>
          <w:color w:val="000000"/>
          <w:sz w:val="28"/>
          <w:szCs w:val="28"/>
          <w:lang w:eastAsia="ru-RU"/>
        </w:rPr>
        <w:t xml:space="preserve"> государственные и частные (выпускаемые коммерческими банками, акционерными обществами и др.); 2.  именные и на предприятия; 3. процентные и беспроцентные; 4. свободно обращающиеся и с ограниченным кругом обращения (облигации государственного валютного займа, некоторые частные облигации и др.). </w:t>
      </w:r>
    </w:p>
    <w:p w:rsidR="004D67BC" w:rsidRPr="002D0237" w:rsidRDefault="004D67BC" w:rsidP="00FB2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Arial" w:eastAsia="Times New Roman" w:hAnsi="Arial" w:cs="Arial"/>
          <w:sz w:val="28"/>
          <w:szCs w:val="28"/>
          <w:u w:val="single"/>
          <w:lang w:eastAsia="ru-RU"/>
        </w:rPr>
      </w:pPr>
      <w:r w:rsidRPr="002D0237">
        <w:rPr>
          <w:rFonts w:ascii="Arial" w:eastAsia="Times New Roman" w:hAnsi="Arial" w:cs="Arial"/>
          <w:color w:val="000000"/>
          <w:sz w:val="28"/>
          <w:szCs w:val="28"/>
          <w:u w:val="single"/>
          <w:lang w:eastAsia="ru-RU"/>
        </w:rPr>
        <w:t> </w:t>
      </w:r>
      <w:r w:rsidRPr="002D0237">
        <w:rPr>
          <w:rFonts w:ascii="Arial" w:eastAsia="Times New Roman" w:hAnsi="Arial" w:cs="Arial"/>
          <w:sz w:val="28"/>
          <w:szCs w:val="28"/>
          <w:u w:val="single"/>
          <w:lang w:eastAsia="ru-RU"/>
        </w:rPr>
        <w:t xml:space="preserve">Существует несколько видов международных облигаций: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1.Еврооблигации- размещаемые одновременно на рынках нескольких стран и номинированные в валюте, которая не является национальной валютой заемщика и кредитора. Такие облигации размещаются через международные синдикаты финансовых учреждений нескольких стран.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2.Иностранные облигации- размещаемые внутренним синдикатом, на рынке одной страны, причем валюта займа для заемщика является иностранной, а для кредитора — национальной.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3.Глобальные облигации-средне- и долгосрочные облигации в валюте разных стран, обращающиеся одновременно на нескольких международных рынках ценных бумаг.</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Еврооблигация это облигация, номинал которой выражен в валюте, являющейся как для эмитента, так и для облигационера, иностранной.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Евроноты представляют собой именные ценные бумаги, которые эмитируются странами с развитой рыночной экономикой. В отличие от евробондов, выпуск евронот предусматривает создание обеспечения.</w:t>
      </w:r>
    </w:p>
    <w:p w:rsidR="004D67BC" w:rsidRPr="002D0237" w:rsidRDefault="004D67BC" w:rsidP="00FB2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Arial" w:eastAsia="Times New Roman" w:hAnsi="Arial" w:cs="Arial"/>
          <w:color w:val="000000"/>
          <w:sz w:val="28"/>
          <w:szCs w:val="28"/>
          <w:lang w:eastAsia="ru-RU"/>
        </w:rPr>
      </w:pPr>
      <w:r w:rsidRPr="002D0237">
        <w:rPr>
          <w:rFonts w:ascii="Arial" w:eastAsia="Times New Roman" w:hAnsi="Arial" w:cs="Arial"/>
          <w:sz w:val="28"/>
          <w:szCs w:val="28"/>
          <w:lang w:eastAsia="ru-RU"/>
        </w:rPr>
        <w:tab/>
        <w:t>Конвертируемые облигации. Конвертируемые ценные бумаги с фиксированным доходом представляют собой облигации компании, которые можно в определенной пропорции (за определенную цену) обменять на обычные акции данной компании.</w:t>
      </w:r>
    </w:p>
    <w:p w:rsidR="004D67BC" w:rsidRPr="002D0237" w:rsidRDefault="004D67BC" w:rsidP="00FB2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42"/>
        <w:jc w:val="both"/>
        <w:rPr>
          <w:rFonts w:ascii="Arial" w:eastAsia="Times New Roman" w:hAnsi="Arial" w:cs="Arial"/>
          <w:color w:val="000000"/>
          <w:sz w:val="28"/>
          <w:szCs w:val="28"/>
          <w:lang w:eastAsia="ru-RU"/>
        </w:rPr>
      </w:pPr>
      <w:r w:rsidRPr="002D0237">
        <w:rPr>
          <w:rFonts w:ascii="Arial" w:eastAsia="Times New Roman" w:hAnsi="Arial" w:cs="Arial"/>
          <w:color w:val="000000"/>
          <w:sz w:val="28"/>
          <w:szCs w:val="28"/>
          <w:u w:val="single"/>
          <w:lang w:eastAsia="ru-RU"/>
        </w:rPr>
        <w:t> Депозитный сертификат</w:t>
      </w:r>
      <w:r w:rsidRPr="002D0237">
        <w:rPr>
          <w:rFonts w:ascii="Arial" w:eastAsia="Times New Roman" w:hAnsi="Arial" w:cs="Arial"/>
          <w:color w:val="000000"/>
          <w:sz w:val="28"/>
          <w:szCs w:val="28"/>
          <w:lang w:eastAsia="ru-RU"/>
        </w:rPr>
        <w:t xml:space="preserve"> – это письменное свидетельство кредитного учреждения о депонировании денежных сумм, удостоверяющее право владельца на получение по истечении срока суммы депозита и установленных процентов к нему.</w:t>
      </w:r>
    </w:p>
    <w:p w:rsidR="004D67BC" w:rsidRPr="002D0237" w:rsidRDefault="00E07DA7" w:rsidP="00FB2F28">
      <w:pPr>
        <w:pStyle w:val="a6"/>
        <w:spacing w:before="0" w:beforeAutospacing="0" w:after="0" w:afterAutospacing="0"/>
        <w:ind w:firstLine="142"/>
        <w:jc w:val="both"/>
        <w:rPr>
          <w:rFonts w:ascii="Arial" w:hAnsi="Arial" w:cs="Arial"/>
          <w:sz w:val="28"/>
          <w:szCs w:val="28"/>
        </w:rPr>
      </w:pPr>
      <w:hyperlink r:id="rId19" w:tgtFrame="_blank" w:history="1">
        <w:r w:rsidR="004D67BC" w:rsidRPr="002D0237">
          <w:rPr>
            <w:rStyle w:val="a7"/>
            <w:rFonts w:ascii="Arial" w:hAnsi="Arial" w:cs="Arial"/>
            <w:sz w:val="28"/>
            <w:szCs w:val="28"/>
          </w:rPr>
          <w:t>Вексель</w:t>
        </w:r>
      </w:hyperlink>
      <w:r w:rsidR="004D67BC" w:rsidRPr="002D0237">
        <w:rPr>
          <w:rFonts w:ascii="Arial" w:hAnsi="Arial" w:cs="Arial"/>
          <w:sz w:val="28"/>
          <w:szCs w:val="28"/>
        </w:rPr>
        <w:t xml:space="preserve"> - узаконенная долговая </w:t>
      </w:r>
      <w:hyperlink r:id="rId20" w:tgtFrame="_blank" w:history="1">
        <w:r w:rsidR="004D67BC" w:rsidRPr="002D0237">
          <w:rPr>
            <w:rStyle w:val="a7"/>
            <w:rFonts w:ascii="Arial" w:hAnsi="Arial" w:cs="Arial"/>
            <w:sz w:val="28"/>
            <w:szCs w:val="28"/>
          </w:rPr>
          <w:t>расписка</w:t>
        </w:r>
      </w:hyperlink>
      <w:r w:rsidR="004D67BC" w:rsidRPr="002D0237">
        <w:rPr>
          <w:rFonts w:ascii="Arial" w:hAnsi="Arial" w:cs="Arial"/>
          <w:sz w:val="28"/>
          <w:szCs w:val="28"/>
        </w:rPr>
        <w:t xml:space="preserve">, по которой </w:t>
      </w:r>
      <w:hyperlink r:id="rId21" w:tgtFrame="_blank" w:history="1">
        <w:r w:rsidR="004D67BC" w:rsidRPr="002D0237">
          <w:rPr>
            <w:rStyle w:val="a7"/>
            <w:rFonts w:ascii="Arial" w:hAnsi="Arial" w:cs="Arial"/>
            <w:sz w:val="28"/>
            <w:szCs w:val="28"/>
          </w:rPr>
          <w:t>заемщик</w:t>
        </w:r>
      </w:hyperlink>
      <w:r w:rsidR="004D67BC" w:rsidRPr="002D0237">
        <w:rPr>
          <w:rFonts w:ascii="Arial" w:hAnsi="Arial" w:cs="Arial"/>
          <w:sz w:val="28"/>
          <w:szCs w:val="28"/>
        </w:rPr>
        <w:t xml:space="preserve"> обязуется выплатить определенную сумму денежных средств в строго обозначенный срок. Документ имеет безусловную специфику общепризнанного денежного эквивалента, является ценной бумагой. Главные задачи вексельного документа определены функциями займа и расчета. Расчетная цель векселя представляет собой возможность векселедателя использовать бумагу как замену живым деньгам. Кредитная же функция этой ценной бумаги являет их мерную стоимость, аккумулируя в себе ее денежное выражение. Универсальность расчета посредством вексельных бумаг несет массу преимуществ, исключая такие долгосрочные моменты, как перевод, хранение и перерасчет.</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w:t>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42. Еврооблигации – основной инструмент современного международного рынка долгового финансирования</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b/>
          <w:bCs/>
          <w:sz w:val="28"/>
          <w:szCs w:val="28"/>
        </w:rPr>
        <w:t>Еврооблига́ция</w:t>
      </w:r>
      <w:r w:rsidRPr="002D0237">
        <w:rPr>
          <w:rFonts w:ascii="Arial" w:hAnsi="Arial" w:cs="Arial"/>
          <w:sz w:val="28"/>
          <w:szCs w:val="28"/>
        </w:rPr>
        <w:t xml:space="preserve"> — облигация, номинированная в иностранной валюте. </w:t>
      </w:r>
    </w:p>
    <w:p w:rsidR="004D67BC" w:rsidRPr="002D0237" w:rsidRDefault="004D67BC" w:rsidP="000D5694">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Еврооблигации являются инструментами международного рынка капитала. История возникновения этих бумаг связана с необходимостью расширения государственных рамок в привлечении денежных средств для выполнения определенных задач.  1970-х гг. активно развивается рынок еврооблигаций. </w:t>
      </w:r>
      <w:r w:rsidRPr="002D0237">
        <w:rPr>
          <w:rFonts w:ascii="Arial" w:hAnsi="Arial" w:cs="Arial"/>
          <w:b/>
          <w:bCs/>
          <w:i/>
          <w:iCs/>
          <w:sz w:val="28"/>
          <w:szCs w:val="28"/>
        </w:rPr>
        <w:t>Еврооблигационный заем</w:t>
      </w:r>
      <w:r w:rsidRPr="002D0237">
        <w:rPr>
          <w:rFonts w:ascii="Arial" w:hAnsi="Arial" w:cs="Arial"/>
          <w:sz w:val="28"/>
          <w:szCs w:val="28"/>
        </w:rPr>
        <w:t xml:space="preserve"> отличается рядом особенностей:</w:t>
      </w:r>
      <w:r w:rsidR="000D5694">
        <w:rPr>
          <w:rFonts w:ascii="Arial" w:hAnsi="Arial" w:cs="Arial"/>
          <w:sz w:val="28"/>
          <w:szCs w:val="28"/>
        </w:rPr>
        <w:t xml:space="preserve"> </w:t>
      </w:r>
      <w:r w:rsidRPr="002D0237">
        <w:rPr>
          <w:rFonts w:ascii="Arial" w:hAnsi="Arial" w:cs="Arial"/>
          <w:sz w:val="28"/>
          <w:szCs w:val="28"/>
        </w:rPr>
        <w:t>• размещается одновременно на рынках ряда стран в отличие от традиционных международных облигац. займов (например, еврозаем в долларах США распространяется в Японии, ФРГ, Швейцарии);</w:t>
      </w:r>
      <w:r w:rsidR="000D5694">
        <w:rPr>
          <w:rFonts w:ascii="Arial" w:hAnsi="Arial" w:cs="Arial"/>
          <w:sz w:val="28"/>
          <w:szCs w:val="28"/>
        </w:rPr>
        <w:t xml:space="preserve"> </w:t>
      </w:r>
      <w:r w:rsidRPr="002D0237">
        <w:rPr>
          <w:rFonts w:ascii="Arial" w:hAnsi="Arial" w:cs="Arial"/>
          <w:sz w:val="28"/>
          <w:szCs w:val="28"/>
        </w:rPr>
        <w:t>• эмиссия осуществляется банковским консорциумом, синдикатом или межд организацией;</w:t>
      </w:r>
      <w:r w:rsidR="000D5694">
        <w:rPr>
          <w:rFonts w:ascii="Arial" w:hAnsi="Arial" w:cs="Arial"/>
          <w:sz w:val="28"/>
          <w:szCs w:val="28"/>
        </w:rPr>
        <w:t xml:space="preserve"> </w:t>
      </w:r>
      <w:r w:rsidRPr="002D0237">
        <w:rPr>
          <w:rFonts w:ascii="Arial" w:hAnsi="Arial" w:cs="Arial"/>
          <w:sz w:val="28"/>
          <w:szCs w:val="28"/>
        </w:rPr>
        <w:t>• еврооблигации приобретаются инвесторами разных стран;</w:t>
      </w:r>
      <w:r w:rsidR="000D5694">
        <w:rPr>
          <w:rFonts w:ascii="Arial" w:hAnsi="Arial" w:cs="Arial"/>
          <w:sz w:val="28"/>
          <w:szCs w:val="28"/>
        </w:rPr>
        <w:t xml:space="preserve"> </w:t>
      </w:r>
      <w:r w:rsidRPr="002D0237">
        <w:rPr>
          <w:rFonts w:ascii="Arial" w:hAnsi="Arial" w:cs="Arial"/>
          <w:sz w:val="28"/>
          <w:szCs w:val="28"/>
        </w:rPr>
        <w:t>• эмиссия еврооблигаций в меньшей степени, чем обычных иностранных облигаций, подвержена государственному регулированию, не подчиняется национальным правилам проведения операций с ценными бумагами страны — эмитента займа;</w:t>
      </w:r>
      <w:r w:rsidR="000D5694">
        <w:rPr>
          <w:rFonts w:ascii="Arial" w:hAnsi="Arial" w:cs="Arial"/>
          <w:sz w:val="28"/>
          <w:szCs w:val="28"/>
        </w:rPr>
        <w:t xml:space="preserve"> </w:t>
      </w:r>
      <w:r w:rsidRPr="002D0237">
        <w:rPr>
          <w:rFonts w:ascii="Arial" w:hAnsi="Arial" w:cs="Arial"/>
          <w:sz w:val="28"/>
          <w:szCs w:val="28"/>
        </w:rPr>
        <w:t>• процент по купону не облагается налогом "у источника дохода" в отличие от обычных облигаций.</w:t>
      </w:r>
      <w:r w:rsidR="000D5694">
        <w:rPr>
          <w:rFonts w:ascii="Arial" w:hAnsi="Arial" w:cs="Arial"/>
          <w:sz w:val="28"/>
          <w:szCs w:val="28"/>
        </w:rPr>
        <w:t xml:space="preserve"> </w:t>
      </w:r>
      <w:r w:rsidRPr="002D0237">
        <w:rPr>
          <w:rFonts w:ascii="Arial" w:hAnsi="Arial" w:cs="Arial"/>
          <w:sz w:val="28"/>
          <w:szCs w:val="28"/>
        </w:rPr>
        <w:t xml:space="preserve">Различаются </w:t>
      </w:r>
      <w:r w:rsidRPr="002D0237">
        <w:rPr>
          <w:rFonts w:ascii="Arial" w:hAnsi="Arial" w:cs="Arial"/>
          <w:b/>
          <w:bCs/>
          <w:i/>
          <w:iCs/>
          <w:sz w:val="28"/>
          <w:szCs w:val="28"/>
        </w:rPr>
        <w:t>еврооблигации:</w:t>
      </w:r>
      <w:r w:rsidRPr="002D0237">
        <w:rPr>
          <w:rFonts w:ascii="Arial" w:hAnsi="Arial" w:cs="Arial"/>
          <w:sz w:val="28"/>
          <w:szCs w:val="28"/>
        </w:rPr>
        <w:t xml:space="preserve"> конвертируемые, которые можно обменять на акции компании-заемщика через определенное время в целях получения более высокого дохода; с "нулевым купоном", процент по которым не выплачивается в определенный период, но учитывается при установлении эмиссионного курса (иногда дают держателю определенные налоговые льготы).</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Рынок еврооблигаций — один из важных источников финансирования среднесрочных и долгосрочных инвестиций ТНК. Государства используют еврооблигационные займы для пополнения доходов госбюджетов и рефинансирования займов. </w:t>
      </w:r>
      <w:r w:rsidRPr="002D0237">
        <w:rPr>
          <w:rFonts w:ascii="Arial" w:hAnsi="Arial" w:cs="Arial"/>
          <w:b/>
          <w:bCs/>
          <w:sz w:val="28"/>
          <w:szCs w:val="28"/>
        </w:rPr>
        <w:t>В</w:t>
      </w:r>
      <w:r w:rsidRPr="002D0237">
        <w:rPr>
          <w:rFonts w:ascii="Arial" w:hAnsi="Arial" w:cs="Arial"/>
          <w:sz w:val="28"/>
          <w:szCs w:val="28"/>
        </w:rPr>
        <w:t xml:space="preserve">  </w:t>
      </w:r>
      <w:r w:rsidRPr="002D0237">
        <w:rPr>
          <w:rFonts w:ascii="Arial" w:hAnsi="Arial" w:cs="Arial"/>
          <w:b/>
          <w:bCs/>
          <w:sz w:val="28"/>
          <w:szCs w:val="28"/>
        </w:rPr>
        <w:t>2016</w:t>
      </w:r>
      <w:r w:rsidRPr="002D0237">
        <w:rPr>
          <w:rFonts w:ascii="Arial" w:hAnsi="Arial" w:cs="Arial"/>
          <w:sz w:val="28"/>
          <w:szCs w:val="28"/>
        </w:rPr>
        <w:t xml:space="preserve"> </w:t>
      </w:r>
      <w:r w:rsidRPr="002D0237">
        <w:rPr>
          <w:rFonts w:ascii="Arial" w:hAnsi="Arial" w:cs="Arial"/>
          <w:b/>
          <w:bCs/>
          <w:sz w:val="28"/>
          <w:szCs w:val="28"/>
        </w:rPr>
        <w:t>год</w:t>
      </w:r>
      <w:r w:rsidRPr="002D0237">
        <w:rPr>
          <w:rFonts w:ascii="Arial" w:hAnsi="Arial" w:cs="Arial"/>
          <w:sz w:val="28"/>
          <w:szCs w:val="28"/>
        </w:rPr>
        <w:t xml:space="preserve"> </w:t>
      </w:r>
      <w:r w:rsidRPr="002D0237">
        <w:rPr>
          <w:rFonts w:ascii="Arial" w:hAnsi="Arial" w:cs="Arial"/>
          <w:b/>
          <w:bCs/>
          <w:sz w:val="28"/>
          <w:szCs w:val="28"/>
        </w:rPr>
        <w:t>объем</w:t>
      </w:r>
      <w:r w:rsidRPr="002D0237">
        <w:rPr>
          <w:rFonts w:ascii="Arial" w:hAnsi="Arial" w:cs="Arial"/>
          <w:sz w:val="28"/>
          <w:szCs w:val="28"/>
        </w:rPr>
        <w:t xml:space="preserve"> </w:t>
      </w:r>
      <w:r w:rsidRPr="002D0237">
        <w:rPr>
          <w:rFonts w:ascii="Arial" w:hAnsi="Arial" w:cs="Arial"/>
          <w:b/>
          <w:bCs/>
          <w:sz w:val="28"/>
          <w:szCs w:val="28"/>
        </w:rPr>
        <w:t>находящихся</w:t>
      </w:r>
      <w:r w:rsidRPr="002D0237">
        <w:rPr>
          <w:rFonts w:ascii="Arial" w:hAnsi="Arial" w:cs="Arial"/>
          <w:sz w:val="28"/>
          <w:szCs w:val="28"/>
        </w:rPr>
        <w:t xml:space="preserve"> </w:t>
      </w:r>
      <w:r w:rsidRPr="002D0237">
        <w:rPr>
          <w:rFonts w:ascii="Arial" w:hAnsi="Arial" w:cs="Arial"/>
          <w:b/>
          <w:bCs/>
          <w:sz w:val="28"/>
          <w:szCs w:val="28"/>
        </w:rPr>
        <w:t>в</w:t>
      </w:r>
      <w:r w:rsidRPr="002D0237">
        <w:rPr>
          <w:rFonts w:ascii="Arial" w:hAnsi="Arial" w:cs="Arial"/>
          <w:sz w:val="28"/>
          <w:szCs w:val="28"/>
        </w:rPr>
        <w:t xml:space="preserve"> </w:t>
      </w:r>
      <w:r w:rsidRPr="002D0237">
        <w:rPr>
          <w:rFonts w:ascii="Arial" w:hAnsi="Arial" w:cs="Arial"/>
          <w:b/>
          <w:bCs/>
          <w:sz w:val="28"/>
          <w:szCs w:val="28"/>
        </w:rPr>
        <w:t>обращении</w:t>
      </w:r>
      <w:r w:rsidRPr="002D0237">
        <w:rPr>
          <w:rFonts w:ascii="Arial" w:hAnsi="Arial" w:cs="Arial"/>
          <w:sz w:val="28"/>
          <w:szCs w:val="28"/>
        </w:rPr>
        <w:t xml:space="preserve"> </w:t>
      </w:r>
      <w:r w:rsidRPr="002D0237">
        <w:rPr>
          <w:rFonts w:ascii="Arial" w:hAnsi="Arial" w:cs="Arial"/>
          <w:b/>
          <w:bCs/>
          <w:sz w:val="28"/>
          <w:szCs w:val="28"/>
        </w:rPr>
        <w:t>еврооблигаций</w:t>
      </w:r>
      <w:r w:rsidRPr="002D0237">
        <w:rPr>
          <w:rFonts w:ascii="Arial" w:hAnsi="Arial" w:cs="Arial"/>
          <w:sz w:val="28"/>
          <w:szCs w:val="28"/>
        </w:rPr>
        <w:t xml:space="preserve"> составил около 18,5 трлн долларов США (или примерно две трети совокупного </w:t>
      </w:r>
      <w:r w:rsidRPr="002D0237">
        <w:rPr>
          <w:rFonts w:ascii="Arial" w:hAnsi="Arial" w:cs="Arial"/>
          <w:b/>
          <w:bCs/>
          <w:sz w:val="28"/>
          <w:szCs w:val="28"/>
        </w:rPr>
        <w:t>объема</w:t>
      </w:r>
      <w:r w:rsidRPr="002D0237">
        <w:rPr>
          <w:rFonts w:ascii="Arial" w:hAnsi="Arial" w:cs="Arial"/>
          <w:sz w:val="28"/>
          <w:szCs w:val="28"/>
        </w:rPr>
        <w:t xml:space="preserve"> международного долгового рынка).</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На вторичном рынке еврооблигаций осуществляется перепродажа ранее выпущенных ценных бумаг (Люксембург, Лондон, Франкфурт-на-Майне и др.). Созданная в 1969 г. Ассоциация международных дилеров по займам (АИБД) занимается организационно-техническими проблемами вторичного рынка еврооблигаций. </w:t>
      </w:r>
      <w:r w:rsidR="000D5694">
        <w:rPr>
          <w:rFonts w:ascii="Arial" w:eastAsia="Times New Roman" w:hAnsi="Arial" w:cs="Arial"/>
          <w:sz w:val="28"/>
          <w:szCs w:val="28"/>
          <w:lang w:eastAsia="ru-RU"/>
        </w:rPr>
        <w:t>//</w:t>
      </w:r>
      <w:r w:rsidRPr="002D0237">
        <w:rPr>
          <w:rFonts w:ascii="Arial" w:eastAsia="Times New Roman" w:hAnsi="Arial" w:cs="Arial"/>
          <w:sz w:val="28"/>
          <w:szCs w:val="28"/>
          <w:lang w:eastAsia="ru-RU"/>
        </w:rPr>
        <w:t xml:space="preserve">Еврооблигации имеют </w:t>
      </w:r>
      <w:hyperlink r:id="rId22" w:tooltip="Купон (облигация)" w:history="1">
        <w:r w:rsidRPr="002D0237">
          <w:rPr>
            <w:rFonts w:ascii="Arial" w:eastAsia="Times New Roman" w:hAnsi="Arial" w:cs="Arial"/>
            <w:sz w:val="28"/>
            <w:szCs w:val="28"/>
            <w:u w:val="single"/>
            <w:lang w:eastAsia="ru-RU"/>
          </w:rPr>
          <w:t>купоны</w:t>
        </w:r>
      </w:hyperlink>
      <w:r w:rsidRPr="002D0237">
        <w:rPr>
          <w:rFonts w:ascii="Arial" w:eastAsia="Times New Roman" w:hAnsi="Arial" w:cs="Arial"/>
          <w:sz w:val="28"/>
          <w:szCs w:val="28"/>
          <w:lang w:eastAsia="ru-RU"/>
        </w:rPr>
        <w:t xml:space="preserve">, дающие право на получение процентов в обусловленные сроки. Они могут иметь двойную деноминацию, когда выплата процентов производится в валюте, отличной от валюты займа. Еврооблигации могут выпускаться с фиксированной или плавающей ставкой процента. Они имеют следующие особенности: 1. являются предъявительскими </w:t>
      </w:r>
      <w:hyperlink r:id="rId23" w:tooltip="Ценная бумага" w:history="1">
        <w:r w:rsidRPr="002D0237">
          <w:rPr>
            <w:rFonts w:ascii="Arial" w:eastAsia="Times New Roman" w:hAnsi="Arial" w:cs="Arial"/>
            <w:sz w:val="28"/>
            <w:szCs w:val="28"/>
            <w:u w:val="single"/>
            <w:lang w:eastAsia="ru-RU"/>
          </w:rPr>
          <w:t>ценными бумагами</w:t>
        </w:r>
      </w:hyperlink>
      <w:r w:rsidRPr="002D0237">
        <w:rPr>
          <w:rFonts w:ascii="Arial" w:eastAsia="Times New Roman" w:hAnsi="Arial" w:cs="Arial"/>
          <w:sz w:val="28"/>
          <w:szCs w:val="28"/>
          <w:lang w:eastAsia="ru-RU"/>
        </w:rPr>
        <w:t xml:space="preserve">; 2. выпускаются, как правило, на срок от 1 до 40 лет; 3. могут размещаться одновременно на рынках нескольких стран; 4. </w:t>
      </w:r>
      <w:hyperlink r:id="rId24" w:tooltip="Валюта" w:history="1">
        <w:r w:rsidRPr="002D0237">
          <w:rPr>
            <w:rFonts w:ascii="Arial" w:eastAsia="Times New Roman" w:hAnsi="Arial" w:cs="Arial"/>
            <w:sz w:val="28"/>
            <w:szCs w:val="28"/>
            <w:u w:val="single"/>
            <w:lang w:eastAsia="ru-RU"/>
          </w:rPr>
          <w:t>валюта</w:t>
        </w:r>
      </w:hyperlink>
      <w:r w:rsidRPr="002D0237">
        <w:rPr>
          <w:rFonts w:ascii="Arial" w:eastAsia="Times New Roman" w:hAnsi="Arial" w:cs="Arial"/>
          <w:sz w:val="28"/>
          <w:szCs w:val="28"/>
          <w:lang w:eastAsia="ru-RU"/>
        </w:rPr>
        <w:t xml:space="preserve"> </w:t>
      </w:r>
      <w:hyperlink r:id="rId25" w:tooltip="Заём" w:history="1">
        <w:r w:rsidRPr="002D0237">
          <w:rPr>
            <w:rFonts w:ascii="Arial" w:eastAsia="Times New Roman" w:hAnsi="Arial" w:cs="Arial"/>
            <w:sz w:val="28"/>
            <w:szCs w:val="28"/>
            <w:u w:val="single"/>
            <w:lang w:eastAsia="ru-RU"/>
          </w:rPr>
          <w:t>займа</w:t>
        </w:r>
      </w:hyperlink>
      <w:r w:rsidRPr="002D0237">
        <w:rPr>
          <w:rFonts w:ascii="Arial" w:eastAsia="Times New Roman" w:hAnsi="Arial" w:cs="Arial"/>
          <w:sz w:val="28"/>
          <w:szCs w:val="28"/>
          <w:lang w:eastAsia="ru-RU"/>
        </w:rPr>
        <w:t xml:space="preserve"> является для эмитента и инвесторов иностранной; 5. размещение и обеспечение осуществляется обычно эмиссионным </w:t>
      </w:r>
      <w:hyperlink r:id="rId26" w:tooltip="Синдикат" w:history="1">
        <w:r w:rsidRPr="002D0237">
          <w:rPr>
            <w:rFonts w:ascii="Arial" w:eastAsia="Times New Roman" w:hAnsi="Arial" w:cs="Arial"/>
            <w:sz w:val="28"/>
            <w:szCs w:val="28"/>
            <w:u w:val="single"/>
            <w:lang w:eastAsia="ru-RU"/>
          </w:rPr>
          <w:t>синдикатом</w:t>
        </w:r>
      </w:hyperlink>
      <w:r w:rsidRPr="002D0237">
        <w:rPr>
          <w:rFonts w:ascii="Arial" w:eastAsia="Times New Roman" w:hAnsi="Arial" w:cs="Arial"/>
          <w:sz w:val="28"/>
          <w:szCs w:val="28"/>
          <w:lang w:eastAsia="ru-RU"/>
        </w:rPr>
        <w:t xml:space="preserve">, в котором представлены </w:t>
      </w:r>
      <w:hyperlink r:id="rId27" w:tooltip="Банк" w:history="1">
        <w:r w:rsidRPr="002D0237">
          <w:rPr>
            <w:rFonts w:ascii="Arial" w:eastAsia="Times New Roman" w:hAnsi="Arial" w:cs="Arial"/>
            <w:sz w:val="28"/>
            <w:szCs w:val="28"/>
            <w:u w:val="single"/>
            <w:lang w:eastAsia="ru-RU"/>
          </w:rPr>
          <w:t>банки</w:t>
        </w:r>
      </w:hyperlink>
      <w:r w:rsidRPr="002D0237">
        <w:rPr>
          <w:rFonts w:ascii="Arial" w:eastAsia="Times New Roman" w:hAnsi="Arial" w:cs="Arial"/>
          <w:sz w:val="28"/>
          <w:szCs w:val="28"/>
          <w:lang w:eastAsia="ru-RU"/>
        </w:rPr>
        <w:t xml:space="preserve">, </w:t>
      </w:r>
      <w:hyperlink r:id="rId28" w:tooltip="Инвестиционная компания" w:history="1">
        <w:r w:rsidRPr="002D0237">
          <w:rPr>
            <w:rFonts w:ascii="Arial" w:eastAsia="Times New Roman" w:hAnsi="Arial" w:cs="Arial"/>
            <w:sz w:val="28"/>
            <w:szCs w:val="28"/>
            <w:u w:val="single"/>
            <w:lang w:eastAsia="ru-RU"/>
          </w:rPr>
          <w:t>инвестиционные компании</w:t>
        </w:r>
      </w:hyperlink>
      <w:r w:rsidRPr="002D0237">
        <w:rPr>
          <w:rFonts w:ascii="Arial" w:eastAsia="Times New Roman" w:hAnsi="Arial" w:cs="Arial"/>
          <w:sz w:val="28"/>
          <w:szCs w:val="28"/>
          <w:lang w:eastAsia="ru-RU"/>
        </w:rPr>
        <w:t xml:space="preserve">, </w:t>
      </w:r>
      <w:hyperlink r:id="rId29" w:tooltip="Брокер" w:history="1">
        <w:r w:rsidRPr="002D0237">
          <w:rPr>
            <w:rFonts w:ascii="Arial" w:eastAsia="Times New Roman" w:hAnsi="Arial" w:cs="Arial"/>
            <w:sz w:val="28"/>
            <w:szCs w:val="28"/>
            <w:u w:val="single"/>
            <w:lang w:eastAsia="ru-RU"/>
          </w:rPr>
          <w:t>брокерские</w:t>
        </w:r>
      </w:hyperlink>
      <w:r w:rsidRPr="002D0237">
        <w:rPr>
          <w:rFonts w:ascii="Arial" w:eastAsia="Times New Roman" w:hAnsi="Arial" w:cs="Arial"/>
          <w:sz w:val="28"/>
          <w:szCs w:val="28"/>
          <w:lang w:eastAsia="ru-RU"/>
        </w:rPr>
        <w:t xml:space="preserve"> конторы нескольких стран; 6. </w:t>
      </w:r>
      <w:hyperlink r:id="rId30" w:tooltip="Номинальная стоимость" w:history="1">
        <w:r w:rsidRPr="002D0237">
          <w:rPr>
            <w:rFonts w:ascii="Arial" w:eastAsia="Times New Roman" w:hAnsi="Arial" w:cs="Arial"/>
            <w:sz w:val="28"/>
            <w:szCs w:val="28"/>
            <w:u w:val="single"/>
            <w:lang w:eastAsia="ru-RU"/>
          </w:rPr>
          <w:t>номинальная стоимость</w:t>
        </w:r>
      </w:hyperlink>
      <w:r w:rsidRPr="002D0237">
        <w:rPr>
          <w:rFonts w:ascii="Arial" w:eastAsia="Times New Roman" w:hAnsi="Arial" w:cs="Arial"/>
          <w:sz w:val="28"/>
          <w:szCs w:val="28"/>
          <w:lang w:eastAsia="ru-RU"/>
        </w:rPr>
        <w:t xml:space="preserve"> имеет долларовый эквивалент; 7. проценты по купонам выплачиваются держателю в полной сумме без удержания налога у источника доходов в отличие от обычных облигаций.</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Еврооблигации размещаются инвестиционными банками, основными их покупателями являются институциональные инвесторы — страховые и пенсионные фонды, инвестиционные компании.</w:t>
      </w:r>
      <w:r w:rsidR="000D5694">
        <w:rPr>
          <w:rFonts w:ascii="Arial" w:eastAsia="Times New Roman" w:hAnsi="Arial" w:cs="Arial"/>
          <w:sz w:val="28"/>
          <w:szCs w:val="28"/>
          <w:lang w:eastAsia="ru-RU"/>
        </w:rPr>
        <w:t>//</w:t>
      </w:r>
      <w:r w:rsidRPr="002D0237">
        <w:rPr>
          <w:rFonts w:ascii="Arial" w:eastAsia="Times New Roman" w:hAnsi="Arial" w:cs="Arial"/>
          <w:sz w:val="28"/>
          <w:szCs w:val="28"/>
          <w:lang w:eastAsia="ru-RU"/>
        </w:rPr>
        <w:t xml:space="preserve"> 2 вида еврообл: 1) </w:t>
      </w:r>
      <w:r w:rsidRPr="002D0237">
        <w:rPr>
          <w:rFonts w:ascii="Arial" w:eastAsia="Times New Roman" w:hAnsi="Arial" w:cs="Arial"/>
          <w:b/>
          <w:bCs/>
          <w:sz w:val="28"/>
          <w:szCs w:val="28"/>
          <w:lang w:eastAsia="ru-RU"/>
        </w:rPr>
        <w:t>Евробонды</w:t>
      </w:r>
      <w:r w:rsidRPr="002D0237">
        <w:rPr>
          <w:rFonts w:ascii="Arial" w:eastAsia="Times New Roman" w:hAnsi="Arial" w:cs="Arial"/>
          <w:sz w:val="28"/>
          <w:szCs w:val="28"/>
          <w:lang w:eastAsia="ru-RU"/>
        </w:rPr>
        <w:t xml:space="preserve"> предъявительские ценные бумаги, кот</w:t>
      </w:r>
      <w:r w:rsidR="000D5694">
        <w:rPr>
          <w:rFonts w:ascii="Arial" w:eastAsia="Times New Roman" w:hAnsi="Arial" w:cs="Arial"/>
          <w:sz w:val="28"/>
          <w:szCs w:val="28"/>
          <w:lang w:eastAsia="ru-RU"/>
        </w:rPr>
        <w:t>.</w:t>
      </w:r>
      <w:r w:rsidRPr="002D0237">
        <w:rPr>
          <w:rFonts w:ascii="Arial" w:eastAsia="Times New Roman" w:hAnsi="Arial" w:cs="Arial"/>
          <w:sz w:val="28"/>
          <w:szCs w:val="28"/>
          <w:lang w:eastAsia="ru-RU"/>
        </w:rPr>
        <w:t xml:space="preserve"> депонируются в депозитариях при торговых системах. Их размещают на рынках в основном развивающиеся страны. 2) </w:t>
      </w:r>
      <w:r w:rsidRPr="002D0237">
        <w:rPr>
          <w:rFonts w:ascii="Arial" w:eastAsia="Times New Roman" w:hAnsi="Arial" w:cs="Arial"/>
          <w:b/>
          <w:bCs/>
          <w:sz w:val="28"/>
          <w:szCs w:val="28"/>
          <w:lang w:eastAsia="ru-RU"/>
        </w:rPr>
        <w:t>Евроноты</w:t>
      </w:r>
      <w:r w:rsidRPr="002D0237">
        <w:rPr>
          <w:rFonts w:ascii="Arial" w:eastAsia="Times New Roman" w:hAnsi="Arial" w:cs="Arial"/>
          <w:sz w:val="28"/>
          <w:szCs w:val="28"/>
          <w:lang w:eastAsia="ru-RU"/>
        </w:rPr>
        <w:t xml:space="preserve"> — именные </w:t>
      </w:r>
      <w:r w:rsidR="000D5694">
        <w:rPr>
          <w:rFonts w:ascii="Arial" w:eastAsia="Times New Roman" w:hAnsi="Arial" w:cs="Arial"/>
          <w:sz w:val="28"/>
          <w:szCs w:val="28"/>
          <w:lang w:eastAsia="ru-RU"/>
        </w:rPr>
        <w:t>цб</w:t>
      </w:r>
      <w:r w:rsidRPr="002D0237">
        <w:rPr>
          <w:rFonts w:ascii="Arial" w:eastAsia="Times New Roman" w:hAnsi="Arial" w:cs="Arial"/>
          <w:sz w:val="28"/>
          <w:szCs w:val="28"/>
          <w:lang w:eastAsia="ru-RU"/>
        </w:rPr>
        <w:t>, кот</w:t>
      </w:r>
      <w:r w:rsidR="000D5694">
        <w:rPr>
          <w:rFonts w:ascii="Arial" w:eastAsia="Times New Roman" w:hAnsi="Arial" w:cs="Arial"/>
          <w:sz w:val="28"/>
          <w:szCs w:val="28"/>
          <w:lang w:eastAsia="ru-RU"/>
        </w:rPr>
        <w:t>.</w:t>
      </w:r>
      <w:r w:rsidRPr="002D0237">
        <w:rPr>
          <w:rFonts w:ascii="Arial" w:eastAsia="Times New Roman" w:hAnsi="Arial" w:cs="Arial"/>
          <w:sz w:val="28"/>
          <w:szCs w:val="28"/>
          <w:lang w:eastAsia="ru-RU"/>
        </w:rPr>
        <w:t xml:space="preserve"> эмитируются странами с развитой рын</w:t>
      </w:r>
      <w:r w:rsidR="000D5694">
        <w:rPr>
          <w:rFonts w:ascii="Arial" w:eastAsia="Times New Roman" w:hAnsi="Arial" w:cs="Arial"/>
          <w:sz w:val="28"/>
          <w:szCs w:val="28"/>
          <w:lang w:eastAsia="ru-RU"/>
        </w:rPr>
        <w:t>.</w:t>
      </w:r>
      <w:r w:rsidRPr="002D0237">
        <w:rPr>
          <w:rFonts w:ascii="Arial" w:eastAsia="Times New Roman" w:hAnsi="Arial" w:cs="Arial"/>
          <w:sz w:val="28"/>
          <w:szCs w:val="28"/>
          <w:lang w:eastAsia="ru-RU"/>
        </w:rPr>
        <w:t xml:space="preserve"> экономикой. В отличие от евробондов, выпуск евронот предусматривает создание обеспечения.</w:t>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43. Мировой рынок золота</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Специфика рынка золота: сочетание купли-продажи золота как сырьевого и монетарного товара. Золото продолжает выполнять функцию международного резервного средства и чрезвычайного международного платежного средства Двоякая роль золота как сырьевого и монетарного товара определяет своеобразие рынка золота как сегмента мирового финансового рынка.</w:t>
      </w:r>
      <w:r w:rsidR="000D5694">
        <w:rPr>
          <w:rFonts w:ascii="Arial" w:eastAsia="Times New Roman" w:hAnsi="Arial" w:cs="Arial"/>
          <w:sz w:val="28"/>
          <w:szCs w:val="28"/>
          <w:lang w:eastAsia="ru-RU"/>
        </w:rPr>
        <w:t xml:space="preserve">// </w:t>
      </w:r>
      <w:r w:rsidRPr="002D0237">
        <w:rPr>
          <w:rFonts w:ascii="Arial" w:eastAsia="Times New Roman" w:hAnsi="Arial" w:cs="Arial"/>
          <w:b/>
          <w:bCs/>
          <w:sz w:val="28"/>
          <w:szCs w:val="28"/>
          <w:lang w:eastAsia="ru-RU"/>
        </w:rPr>
        <w:t>Рынок золота</w:t>
      </w:r>
      <w:r w:rsidRPr="002D0237">
        <w:rPr>
          <w:rFonts w:ascii="Arial" w:eastAsia="Times New Roman" w:hAnsi="Arial" w:cs="Arial"/>
          <w:sz w:val="28"/>
          <w:szCs w:val="28"/>
          <w:lang w:eastAsia="ru-RU"/>
        </w:rPr>
        <w:t xml:space="preserve"> — официальный центр торговли золотом, где осуществляется его регулярная купля-продажа по рыночной цепе.</w:t>
      </w:r>
      <w:r w:rsidR="000D5694">
        <w:rPr>
          <w:rFonts w:ascii="Arial" w:eastAsia="Times New Roman" w:hAnsi="Arial" w:cs="Arial"/>
          <w:sz w:val="28"/>
          <w:szCs w:val="28"/>
          <w:lang w:eastAsia="ru-RU"/>
        </w:rPr>
        <w:t>// П</w:t>
      </w:r>
      <w:r w:rsidRPr="002D0237">
        <w:rPr>
          <w:rFonts w:ascii="Arial" w:eastAsia="Times New Roman" w:hAnsi="Arial" w:cs="Arial"/>
          <w:sz w:val="28"/>
          <w:szCs w:val="28"/>
          <w:lang w:eastAsia="ru-RU"/>
        </w:rPr>
        <w:t>редложение золота на рынке формируется за счет следующих источников:</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новая добыча золота (в тыс. т);</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вторичная переработка золотого лома (тыс. т)</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хеджирование — продажа золота инвесторами, спекулянтами, частными тезавраторами;</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продажи из официальных золотых резервов стран (т).</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основные производители золота — Китай, Австралия, США, ЮАР. На их долю приходится примерно 38% его новой добычи. Географическая диверсификация добычи золота проявилась в ее развитии в странах, затраты которых оказались относительно невысокими (Россия, Китай, Перу). Это достигалось за счет использования более дешевой рабочей силы, новых технологий для извлечения желтого металла из горной породы, месторождений, где добыча велась открытым способом. Фактором снижения расходов стало усиление монополизации путем слияний и поглощений в золотопромышленности и концентрация добычи.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За всю историю добычи золота сложилось примерно следующее соотношение между сферами использования золота (в %): производство — 58,2, в том числе ювелирное — 47,0; официальные золотые резервы стран — 21,4, международных организаций -1,8; частные инвесторы и тезавраторы — 17,7.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В современных условиях сложилась следующая </w:t>
      </w:r>
      <w:r w:rsidRPr="002D0237">
        <w:rPr>
          <w:rFonts w:ascii="Arial" w:eastAsia="Times New Roman" w:hAnsi="Arial" w:cs="Arial"/>
          <w:b/>
          <w:bCs/>
          <w:i/>
          <w:iCs/>
          <w:sz w:val="28"/>
          <w:szCs w:val="28"/>
          <w:lang w:eastAsia="ru-RU"/>
        </w:rPr>
        <w:t>структура спроса</w:t>
      </w:r>
      <w:r w:rsidRPr="002D0237">
        <w:rPr>
          <w:rFonts w:ascii="Arial" w:eastAsia="Times New Roman" w:hAnsi="Arial" w:cs="Arial"/>
          <w:sz w:val="28"/>
          <w:szCs w:val="28"/>
          <w:lang w:eastAsia="ru-RU"/>
        </w:rPr>
        <w:t xml:space="preserve"> на мировом рынке золота:</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xml:space="preserve">• производственное потребление • инвестиции и частная тезаврация золота как международного резервного средства и для страхования риска обесценения валютных накоплений • спекулятивные сделки с золотом • покупка золота для увеличения официальных золотых резервов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u w:val="single"/>
          <w:lang w:eastAsia="ru-RU"/>
        </w:rPr>
        <w:t>На спрос на золото влияют следующие факторы:</w:t>
      </w:r>
      <w:r w:rsidR="000D5694">
        <w:rPr>
          <w:rFonts w:ascii="Arial" w:eastAsia="Times New Roman" w:hAnsi="Arial" w:cs="Arial"/>
          <w:sz w:val="28"/>
          <w:szCs w:val="28"/>
          <w:u w:val="single"/>
          <w:lang w:eastAsia="ru-RU"/>
        </w:rPr>
        <w:t xml:space="preserve"> </w:t>
      </w:r>
      <w:r w:rsidRPr="002D0237">
        <w:rPr>
          <w:rFonts w:ascii="Arial" w:eastAsia="Times New Roman" w:hAnsi="Arial" w:cs="Arial"/>
          <w:sz w:val="28"/>
          <w:szCs w:val="28"/>
          <w:lang w:eastAsia="ru-RU"/>
        </w:rPr>
        <w:t>• экономическая и политическая ситуация в мире;</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изменение курса доллара и евро: снижение их валютного курса стимулирует спрос на золото;</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динамика % ставок: их повышение снижает привлекательность инвестиций в золото, а падение — наоборот повышает;</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инфляционные ожидания стимулируют спрос на золото;</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 состояние доходности других финансовых активов и инструментов.</w:t>
      </w:r>
    </w:p>
    <w:p w:rsidR="004D67BC" w:rsidRPr="002D0237" w:rsidRDefault="004D67BC" w:rsidP="000D5694">
      <w:pPr>
        <w:spacing w:after="0" w:line="240" w:lineRule="auto"/>
        <w:ind w:firstLine="142"/>
        <w:rPr>
          <w:rFonts w:ascii="Arial" w:eastAsia="Times New Roman" w:hAnsi="Arial" w:cs="Arial"/>
          <w:sz w:val="28"/>
          <w:szCs w:val="28"/>
          <w:u w:val="single"/>
          <w:lang w:eastAsia="ru-RU"/>
        </w:rPr>
      </w:pPr>
      <w:bookmarkStart w:id="1" w:name="608"/>
      <w:bookmarkEnd w:id="1"/>
      <w:r w:rsidRPr="002D0237">
        <w:rPr>
          <w:rFonts w:ascii="Arial" w:hAnsi="Arial" w:cs="Arial"/>
          <w:sz w:val="28"/>
          <w:szCs w:val="28"/>
          <w:u w:val="single"/>
        </w:rPr>
        <w:t>Организационная структура и виды рынков золота</w:t>
      </w:r>
      <w:r w:rsidR="000D5694">
        <w:rPr>
          <w:rFonts w:ascii="Arial" w:hAnsi="Arial" w:cs="Arial"/>
          <w:sz w:val="28"/>
          <w:szCs w:val="28"/>
          <w:u w:val="single"/>
        </w:rPr>
        <w:t xml:space="preserve"> </w:t>
      </w:r>
      <w:r w:rsidRPr="002D0237">
        <w:rPr>
          <w:rFonts w:ascii="Arial" w:hAnsi="Arial" w:cs="Arial"/>
          <w:sz w:val="28"/>
          <w:szCs w:val="28"/>
        </w:rPr>
        <w:t>Организационно рынок золота представляет консорциум из нескольких банков, уполномоченных совершать сделки с золотом. Они осуществляют операции между покупателями и продавцами. В мире насчитывается более 50 рынков золота: 11 — в Западной Европе (Лондон, Цюрих, Париж, Женева и др.), 19 — в ЮВА (Бейрут, Токио), 14 — в Америке (5 — в США), 8 -в Африке.</w:t>
      </w:r>
      <w:r w:rsidR="000D5694">
        <w:rPr>
          <w:rFonts w:ascii="Arial" w:hAnsi="Arial" w:cs="Arial"/>
          <w:sz w:val="28"/>
          <w:szCs w:val="28"/>
        </w:rPr>
        <w:t xml:space="preserve"> //</w:t>
      </w:r>
      <w:r w:rsidRPr="002D0237">
        <w:rPr>
          <w:rFonts w:ascii="Arial" w:hAnsi="Arial" w:cs="Arial"/>
          <w:sz w:val="28"/>
          <w:szCs w:val="28"/>
        </w:rPr>
        <w:t xml:space="preserve">Рынки золота подразделяются на четыре категории: </w:t>
      </w:r>
      <w:r w:rsidRPr="002D0237">
        <w:rPr>
          <w:rStyle w:val="a5"/>
          <w:rFonts w:ascii="Arial" w:hAnsi="Arial" w:cs="Arial"/>
          <w:i/>
          <w:iCs/>
          <w:sz w:val="28"/>
          <w:szCs w:val="28"/>
        </w:rPr>
        <w:t>мировые</w:t>
      </w:r>
      <w:r w:rsidRPr="002D0237">
        <w:rPr>
          <w:rFonts w:ascii="Arial" w:hAnsi="Arial" w:cs="Arial"/>
          <w:sz w:val="28"/>
          <w:szCs w:val="28"/>
        </w:rPr>
        <w:t xml:space="preserve"> (Лондон, Цюрих, Нью-Йорк, Чикаго, Гонконг, Дубай и др.); </w:t>
      </w:r>
      <w:r w:rsidRPr="002D0237">
        <w:rPr>
          <w:rStyle w:val="a5"/>
          <w:rFonts w:ascii="Arial" w:hAnsi="Arial" w:cs="Arial"/>
          <w:i/>
          <w:iCs/>
          <w:sz w:val="28"/>
          <w:szCs w:val="28"/>
        </w:rPr>
        <w:t>внутренние свободные</w:t>
      </w:r>
      <w:r w:rsidRPr="002D0237">
        <w:rPr>
          <w:rFonts w:ascii="Arial" w:hAnsi="Arial" w:cs="Arial"/>
          <w:sz w:val="28"/>
          <w:szCs w:val="28"/>
        </w:rPr>
        <w:t xml:space="preserve"> (Париж, Милан, Стамбул, Рио-де-Жанейро); </w:t>
      </w:r>
      <w:r w:rsidRPr="002D0237">
        <w:rPr>
          <w:rStyle w:val="a5"/>
          <w:rFonts w:ascii="Arial" w:hAnsi="Arial" w:cs="Arial"/>
          <w:i/>
          <w:iCs/>
          <w:sz w:val="28"/>
          <w:szCs w:val="28"/>
        </w:rPr>
        <w:t>местные</w:t>
      </w:r>
      <w:r w:rsidRPr="002D0237">
        <w:rPr>
          <w:rFonts w:ascii="Arial" w:hAnsi="Arial" w:cs="Arial"/>
          <w:sz w:val="28"/>
          <w:szCs w:val="28"/>
        </w:rPr>
        <w:t xml:space="preserve"> контролируемые; </w:t>
      </w:r>
      <w:r w:rsidRPr="002D0237">
        <w:rPr>
          <w:rStyle w:val="a5"/>
          <w:rFonts w:ascii="Arial" w:hAnsi="Arial" w:cs="Arial"/>
          <w:i/>
          <w:iCs/>
          <w:sz w:val="28"/>
          <w:szCs w:val="28"/>
        </w:rPr>
        <w:t>"черные"</w:t>
      </w:r>
      <w:r w:rsidRPr="002D0237">
        <w:rPr>
          <w:rFonts w:ascii="Arial" w:hAnsi="Arial" w:cs="Arial"/>
          <w:sz w:val="28"/>
          <w:szCs w:val="28"/>
        </w:rPr>
        <w:t xml:space="preserve"> рынки (при валютных ограничениях).</w:t>
      </w:r>
      <w:r w:rsidR="000D5694">
        <w:rPr>
          <w:rFonts w:ascii="Arial" w:hAnsi="Arial" w:cs="Arial"/>
          <w:sz w:val="28"/>
          <w:szCs w:val="28"/>
        </w:rPr>
        <w:t xml:space="preserve"> </w:t>
      </w:r>
      <w:r w:rsidRPr="002D0237">
        <w:rPr>
          <w:rFonts w:ascii="Arial" w:eastAsia="Times New Roman" w:hAnsi="Arial" w:cs="Arial"/>
          <w:sz w:val="28"/>
          <w:szCs w:val="28"/>
          <w:u w:val="single"/>
          <w:lang w:eastAsia="ru-RU"/>
        </w:rPr>
        <w:t>На рынке форвардных операций с золотом различаются следующие основные разновидности.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1. </w:t>
      </w:r>
      <w:r w:rsidRPr="002D0237">
        <w:rPr>
          <w:rFonts w:ascii="Arial" w:eastAsia="Times New Roman" w:hAnsi="Arial" w:cs="Arial"/>
          <w:b/>
          <w:bCs/>
          <w:i/>
          <w:iCs/>
          <w:sz w:val="28"/>
          <w:szCs w:val="28"/>
          <w:lang w:eastAsia="ru-RU"/>
        </w:rPr>
        <w:t>Хеджирование</w:t>
      </w:r>
      <w:r w:rsidRPr="002D0237">
        <w:rPr>
          <w:rFonts w:ascii="Arial" w:eastAsia="Times New Roman" w:hAnsi="Arial" w:cs="Arial"/>
          <w:sz w:val="28"/>
          <w:szCs w:val="28"/>
          <w:lang w:eastAsia="ru-RU"/>
        </w:rPr>
        <w:t xml:space="preserve"> в целях страхования риска изменения цены золота. 2. </w:t>
      </w:r>
      <w:r w:rsidRPr="002D0237">
        <w:rPr>
          <w:rFonts w:ascii="Arial" w:eastAsia="Times New Roman" w:hAnsi="Arial" w:cs="Arial"/>
          <w:b/>
          <w:bCs/>
          <w:i/>
          <w:iCs/>
          <w:sz w:val="28"/>
          <w:szCs w:val="28"/>
          <w:lang w:eastAsia="ru-RU"/>
        </w:rPr>
        <w:t>Спекулятивные сделки —</w:t>
      </w:r>
      <w:r w:rsidRPr="002D0237">
        <w:rPr>
          <w:rFonts w:ascii="Arial" w:eastAsia="Times New Roman" w:hAnsi="Arial" w:cs="Arial"/>
          <w:sz w:val="28"/>
          <w:szCs w:val="28"/>
          <w:lang w:eastAsia="ru-RU"/>
        </w:rPr>
        <w:t xml:space="preserve"> купля-продажа золота в целях извлечения прибыли — наиболее распространены. 3. </w:t>
      </w:r>
      <w:r w:rsidRPr="002D0237">
        <w:rPr>
          <w:rFonts w:ascii="Arial" w:eastAsia="Times New Roman" w:hAnsi="Arial" w:cs="Arial"/>
          <w:b/>
          <w:bCs/>
          <w:i/>
          <w:iCs/>
          <w:sz w:val="28"/>
          <w:szCs w:val="28"/>
          <w:lang w:eastAsia="ru-RU"/>
        </w:rPr>
        <w:t>Арбитражные операции</w:t>
      </w:r>
      <w:r w:rsidRPr="002D0237">
        <w:rPr>
          <w:rFonts w:ascii="Arial" w:eastAsia="Times New Roman" w:hAnsi="Arial" w:cs="Arial"/>
          <w:sz w:val="28"/>
          <w:szCs w:val="28"/>
          <w:lang w:eastAsia="ru-RU"/>
        </w:rPr>
        <w:t xml:space="preserve"> с золотом аналогичны валютному арбитражу. 4. Сделки </w:t>
      </w:r>
      <w:r w:rsidRPr="002D0237">
        <w:rPr>
          <w:rFonts w:ascii="Arial" w:eastAsia="Times New Roman" w:hAnsi="Arial" w:cs="Arial"/>
          <w:b/>
          <w:bCs/>
          <w:i/>
          <w:iCs/>
          <w:sz w:val="28"/>
          <w:szCs w:val="28"/>
          <w:lang w:eastAsia="ru-RU"/>
        </w:rPr>
        <w:t>своп с золотом —</w:t>
      </w:r>
      <w:r w:rsidRPr="002D0237">
        <w:rPr>
          <w:rFonts w:ascii="Arial" w:eastAsia="Times New Roman" w:hAnsi="Arial" w:cs="Arial"/>
          <w:sz w:val="28"/>
          <w:szCs w:val="28"/>
          <w:lang w:eastAsia="ru-RU"/>
        </w:rPr>
        <w:t xml:space="preserve"> сочетание наличной и срочной контрсделки.</w:t>
      </w:r>
      <w:r w:rsidR="000D5694">
        <w:rPr>
          <w:rFonts w:ascii="Arial" w:eastAsia="Times New Roman" w:hAnsi="Arial" w:cs="Arial"/>
          <w:sz w:val="28"/>
          <w:szCs w:val="28"/>
          <w:lang w:eastAsia="ru-RU"/>
        </w:rPr>
        <w:t xml:space="preserve"> </w:t>
      </w:r>
      <w:r w:rsidRPr="002D0237">
        <w:rPr>
          <w:rFonts w:ascii="Arial" w:eastAsia="Times New Roman" w:hAnsi="Arial" w:cs="Arial"/>
          <w:sz w:val="28"/>
          <w:szCs w:val="28"/>
          <w:lang w:eastAsia="ru-RU"/>
        </w:rPr>
        <w:t>Формирование рыночной цены з</w:t>
      </w:r>
      <w:r w:rsidR="000D5694">
        <w:rPr>
          <w:rFonts w:ascii="Arial" w:eastAsia="Times New Roman" w:hAnsi="Arial" w:cs="Arial"/>
          <w:sz w:val="28"/>
          <w:szCs w:val="28"/>
          <w:lang w:eastAsia="ru-RU"/>
        </w:rPr>
        <w:t>олота — многофакторный процесс.</w:t>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 xml:space="preserve">44. Мировой рынок деривативов на современном этапе </w:t>
      </w:r>
    </w:p>
    <w:p w:rsidR="004D67BC" w:rsidRPr="002D0237" w:rsidRDefault="004D67BC" w:rsidP="00FB2F28">
      <w:pPr>
        <w:spacing w:after="0" w:line="240" w:lineRule="auto"/>
        <w:ind w:firstLine="142"/>
        <w:jc w:val="both"/>
        <w:rPr>
          <w:rFonts w:ascii="Arial" w:hAnsi="Arial" w:cs="Arial"/>
          <w:sz w:val="28"/>
          <w:szCs w:val="28"/>
        </w:rPr>
      </w:pPr>
      <w:r w:rsidRPr="002D0237">
        <w:rPr>
          <w:rFonts w:ascii="Arial" w:hAnsi="Arial" w:cs="Arial"/>
          <w:sz w:val="28"/>
          <w:szCs w:val="28"/>
        </w:rPr>
        <w:t xml:space="preserve">Дериватив (англ. derivative - производный) – это контракт или договор, являющийся производным финансовым инструментом, дающий право покупателю и продавцу в определенное время совершить сделку (исполнить этот контракт) по базовому активу.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b/>
          <w:bCs/>
          <w:sz w:val="28"/>
          <w:szCs w:val="28"/>
        </w:rPr>
        <w:t>Дериватив это контракт</w:t>
      </w:r>
      <w:r w:rsidRPr="002D0237">
        <w:rPr>
          <w:rFonts w:ascii="Arial" w:hAnsi="Arial" w:cs="Arial"/>
          <w:sz w:val="28"/>
          <w:szCs w:val="28"/>
        </w:rPr>
        <w:t>, цена которого не обязательно совпадает с ценой базового актива в него входящего, что часто связано со спекулятивной составляющей в торговле этим инструментом.</w:t>
      </w:r>
    </w:p>
    <w:p w:rsidR="004D67BC" w:rsidRPr="002D0237" w:rsidRDefault="004D67BC" w:rsidP="00FB2F28">
      <w:pPr>
        <w:pStyle w:val="a6"/>
        <w:spacing w:before="0" w:beforeAutospacing="0" w:after="0" w:afterAutospacing="0"/>
        <w:ind w:firstLine="142"/>
        <w:jc w:val="both"/>
        <w:rPr>
          <w:rFonts w:ascii="Arial" w:hAnsi="Arial" w:cs="Arial"/>
          <w:sz w:val="28"/>
          <w:szCs w:val="28"/>
          <w:u w:val="single"/>
        </w:rPr>
      </w:pPr>
      <w:r w:rsidRPr="002D0237">
        <w:rPr>
          <w:rFonts w:ascii="Arial" w:hAnsi="Arial" w:cs="Arial"/>
          <w:sz w:val="28"/>
          <w:szCs w:val="28"/>
          <w:u w:val="single"/>
        </w:rPr>
        <w:t>Характеристика: </w:t>
      </w:r>
    </w:p>
    <w:p w:rsidR="004D67BC" w:rsidRPr="002D0237" w:rsidRDefault="004D67BC" w:rsidP="00FB2F28">
      <w:pPr>
        <w:numPr>
          <w:ilvl w:val="2"/>
          <w:numId w:val="11"/>
        </w:numPr>
        <w:tabs>
          <w:tab w:val="clear" w:pos="2160"/>
          <w:tab w:val="num" w:pos="0"/>
        </w:tabs>
        <w:spacing w:after="0" w:line="240" w:lineRule="auto"/>
        <w:ind w:left="0" w:firstLine="142"/>
        <w:jc w:val="both"/>
        <w:rPr>
          <w:rFonts w:ascii="Arial" w:hAnsi="Arial" w:cs="Arial"/>
          <w:sz w:val="28"/>
          <w:szCs w:val="28"/>
        </w:rPr>
      </w:pPr>
      <w:r w:rsidRPr="002D0237">
        <w:rPr>
          <w:rFonts w:ascii="Arial" w:hAnsi="Arial" w:cs="Arial"/>
          <w:sz w:val="28"/>
          <w:szCs w:val="28"/>
        </w:rPr>
        <w:t>Исполнение (погашение) контракта происходит в будущем и имеет четко определенные сроки.</w:t>
      </w:r>
    </w:p>
    <w:p w:rsidR="004D67BC" w:rsidRPr="002D0237" w:rsidRDefault="004D67BC" w:rsidP="00FB2F28">
      <w:pPr>
        <w:numPr>
          <w:ilvl w:val="2"/>
          <w:numId w:val="11"/>
        </w:numPr>
        <w:tabs>
          <w:tab w:val="clear" w:pos="2160"/>
          <w:tab w:val="num" w:pos="0"/>
        </w:tabs>
        <w:spacing w:after="0" w:line="240" w:lineRule="auto"/>
        <w:ind w:left="0" w:firstLine="142"/>
        <w:jc w:val="both"/>
        <w:rPr>
          <w:rFonts w:ascii="Arial" w:hAnsi="Arial" w:cs="Arial"/>
          <w:sz w:val="28"/>
          <w:szCs w:val="28"/>
        </w:rPr>
      </w:pPr>
      <w:r w:rsidRPr="002D0237">
        <w:rPr>
          <w:rFonts w:ascii="Arial" w:hAnsi="Arial" w:cs="Arial"/>
          <w:sz w:val="28"/>
          <w:szCs w:val="28"/>
        </w:rPr>
        <w:t>Дериватив, это инструмент который не требует больших затрат, чтобы торговать на рынке, и это делает его доступным как для крупных инвесторов так и для спекулянтов.</w:t>
      </w:r>
    </w:p>
    <w:p w:rsidR="004D67BC" w:rsidRPr="002D0237" w:rsidRDefault="004D67BC" w:rsidP="00FB2F28">
      <w:pPr>
        <w:numPr>
          <w:ilvl w:val="2"/>
          <w:numId w:val="11"/>
        </w:numPr>
        <w:tabs>
          <w:tab w:val="clear" w:pos="2160"/>
          <w:tab w:val="num" w:pos="0"/>
        </w:tabs>
        <w:spacing w:after="0" w:line="240" w:lineRule="auto"/>
        <w:ind w:left="0" w:firstLine="142"/>
        <w:jc w:val="both"/>
        <w:rPr>
          <w:rFonts w:ascii="Arial" w:hAnsi="Arial" w:cs="Arial"/>
          <w:sz w:val="28"/>
          <w:szCs w:val="28"/>
        </w:rPr>
      </w:pPr>
      <w:r w:rsidRPr="002D0237">
        <w:rPr>
          <w:rFonts w:ascii="Arial" w:hAnsi="Arial" w:cs="Arial"/>
          <w:sz w:val="28"/>
          <w:szCs w:val="28"/>
        </w:rPr>
        <w:t>Цена дериватива, следует за ценой базового актива, и формируется, исходя из текущей конъюнктуры рынка.</w:t>
      </w:r>
    </w:p>
    <w:p w:rsidR="004D67BC" w:rsidRPr="002D0237" w:rsidRDefault="004D67BC" w:rsidP="00FB2F28">
      <w:pPr>
        <w:spacing w:after="0" w:line="240" w:lineRule="auto"/>
        <w:ind w:firstLine="142"/>
        <w:jc w:val="both"/>
        <w:rPr>
          <w:rFonts w:ascii="Arial" w:eastAsia="Times New Roman" w:hAnsi="Arial" w:cs="Arial"/>
          <w:sz w:val="28"/>
          <w:szCs w:val="28"/>
          <w:u w:val="single"/>
          <w:lang w:eastAsia="ru-RU"/>
        </w:rPr>
      </w:pPr>
      <w:r w:rsidRPr="002D0237">
        <w:rPr>
          <w:rFonts w:ascii="Arial" w:eastAsia="Times New Roman" w:hAnsi="Arial" w:cs="Arial"/>
          <w:sz w:val="28"/>
          <w:szCs w:val="28"/>
          <w:u w:val="single"/>
          <w:lang w:eastAsia="ru-RU"/>
        </w:rPr>
        <w:t>Основными видами деривативов являются:</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1.Деривативы на валютном и фондовом рынках, которые представляют собой договора по купле и продаже разной валюты. Обязательное условие - исполнение через некоторое время, которое зависит от изменения курса продаваемой или покупаемой валюты, а в случае с фондовым рынком существует прямая зависимость от такого базового актива, как акция. Такие деривативы также можно классифицировать еще на три основные группы: форварды/фьючерсы, свопы и опционы. Первые зависят напрямую от будущей цены на базовые активы. Своповые контракты зависят от отношения цены в настоящий момент к цене в будущем. Опционы - от изменения стоимости, однако чуть в меньшей степени, нежели фьючерсы и форварды. Эти группы, кроме свопов, называют «основными срочными инструментами».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u w:val="single"/>
          <w:lang w:eastAsia="ru-RU"/>
        </w:rPr>
        <w:t xml:space="preserve">Форвард </w:t>
      </w:r>
      <w:r w:rsidRPr="002D0237">
        <w:rPr>
          <w:rFonts w:ascii="Arial" w:eastAsia="Times New Roman" w:hAnsi="Arial" w:cs="Arial"/>
          <w:sz w:val="28"/>
          <w:szCs w:val="28"/>
          <w:lang w:eastAsia="ru-RU"/>
        </w:rPr>
        <w:t xml:space="preserve">– внебиржевой договор, по которому покупатель и продавец соглашаются на поставку товара оговоренного качества и количества на определенную дату в будущем. </w:t>
      </w:r>
      <w:r w:rsidRPr="002D0237">
        <w:rPr>
          <w:rFonts w:ascii="Arial" w:eastAsia="Times New Roman" w:hAnsi="Arial" w:cs="Arial"/>
          <w:sz w:val="28"/>
          <w:szCs w:val="28"/>
          <w:u w:val="single"/>
          <w:lang w:eastAsia="ru-RU"/>
        </w:rPr>
        <w:t xml:space="preserve">Фьючерс </w:t>
      </w:r>
      <w:r w:rsidRPr="002D0237">
        <w:rPr>
          <w:rFonts w:ascii="Arial" w:eastAsia="Times New Roman" w:hAnsi="Arial" w:cs="Arial"/>
          <w:sz w:val="28"/>
          <w:szCs w:val="28"/>
          <w:lang w:eastAsia="ru-RU"/>
        </w:rPr>
        <w:t xml:space="preserve">– это биржевой договор купли-продажи базового актива, при заключении которого стороны договариваются только об уровне цены и сроке поставки. </w:t>
      </w:r>
      <w:r w:rsidRPr="002D0237">
        <w:rPr>
          <w:rFonts w:ascii="Arial" w:eastAsia="Times New Roman" w:hAnsi="Arial" w:cs="Arial"/>
          <w:sz w:val="28"/>
          <w:szCs w:val="28"/>
          <w:u w:val="single"/>
          <w:lang w:eastAsia="ru-RU"/>
        </w:rPr>
        <w:t>Опцион</w:t>
      </w:r>
      <w:r w:rsidRPr="002D0237">
        <w:rPr>
          <w:rFonts w:ascii="Arial" w:eastAsia="Times New Roman" w:hAnsi="Arial" w:cs="Arial"/>
          <w:sz w:val="28"/>
          <w:szCs w:val="28"/>
          <w:lang w:eastAsia="ru-RU"/>
        </w:rPr>
        <w:t xml:space="preserve"> – это биржевой контракт об обмене в будущем определенными платежами или базовым активом в соответствии с условиями.  </w:t>
      </w:r>
      <w:r w:rsidRPr="002D0237">
        <w:rPr>
          <w:rFonts w:ascii="Arial" w:eastAsia="Times New Roman" w:hAnsi="Arial" w:cs="Arial"/>
          <w:sz w:val="28"/>
          <w:szCs w:val="28"/>
          <w:u w:val="single"/>
          <w:lang w:eastAsia="ru-RU"/>
        </w:rPr>
        <w:t>Своп</w:t>
      </w:r>
      <w:r w:rsidRPr="002D0237">
        <w:rPr>
          <w:rFonts w:ascii="Arial" w:eastAsia="Times New Roman" w:hAnsi="Arial" w:cs="Arial"/>
          <w:sz w:val="28"/>
          <w:szCs w:val="28"/>
          <w:lang w:eastAsia="ru-RU"/>
        </w:rPr>
        <w:t xml:space="preserve"> – это  внебиржевое соглашение об обмене в будущем определенными платежами.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2.Процентный дериватив – это инструмент хеджирования рисков, его применение дополнительно влияет на обеспечение ликвидности рынков заемных капиталов и на возможность фиксации определенных норм прибыли компаний в будущем. Самое широкое применение на международном рынке нашли процентные свопы, опционы «флор» и «кэп». </w:t>
      </w:r>
    </w:p>
    <w:p w:rsidR="004D67BC" w:rsidRPr="002D0237" w:rsidRDefault="004D67BC" w:rsidP="00FB2F28">
      <w:pPr>
        <w:spacing w:after="0" w:line="240" w:lineRule="auto"/>
        <w:ind w:firstLine="142"/>
        <w:jc w:val="both"/>
        <w:rPr>
          <w:rFonts w:ascii="Arial" w:eastAsiaTheme="majorEastAsia" w:hAnsi="Arial" w:cs="Arial"/>
          <w:b/>
          <w:bCs/>
          <w:sz w:val="28"/>
          <w:szCs w:val="28"/>
        </w:rPr>
      </w:pPr>
      <w:r w:rsidRPr="002D0237">
        <w:rPr>
          <w:rFonts w:ascii="Arial" w:eastAsia="Times New Roman" w:hAnsi="Arial" w:cs="Arial"/>
          <w:sz w:val="28"/>
          <w:szCs w:val="28"/>
          <w:lang w:eastAsia="ru-RU"/>
        </w:rPr>
        <w:t xml:space="preserve">3.Деривативы кредитные – это внебиржевые структурированные финансовые инструменты, которые отделяют кредитные риски от активов для того, чтобы в будущем передать их контрагенту. Эти производные бумаги позволяют бенефициару переносить кредитные риски по активам на сторону гаранта без необходимой продажи актива. </w:t>
      </w:r>
      <w:r w:rsidR="000D5694">
        <w:rPr>
          <w:rFonts w:ascii="Arial" w:eastAsia="Times New Roman" w:hAnsi="Arial" w:cs="Arial"/>
          <w:sz w:val="28"/>
          <w:szCs w:val="28"/>
          <w:lang w:eastAsia="ru-RU"/>
        </w:rPr>
        <w:t xml:space="preserve">// </w:t>
      </w:r>
      <w:r w:rsidRPr="002D0237">
        <w:rPr>
          <w:rFonts w:ascii="Arial" w:hAnsi="Arial" w:cs="Arial"/>
          <w:sz w:val="28"/>
          <w:szCs w:val="28"/>
          <w:u w:val="single"/>
        </w:rPr>
        <w:t xml:space="preserve"> Базовые активы, которые используются в деривативах: </w:t>
      </w:r>
      <w:r w:rsidRPr="002D0237">
        <w:rPr>
          <w:rFonts w:ascii="Arial" w:hAnsi="Arial" w:cs="Arial"/>
          <w:sz w:val="28"/>
          <w:szCs w:val="28"/>
        </w:rPr>
        <w:t>Валюта; Акции; Ценные бумаги; Процентные ставки; Инфляция; Договоры; Обязательства.</w:t>
      </w:r>
      <w:r w:rsidR="000D5694">
        <w:rPr>
          <w:rFonts w:ascii="Arial" w:hAnsi="Arial" w:cs="Arial"/>
          <w:sz w:val="28"/>
          <w:szCs w:val="28"/>
        </w:rPr>
        <w:t xml:space="preserve">// </w:t>
      </w:r>
      <w:r w:rsidRPr="002D0237">
        <w:rPr>
          <w:rFonts w:ascii="Arial" w:hAnsi="Arial" w:cs="Arial"/>
          <w:sz w:val="28"/>
          <w:szCs w:val="28"/>
        </w:rPr>
        <w:t xml:space="preserve">Мировой рынок деривативов имеет важное значение. Капитализация рынка производных инструментов огромна, совокупная стоимость рынка внебиржевых контрактов составляет 600 трлн. </w:t>
      </w:r>
      <w:r w:rsidR="000D5694">
        <w:rPr>
          <w:rFonts w:ascii="Arial" w:hAnsi="Arial" w:cs="Arial"/>
          <w:sz w:val="28"/>
          <w:szCs w:val="28"/>
        </w:rPr>
        <w:t>$</w:t>
      </w:r>
      <w:r w:rsidRPr="002D0237">
        <w:rPr>
          <w:rFonts w:ascii="Arial" w:hAnsi="Arial" w:cs="Arial"/>
          <w:sz w:val="28"/>
          <w:szCs w:val="28"/>
        </w:rPr>
        <w:t xml:space="preserve">, а главными игроками на нем являются США и Европа.  </w:t>
      </w:r>
      <w:r w:rsidRPr="002D0237">
        <w:rPr>
          <w:rFonts w:ascii="Arial" w:hAnsi="Arial" w:cs="Arial"/>
          <w:sz w:val="28"/>
          <w:szCs w:val="28"/>
        </w:rPr>
        <w:br w:type="page"/>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45. Современный мировой страховой рынок</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b/>
          <w:bCs/>
          <w:sz w:val="28"/>
          <w:szCs w:val="28"/>
          <w:lang w:eastAsia="ru-RU"/>
        </w:rPr>
        <w:t>Мировой страховой рынок</w:t>
      </w:r>
      <w:r w:rsidRPr="002D0237">
        <w:rPr>
          <w:rFonts w:ascii="Arial" w:eastAsia="Times New Roman" w:hAnsi="Arial" w:cs="Arial"/>
          <w:sz w:val="28"/>
          <w:szCs w:val="28"/>
          <w:lang w:eastAsia="ru-RU"/>
        </w:rPr>
        <w:t xml:space="preserve"> — совокупность рын. отношений, связанных с привлечением страховых взносов страхователей и их межстрановым перераспределением в целях страхования и перестрахования определенных рисков, а также с возмещением ущерба при наступлении страхового случая.</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Многополярность мировой экономики проявляется в географической структуре рынка страховых услуг. На долю Западной Европы приходится примерно 40% мирового объема страховых услуг, Америки (в основном США) - 35%, Азии - 20%, Африки и Океании - 5%.</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Участниками мирового страхового рынка являются ведущие страховые компании и институты финансовых посредников глобального масштаба. В их числе: страховые брокеры международного класса, которые диверсифицируют свою деятельность, включая в нее консалтинговые услуги по всему комплексу страхования (оценка риска и тарифной политики, анализ страховых выплат, управление рисками).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В условиях глобализации мировой экономики повышается роль мирового страхового рынка в страховании и перестраховании возросших рисков. С этой целью используются диверсифицированные инструменты управления рисками в целях их минимизации.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Усиление связи мирового страхового рынка с другими сегментами мирового финансового рынка проявляется в предоставлении страховых услуг с использованием не только страхового полиса, но и инструментов кредитного рынка (накопительный банковский депозит) и фондового рынка (опцион паевые фонды). Применение подобных инновационных страховых продуктов позволяет снижать риски и, следовательно, издержки, а также повышать конкурентоспособность институтов мирового страхового рынка в целях при влечения страхователей.</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Деятельность мирового страхового рынка позволяет снизить риск потерь, связанных с техногенными катастрофами, стихийными бедствиями, террористическими актами, финансовыми и экономическими кризисами.</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Важным направлением деятельности мирового страхового рынка является страхование экспортных кредитов, предоставляемых национальными экспортно-кредитными агентствами в целях стимулирования экспорта товаров.</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В связи с ухудшением демографической ситуации в мире, особенно в развитых странах, институты мирового страхового рынка разработали новые инструменты на основе сочетания страхового полиса и инвестиций, связанных с выходом на пенсию и страхованием жизни. В их числе: получение дивидендов за счет инвестирования накопленного капитала в недвижимость; аннуитеты по определенному инвестиционному портфелю; рентные инструменты и др.</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 xml:space="preserve">Среди международных институтов, регулирующих деятельность мирового страхового рынка, главную роль играет Международная ассоциация органов страхового надзора. </w:t>
      </w:r>
    </w:p>
    <w:p w:rsidR="004D67BC" w:rsidRPr="002D0237" w:rsidRDefault="004D67BC" w:rsidP="00FB2F28">
      <w:pPr>
        <w:spacing w:after="0" w:line="240" w:lineRule="auto"/>
        <w:ind w:firstLine="142"/>
        <w:jc w:val="both"/>
        <w:rPr>
          <w:rFonts w:ascii="Arial" w:eastAsia="Times New Roman" w:hAnsi="Arial" w:cs="Arial"/>
          <w:sz w:val="28"/>
          <w:szCs w:val="28"/>
          <w:u w:val="single"/>
          <w:lang w:eastAsia="ru-RU"/>
        </w:rPr>
      </w:pPr>
      <w:r w:rsidRPr="002D0237">
        <w:rPr>
          <w:rFonts w:ascii="Arial" w:eastAsia="Times New Roman" w:hAnsi="Arial" w:cs="Arial"/>
          <w:sz w:val="28"/>
          <w:szCs w:val="28"/>
          <w:u w:val="single"/>
          <w:lang w:eastAsia="ru-RU"/>
        </w:rPr>
        <w:t xml:space="preserve">Основными характерными чертами мирового страхового рынка на современном этапе его развития являются: </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1) наличие большого числа страховых организаций, увеличение размеров их капитала и активов; 2) рост объемов страховых операций и спектра страховых услуг; 3) создание развитой инфраструктуры страхового рынка; 4) осуществление государственного надзора за страховой деятельностью; 5) превращение страховых компаний в крупнейших инвесторов; 6) объединение национальных страховых рынков, глобализация страхового рынка.</w:t>
      </w:r>
    </w:p>
    <w:p w:rsidR="004D67BC" w:rsidRPr="002D0237" w:rsidRDefault="004D67BC" w:rsidP="00FB2F28">
      <w:pPr>
        <w:spacing w:after="0" w:line="240" w:lineRule="auto"/>
        <w:ind w:firstLine="142"/>
        <w:rPr>
          <w:rFonts w:ascii="Arial" w:eastAsiaTheme="majorEastAsia" w:hAnsi="Arial" w:cs="Arial"/>
          <w:b/>
          <w:bCs/>
          <w:sz w:val="28"/>
          <w:szCs w:val="28"/>
        </w:rPr>
      </w:pPr>
      <w:r w:rsidRPr="002D0237">
        <w:rPr>
          <w:rFonts w:ascii="Arial" w:hAnsi="Arial" w:cs="Arial"/>
          <w:sz w:val="28"/>
          <w:szCs w:val="28"/>
        </w:rPr>
        <w:br w:type="page"/>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46. Организационная структура и основные направления деятельности МВФ</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Style w:val="a5"/>
          <w:rFonts w:ascii="Arial" w:hAnsi="Arial" w:cs="Arial"/>
          <w:sz w:val="28"/>
          <w:szCs w:val="28"/>
        </w:rPr>
        <w:t xml:space="preserve">Международный валютный фонд </w:t>
      </w:r>
      <w:r w:rsidRPr="002D0237">
        <w:rPr>
          <w:rFonts w:ascii="Arial" w:hAnsi="Arial" w:cs="Arial"/>
          <w:sz w:val="28"/>
          <w:szCs w:val="28"/>
        </w:rPr>
        <w:t xml:space="preserve"> — международная организация, предназначенная для регулирования валютно-кредитных отношений между государствами-членами и оказания им финансовой помощи при валютных затруднениях, вызываемых дефицитом платежного баланса, путем предоставления кратко- и среднесрочных кредитов в иностранной валюте. Число государств — членов МВФ - 189. </w:t>
      </w:r>
      <w:r w:rsidRPr="002D0237">
        <w:rPr>
          <w:rStyle w:val="a5"/>
          <w:rFonts w:ascii="Arial" w:hAnsi="Arial" w:cs="Arial"/>
          <w:sz w:val="28"/>
          <w:szCs w:val="28"/>
        </w:rPr>
        <w:t>Официальные цели МВФ:</w:t>
      </w:r>
      <w:r w:rsidR="000D5694">
        <w:rPr>
          <w:rStyle w:val="a5"/>
          <w:rFonts w:ascii="Arial" w:hAnsi="Arial" w:cs="Arial"/>
          <w:sz w:val="28"/>
          <w:szCs w:val="28"/>
        </w:rPr>
        <w:t xml:space="preserve"> </w:t>
      </w:r>
      <w:r w:rsidRPr="002D0237">
        <w:rPr>
          <w:rFonts w:ascii="Arial" w:hAnsi="Arial" w:cs="Arial"/>
          <w:sz w:val="28"/>
          <w:szCs w:val="28"/>
        </w:rPr>
        <w:t>1 ) способствовать международному сотрудничеству валютно-финансовой сфере;</w:t>
      </w:r>
      <w:r w:rsidR="000D5694">
        <w:rPr>
          <w:rFonts w:ascii="Arial" w:hAnsi="Arial" w:cs="Arial"/>
          <w:sz w:val="28"/>
          <w:szCs w:val="28"/>
        </w:rPr>
        <w:t xml:space="preserve"> </w:t>
      </w:r>
      <w:r w:rsidRPr="002D0237">
        <w:rPr>
          <w:rFonts w:ascii="Arial" w:hAnsi="Arial" w:cs="Arial"/>
          <w:sz w:val="28"/>
          <w:szCs w:val="28"/>
        </w:rPr>
        <w:t>2) содействовать расширению и сбалансированному росту международной торговли в интересах развития производственных ресурсов, достижения высокого уровня занятости и реальных доходов государств-членов;</w:t>
      </w:r>
      <w:r w:rsidR="000D5694">
        <w:rPr>
          <w:rFonts w:ascii="Arial" w:hAnsi="Arial" w:cs="Arial"/>
          <w:sz w:val="28"/>
          <w:szCs w:val="28"/>
        </w:rPr>
        <w:t xml:space="preserve"> </w:t>
      </w:r>
      <w:r w:rsidRPr="002D0237">
        <w:rPr>
          <w:rFonts w:ascii="Arial" w:hAnsi="Arial" w:cs="Arial"/>
          <w:sz w:val="28"/>
          <w:szCs w:val="28"/>
        </w:rPr>
        <w:t>3) обеспечивать стабильность валют, поддерживать упорядоченные отношения в валютной области среди государств-членов и не допускать обесценения валют в целях получения конкурентных преимуществ;</w:t>
      </w:r>
      <w:r w:rsidR="000D5694">
        <w:rPr>
          <w:rFonts w:ascii="Arial" w:hAnsi="Arial" w:cs="Arial"/>
          <w:sz w:val="28"/>
          <w:szCs w:val="28"/>
        </w:rPr>
        <w:t xml:space="preserve"> </w:t>
      </w:r>
      <w:r w:rsidRPr="002D0237">
        <w:rPr>
          <w:rFonts w:ascii="Arial" w:hAnsi="Arial" w:cs="Arial"/>
          <w:sz w:val="28"/>
          <w:szCs w:val="28"/>
        </w:rPr>
        <w:t>4) оказывать помощь в создании многосторонней системы расчетов между государствами-членами, а также в устранении валютных ограничений;</w:t>
      </w:r>
      <w:r w:rsidR="000D5694">
        <w:rPr>
          <w:rFonts w:ascii="Arial" w:hAnsi="Arial" w:cs="Arial"/>
          <w:sz w:val="28"/>
          <w:szCs w:val="28"/>
        </w:rPr>
        <w:t xml:space="preserve"> </w:t>
      </w:r>
      <w:r w:rsidRPr="002D0237">
        <w:rPr>
          <w:rFonts w:ascii="Arial" w:hAnsi="Arial" w:cs="Arial"/>
          <w:sz w:val="28"/>
          <w:szCs w:val="28"/>
        </w:rPr>
        <w:t>5) предоставлять временно государствам-членам средства в иностранной валюте, которые давали бы им возможность исправлять нарушения равновесия в их платежных балансах.</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 Высший руководящий орган МВФ — </w:t>
      </w:r>
      <w:r w:rsidRPr="002D0237">
        <w:rPr>
          <w:rStyle w:val="a5"/>
          <w:rFonts w:ascii="Arial" w:hAnsi="Arial" w:cs="Arial"/>
          <w:i/>
          <w:iCs/>
          <w:sz w:val="28"/>
          <w:szCs w:val="28"/>
        </w:rPr>
        <w:t>Совет управляющих,</w:t>
      </w:r>
      <w:r w:rsidRPr="002D0237">
        <w:rPr>
          <w:rFonts w:ascii="Arial" w:hAnsi="Arial" w:cs="Arial"/>
          <w:sz w:val="28"/>
          <w:szCs w:val="28"/>
        </w:rPr>
        <w:t xml:space="preserve"> в котором каждая страна-член представлена управляющим и его заместителем. Обычно это министры финансов или руководители центральных банков. В ведение Совета входит решение ключевых вопросов деятельности Фонда: внесение изменений в Статьи Соглашения, прием и исключение стран-членов, определение и пересмотр их долей в капитале, выборы исполнительных директоров.</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Важную роль в системе МВФ играет </w:t>
      </w:r>
      <w:r w:rsidRPr="002D0237">
        <w:rPr>
          <w:rStyle w:val="a5"/>
          <w:rFonts w:ascii="Arial" w:hAnsi="Arial" w:cs="Arial"/>
          <w:i/>
          <w:iCs/>
          <w:sz w:val="28"/>
          <w:szCs w:val="28"/>
        </w:rPr>
        <w:t>Международный валютно-финансовый комитет — МВФК.</w:t>
      </w:r>
      <w:r w:rsidRPr="002D0237">
        <w:rPr>
          <w:rFonts w:ascii="Arial" w:hAnsi="Arial" w:cs="Arial"/>
          <w:sz w:val="28"/>
          <w:szCs w:val="28"/>
        </w:rPr>
        <w:t xml:space="preserve"> Он состоит из 24 управляющих Фонда (в том числе от России) и проводит сессии дважды в год. Этот комитет — совещательный орган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Решения в Совете управляющих обычно принимаются простым большинством (не менее половины) голосов, а по важным вопросам, имеющим оперативный либо стратегический характер, -"специальным большинством" (соответственно 70 или 85% голосов стран-членов).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Совет управляющих делегирует многие полномочия </w:t>
      </w:r>
      <w:r w:rsidRPr="002D0237">
        <w:rPr>
          <w:rStyle w:val="a5"/>
          <w:rFonts w:ascii="Arial" w:hAnsi="Arial" w:cs="Arial"/>
          <w:i/>
          <w:iCs/>
          <w:sz w:val="28"/>
          <w:szCs w:val="28"/>
        </w:rPr>
        <w:t>Исполнительному совету,</w:t>
      </w:r>
      <w:r w:rsidRPr="002D0237">
        <w:rPr>
          <w:rFonts w:ascii="Arial" w:hAnsi="Arial" w:cs="Arial"/>
          <w:sz w:val="28"/>
          <w:szCs w:val="28"/>
        </w:rPr>
        <w:t xml:space="preserve"> который несет ответственность за ведение текущих дел МВФ, включающих широкий круг политических, оперативных и административных вопросов, в том числе предоставление кредитов странам-членам и надзор за их макроэкономической и валютной политикой.</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Исполнительный совет МВФ выбирает на пятилетний срок </w:t>
      </w:r>
      <w:r w:rsidRPr="002D0237">
        <w:rPr>
          <w:rStyle w:val="a5"/>
          <w:rFonts w:ascii="Arial" w:hAnsi="Arial" w:cs="Arial"/>
          <w:i/>
          <w:iCs/>
          <w:sz w:val="28"/>
          <w:szCs w:val="28"/>
        </w:rPr>
        <w:t>Директора-распорядителя,</w:t>
      </w:r>
      <w:r w:rsidRPr="002D0237">
        <w:rPr>
          <w:rFonts w:ascii="Arial" w:hAnsi="Arial" w:cs="Arial"/>
          <w:sz w:val="28"/>
          <w:szCs w:val="28"/>
        </w:rPr>
        <w:t xml:space="preserve"> который возглавляет штат сотрудников Фонда. Согласно неформальной договоренности развитых стран, он должен быть представителем одной из европейских стран (с июня 2011 г. К. Лагард, Франция).</w:t>
      </w:r>
    </w:p>
    <w:p w:rsidR="004D67BC" w:rsidRPr="002D0237" w:rsidRDefault="004D67BC" w:rsidP="000D5694">
      <w:pPr>
        <w:spacing w:after="0" w:line="240" w:lineRule="auto"/>
        <w:ind w:firstLine="142"/>
        <w:jc w:val="both"/>
        <w:rPr>
          <w:rFonts w:ascii="Arial" w:hAnsi="Arial" w:cs="Arial"/>
          <w:sz w:val="28"/>
          <w:szCs w:val="28"/>
        </w:rPr>
      </w:pPr>
      <w:r w:rsidRPr="002D0237">
        <w:rPr>
          <w:rFonts w:ascii="Arial" w:hAnsi="Arial" w:cs="Arial"/>
          <w:sz w:val="28"/>
          <w:szCs w:val="28"/>
        </w:rPr>
        <w:t xml:space="preserve"> </w:t>
      </w:r>
      <w:r w:rsidRPr="002D0237">
        <w:rPr>
          <w:rFonts w:ascii="Arial" w:hAnsi="Arial" w:cs="Arial"/>
          <w:sz w:val="28"/>
          <w:szCs w:val="28"/>
          <w:u w:val="single"/>
        </w:rPr>
        <w:t>Основные направления деятельности МВФ включают:</w:t>
      </w:r>
      <w:r w:rsidR="000D5694">
        <w:rPr>
          <w:rFonts w:ascii="Arial" w:hAnsi="Arial" w:cs="Arial"/>
          <w:sz w:val="28"/>
          <w:szCs w:val="28"/>
          <w:u w:val="single"/>
        </w:rPr>
        <w:t xml:space="preserve"> </w:t>
      </w:r>
      <w:r w:rsidRPr="002D0237">
        <w:rPr>
          <w:rFonts w:ascii="Arial" w:hAnsi="Arial" w:cs="Arial"/>
          <w:sz w:val="28"/>
          <w:szCs w:val="28"/>
        </w:rPr>
        <w:t>• консультирование государств-членов относительно внедрения мер политики, которые могут помочь им предотвратить или урегулировать финансовый кризис, добиться макроэкономической стабильности, ускорить экономический рост и снизить уровень бедности;</w:t>
      </w:r>
      <w:r w:rsidR="000D5694">
        <w:rPr>
          <w:rFonts w:ascii="Arial" w:hAnsi="Arial" w:cs="Arial"/>
          <w:sz w:val="28"/>
          <w:szCs w:val="28"/>
        </w:rPr>
        <w:t xml:space="preserve"> </w:t>
      </w:r>
      <w:r w:rsidRPr="002D0237">
        <w:rPr>
          <w:rFonts w:ascii="Arial" w:hAnsi="Arial" w:cs="Arial"/>
          <w:sz w:val="28"/>
          <w:szCs w:val="28"/>
        </w:rPr>
        <w:t>• временное предоставление финансирования государствам-членам с целью помочь им в урегулировании проблем платежного баланса, то есть ситуации недостатка иностранной валюты вследствие того, что их платежи другим странам превышают их собственные валютные доходы;</w:t>
      </w:r>
      <w:r w:rsidR="000D5694">
        <w:rPr>
          <w:rFonts w:ascii="Arial" w:hAnsi="Arial" w:cs="Arial"/>
          <w:sz w:val="28"/>
          <w:szCs w:val="28"/>
        </w:rPr>
        <w:t xml:space="preserve"> </w:t>
      </w:r>
      <w:r w:rsidRPr="002D0237">
        <w:rPr>
          <w:rFonts w:ascii="Arial" w:hAnsi="Arial" w:cs="Arial"/>
          <w:sz w:val="28"/>
          <w:szCs w:val="28"/>
        </w:rPr>
        <w:t>• оказание странам, по их просьбе, тех</w:t>
      </w:r>
      <w:r w:rsidR="000D5694">
        <w:rPr>
          <w:rFonts w:ascii="Arial" w:hAnsi="Arial" w:cs="Arial"/>
          <w:sz w:val="28"/>
          <w:szCs w:val="28"/>
        </w:rPr>
        <w:t xml:space="preserve">. </w:t>
      </w:r>
      <w:r w:rsidRPr="002D0237">
        <w:rPr>
          <w:rFonts w:ascii="Arial" w:hAnsi="Arial" w:cs="Arial"/>
          <w:sz w:val="28"/>
          <w:szCs w:val="28"/>
        </w:rPr>
        <w:t xml:space="preserve"> помощи и содействия в подготовке кадров для создания базы знаний и институтов, необходимых для проведения обоснованной экономической политики.</w:t>
      </w:r>
    </w:p>
    <w:p w:rsidR="004D67BC" w:rsidRPr="000D5694" w:rsidRDefault="000D5694" w:rsidP="000D5694">
      <w:pPr>
        <w:spacing w:after="0" w:line="240" w:lineRule="auto"/>
        <w:ind w:firstLine="142"/>
        <w:rPr>
          <w:rFonts w:ascii="Arial" w:hAnsi="Arial" w:cs="Arial"/>
          <w:b/>
        </w:rPr>
      </w:pPr>
      <w:r>
        <w:rPr>
          <w:rFonts w:ascii="Arial" w:hAnsi="Arial" w:cs="Arial"/>
          <w:sz w:val="28"/>
          <w:szCs w:val="28"/>
        </w:rPr>
        <w:lastRenderedPageBreak/>
        <w:t xml:space="preserve"> </w:t>
      </w:r>
      <w:r w:rsidR="004D67BC" w:rsidRPr="000D5694">
        <w:rPr>
          <w:rFonts w:ascii="Arial" w:hAnsi="Arial" w:cs="Arial"/>
          <w:b/>
          <w:sz w:val="28"/>
        </w:rPr>
        <w:t>47. Группа Всемирного банка</w:t>
      </w:r>
    </w:p>
    <w:p w:rsidR="004D67BC" w:rsidRPr="002D0237" w:rsidRDefault="004D67BC" w:rsidP="00FB2F28">
      <w:pPr>
        <w:spacing w:after="0" w:line="240" w:lineRule="auto"/>
        <w:ind w:firstLine="142"/>
        <w:jc w:val="both"/>
        <w:rPr>
          <w:rFonts w:ascii="Arial" w:hAnsi="Arial" w:cs="Arial"/>
          <w:sz w:val="28"/>
          <w:szCs w:val="28"/>
        </w:rPr>
      </w:pPr>
      <w:r w:rsidRPr="002D0237">
        <w:rPr>
          <w:rStyle w:val="a5"/>
          <w:rFonts w:ascii="Arial" w:hAnsi="Arial" w:cs="Arial"/>
          <w:sz w:val="28"/>
          <w:szCs w:val="28"/>
        </w:rPr>
        <w:t>Группа Всемирного банка</w:t>
      </w:r>
      <w:r w:rsidRPr="002D0237">
        <w:rPr>
          <w:rFonts w:ascii="Arial" w:hAnsi="Arial" w:cs="Arial"/>
          <w:sz w:val="28"/>
          <w:szCs w:val="28"/>
        </w:rPr>
        <w:t xml:space="preserve"> (или Всемирный банк), как и МВФ, относится к </w:t>
      </w:r>
      <w:r w:rsidRPr="002D0237">
        <w:rPr>
          <w:rStyle w:val="a5"/>
          <w:rFonts w:ascii="Arial" w:hAnsi="Arial" w:cs="Arial"/>
          <w:i/>
          <w:iCs/>
          <w:sz w:val="28"/>
          <w:szCs w:val="28"/>
        </w:rPr>
        <w:t>специализированным финансовым институтам ООН, имеющим глобальное значение.</w:t>
      </w:r>
      <w:r w:rsidRPr="002D0237">
        <w:rPr>
          <w:rFonts w:ascii="Arial" w:hAnsi="Arial" w:cs="Arial"/>
          <w:sz w:val="28"/>
          <w:szCs w:val="28"/>
        </w:rPr>
        <w:t xml:space="preserve"> В отличие от МВФ, структура Группы ВБ включает не только головную организацию — Международный банк реконструкции и развития, но и его подразделения ( МБРР(1944) – головная организация Группы Всемирного банка: 1.Международная фин корпорация (МФК) 1956; 2. Международная ассоциация развития (МАР) 1960; 3.Многостороннее агенство гарантирования инвестиций МАГИ (1988); 4. Международный центр  урегулирования инвестиционных споров МЦУИС (1965))</w:t>
      </w:r>
    </w:p>
    <w:p w:rsidR="004D67BC" w:rsidRPr="002D0237" w:rsidRDefault="00E07DA7" w:rsidP="00FB2F28">
      <w:pPr>
        <w:pStyle w:val="a6"/>
        <w:spacing w:before="0" w:beforeAutospacing="0" w:after="0" w:afterAutospacing="0"/>
        <w:ind w:firstLine="142"/>
        <w:jc w:val="both"/>
        <w:rPr>
          <w:rFonts w:ascii="Arial" w:hAnsi="Arial" w:cs="Arial"/>
          <w:sz w:val="28"/>
          <w:szCs w:val="28"/>
        </w:rPr>
      </w:pPr>
      <w:hyperlink r:id="rId31" w:tooltip="Международный банк реконструкции и развития" w:history="1">
        <w:r w:rsidR="004D67BC" w:rsidRPr="002D0237">
          <w:rPr>
            <w:rStyle w:val="a7"/>
            <w:rFonts w:ascii="Arial" w:hAnsi="Arial" w:cs="Arial"/>
            <w:b/>
            <w:bCs/>
            <w:sz w:val="28"/>
            <w:szCs w:val="28"/>
          </w:rPr>
          <w:t>Международный банк реконструкции и развития</w:t>
        </w:r>
      </w:hyperlink>
      <w:r w:rsidR="004D67BC" w:rsidRPr="002D0237">
        <w:rPr>
          <w:rStyle w:val="a5"/>
          <w:rFonts w:ascii="Arial" w:hAnsi="Arial" w:cs="Arial"/>
          <w:sz w:val="28"/>
          <w:szCs w:val="28"/>
        </w:rPr>
        <w:t xml:space="preserve"> (МБРР</w:t>
      </w:r>
      <w:r w:rsidR="004D67BC" w:rsidRPr="002D0237">
        <w:rPr>
          <w:rFonts w:ascii="Arial" w:hAnsi="Arial" w:cs="Arial"/>
          <w:sz w:val="28"/>
          <w:szCs w:val="28"/>
        </w:rPr>
        <w:t xml:space="preserve">) широко известный как Мировой банк, является основным кредитным учреждением </w:t>
      </w:r>
      <w:r w:rsidR="004D67BC" w:rsidRPr="002D0237">
        <w:rPr>
          <w:rStyle w:val="a5"/>
          <w:rFonts w:ascii="Arial" w:hAnsi="Arial" w:cs="Arial"/>
          <w:sz w:val="28"/>
          <w:szCs w:val="28"/>
        </w:rPr>
        <w:t>группы Всемирного банка</w:t>
      </w:r>
      <w:r w:rsidR="004D67BC" w:rsidRPr="002D0237">
        <w:rPr>
          <w:rFonts w:ascii="Arial" w:hAnsi="Arial" w:cs="Arial"/>
          <w:sz w:val="28"/>
          <w:szCs w:val="28"/>
        </w:rPr>
        <w:t xml:space="preserve"> (создан на Бреттон-Вудской конференции в 1944 г). </w:t>
      </w:r>
      <w:r w:rsidR="004D67BC" w:rsidRPr="002D0237">
        <w:rPr>
          <w:rStyle w:val="a5"/>
          <w:rFonts w:ascii="Arial" w:hAnsi="Arial" w:cs="Arial"/>
          <w:sz w:val="28"/>
          <w:szCs w:val="28"/>
        </w:rPr>
        <w:t xml:space="preserve">В отличие от </w:t>
      </w:r>
      <w:hyperlink r:id="rId32" w:tooltip="МВФ" w:history="1">
        <w:r w:rsidR="004D67BC" w:rsidRPr="002D0237">
          <w:rPr>
            <w:rStyle w:val="a7"/>
            <w:rFonts w:ascii="Arial" w:hAnsi="Arial" w:cs="Arial"/>
            <w:bCs/>
            <w:sz w:val="28"/>
            <w:szCs w:val="28"/>
          </w:rPr>
          <w:t>МВФ</w:t>
        </w:r>
      </w:hyperlink>
      <w:r w:rsidR="004D67BC" w:rsidRPr="002D0237">
        <w:rPr>
          <w:rStyle w:val="a5"/>
          <w:rFonts w:ascii="Arial" w:hAnsi="Arial" w:cs="Arial"/>
          <w:sz w:val="28"/>
          <w:szCs w:val="28"/>
        </w:rPr>
        <w:t>, ВБ предоставляет кредиты для экономического развития стран</w:t>
      </w:r>
      <w:r w:rsidR="004D67BC" w:rsidRPr="002D0237">
        <w:rPr>
          <w:rFonts w:ascii="Arial" w:hAnsi="Arial" w:cs="Arial"/>
          <w:sz w:val="28"/>
          <w:szCs w:val="28"/>
        </w:rPr>
        <w:t xml:space="preserve">. МБРР — самый крупный кредитор проектов развития в развивающихся странах со средним уровнем доходов на душу населения. Распространена практика совместного финансирования с участием МБРР и частных коммерческих банков. МБРР накопил большой опыт проектного финансирования. </w:t>
      </w:r>
    </w:p>
    <w:p w:rsidR="004D67BC" w:rsidRPr="002D0237" w:rsidRDefault="00E07DA7" w:rsidP="00FB2F28">
      <w:pPr>
        <w:pStyle w:val="a6"/>
        <w:spacing w:before="0" w:beforeAutospacing="0" w:after="0" w:afterAutospacing="0"/>
        <w:ind w:firstLine="142"/>
        <w:jc w:val="both"/>
        <w:rPr>
          <w:rFonts w:ascii="Arial" w:hAnsi="Arial" w:cs="Arial"/>
          <w:sz w:val="28"/>
          <w:szCs w:val="28"/>
        </w:rPr>
      </w:pPr>
      <w:hyperlink r:id="rId33" w:tooltip="Международная финансовая корпорация" w:history="1">
        <w:r w:rsidR="004D67BC" w:rsidRPr="002D0237">
          <w:rPr>
            <w:rStyle w:val="a7"/>
            <w:rFonts w:ascii="Arial" w:hAnsi="Arial" w:cs="Arial"/>
            <w:b/>
            <w:bCs/>
            <w:sz w:val="28"/>
            <w:szCs w:val="28"/>
          </w:rPr>
          <w:t>Международная финансовая корпорация</w:t>
        </w:r>
      </w:hyperlink>
      <w:r w:rsidR="004D67BC" w:rsidRPr="002D0237">
        <w:rPr>
          <w:rStyle w:val="a5"/>
          <w:rFonts w:ascii="Arial" w:hAnsi="Arial" w:cs="Arial"/>
          <w:sz w:val="28"/>
          <w:szCs w:val="28"/>
        </w:rPr>
        <w:t xml:space="preserve"> (МФК),</w:t>
      </w:r>
      <w:r w:rsidR="004D67BC" w:rsidRPr="002D0237">
        <w:rPr>
          <w:rFonts w:ascii="Arial" w:hAnsi="Arial" w:cs="Arial"/>
          <w:sz w:val="28"/>
          <w:szCs w:val="28"/>
        </w:rPr>
        <w:t xml:space="preserve"> 1956 г., 184 стран-членов. Ее цель — стимулирование работы частного сектора в развив странах. МФК финансирует проекты частного сектора. % ставки кредиторов зависят от страны и проекта. Погашение займов осуществляется в течение 3-15 лет. Специфика кредитной деятельности (в отличие от МБРР и МАР) - отсутствие требования гарантии государства — заемщика по иностранным инвестициям для ограждения частных инвесторов от его контроля. Тем самым МФК берет на себя риски при кредитовании проектов, тщательно выбирая их, предъявляя высокие требования к их прибыльности. Особенность - это сам-я организация в юр и финанс отношениях и ведет отдельный учет своей деятельности+имеет общие с МБРР стратегию, а также руководство и ряд служб. </w:t>
      </w:r>
      <w:r w:rsidR="000D5694">
        <w:rPr>
          <w:rFonts w:ascii="Arial" w:hAnsi="Arial" w:cs="Arial"/>
          <w:sz w:val="28"/>
          <w:szCs w:val="28"/>
        </w:rPr>
        <w:t xml:space="preserve"> ///</w:t>
      </w:r>
      <w:hyperlink r:id="rId34" w:tooltip="Международная ассоциация развития" w:history="1">
        <w:r w:rsidR="004D67BC" w:rsidRPr="002D0237">
          <w:rPr>
            <w:rStyle w:val="a7"/>
            <w:rFonts w:ascii="Arial" w:hAnsi="Arial" w:cs="Arial"/>
            <w:b/>
            <w:bCs/>
            <w:sz w:val="28"/>
            <w:szCs w:val="28"/>
          </w:rPr>
          <w:t>Международная ассоциация развития</w:t>
        </w:r>
      </w:hyperlink>
      <w:r w:rsidR="004D67BC" w:rsidRPr="002D0237">
        <w:rPr>
          <w:rStyle w:val="a5"/>
          <w:rFonts w:ascii="Arial" w:hAnsi="Arial" w:cs="Arial"/>
          <w:sz w:val="28"/>
          <w:szCs w:val="28"/>
        </w:rPr>
        <w:t xml:space="preserve"> (МАР</w:t>
      </w:r>
      <w:r w:rsidR="004D67BC" w:rsidRPr="002D0237">
        <w:rPr>
          <w:rFonts w:ascii="Arial" w:hAnsi="Arial" w:cs="Arial"/>
          <w:sz w:val="28"/>
          <w:szCs w:val="28"/>
        </w:rPr>
        <w:t xml:space="preserve">), созданная в 1960 г. Ее цель — оказание помощи самым бедным странам. Право на получение займов из МАР имеют страны с ВВП на душу населения не более 835 долл. МАР предоставляет беспроцентные займы с 30-40-летним сроком погашения и отсрочкой основных платежей в течение первых десяти лет. В МАР участвуют 172 страны. </w:t>
      </w:r>
      <w:r w:rsidR="004D67BC" w:rsidRPr="002D0237">
        <w:rPr>
          <w:rStyle w:val="a5"/>
          <w:rFonts w:ascii="Arial" w:hAnsi="Arial" w:cs="Arial"/>
          <w:i/>
          <w:iCs/>
          <w:sz w:val="28"/>
          <w:szCs w:val="28"/>
        </w:rPr>
        <w:t>Деятельность МАР</w:t>
      </w:r>
      <w:r w:rsidR="004D67BC" w:rsidRPr="002D0237">
        <w:rPr>
          <w:rFonts w:ascii="Arial" w:hAnsi="Arial" w:cs="Arial"/>
          <w:sz w:val="28"/>
          <w:szCs w:val="28"/>
        </w:rPr>
        <w:t xml:space="preserve"> направлена на оказание помощи самым бедным странам в форме предоставления им льготных кредитов и грантов на реализацию программ экономического и социального развития. Льготные условия кредитов МАР проявляются, во-первых, в их низкой стоимости: по ним начисляется лишь небольшая комиссия на покрытие административных расходов, а проценты не взимаются; во-вторых, в длительном сроке; в-третьих, в значительном льготном периоде (до 10 лет). МАР участвует в урегулировании внешнего долга наименее развитых стран. МАР, как и МФК, имеет общую с МБРР стратегию, руководство и ряд служб, но ведет отдельный учет своей деятельности.</w:t>
      </w:r>
    </w:p>
    <w:p w:rsidR="000D5694" w:rsidRDefault="00E07DA7" w:rsidP="000D5694">
      <w:pPr>
        <w:pStyle w:val="a6"/>
        <w:spacing w:before="0" w:beforeAutospacing="0" w:after="0" w:afterAutospacing="0"/>
        <w:ind w:firstLine="142"/>
        <w:jc w:val="both"/>
      </w:pPr>
      <w:hyperlink r:id="rId35" w:tooltip="Многостороннее агентство по гарантированию инвестиций" w:history="1">
        <w:r w:rsidR="004D67BC" w:rsidRPr="002D0237">
          <w:rPr>
            <w:rStyle w:val="a7"/>
            <w:rFonts w:ascii="Arial" w:hAnsi="Arial" w:cs="Arial"/>
            <w:b/>
            <w:bCs/>
            <w:color w:val="000000" w:themeColor="text1"/>
            <w:sz w:val="28"/>
            <w:szCs w:val="28"/>
            <w:u w:val="none"/>
          </w:rPr>
          <w:t>Многостороннее агентство по гарантированию инвестиций</w:t>
        </w:r>
      </w:hyperlink>
      <w:r w:rsidR="004D67BC" w:rsidRPr="002D0237">
        <w:rPr>
          <w:rStyle w:val="a5"/>
          <w:rFonts w:ascii="Arial" w:hAnsi="Arial" w:cs="Arial"/>
          <w:color w:val="000000" w:themeColor="text1"/>
          <w:sz w:val="28"/>
          <w:szCs w:val="28"/>
        </w:rPr>
        <w:t xml:space="preserve"> (МАГИ).</w:t>
      </w:r>
      <w:r w:rsidR="004D67BC" w:rsidRPr="002D0237">
        <w:rPr>
          <w:rFonts w:ascii="Arial" w:hAnsi="Arial" w:cs="Arial"/>
          <w:color w:val="000000" w:themeColor="text1"/>
          <w:sz w:val="28"/>
          <w:szCs w:val="28"/>
        </w:rPr>
        <w:t xml:space="preserve"> (1982 г.) Цель - оказание помощи развив странам в привлечении ин инвестиций через предоставление инвесторам гарантий от политич рисков. Для реализации этой задачи МАГИ выполняет две функции. 1) предоставляет гарантии инвесторам по разнообразным экономическим и политическим рискам. К таким рискам могут относиться военные действия, гражданские беспорядки, экспроприация. 2) оказывает консультационные услуги по вопросам прямых иностранных инвестиций в развивающиеся страны. </w:t>
      </w:r>
      <w:r w:rsidR="000D5694">
        <w:br w:type="page"/>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48. ЕБРР – глобальный международный банк.</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Style w:val="a5"/>
          <w:rFonts w:ascii="Arial" w:hAnsi="Arial" w:cs="Arial"/>
          <w:sz w:val="28"/>
          <w:szCs w:val="28"/>
        </w:rPr>
        <w:t>Европейский банк реконструкции и развития</w:t>
      </w:r>
      <w:r w:rsidRPr="002D0237">
        <w:rPr>
          <w:rFonts w:ascii="Arial" w:hAnsi="Arial" w:cs="Arial"/>
          <w:sz w:val="28"/>
          <w:szCs w:val="28"/>
        </w:rPr>
        <w:t xml:space="preserve"> (ЕБРР) в отличие от МВФ и МБРР, созданных в 1944 г. на основе Бреттон-Вудского соглашения, был учрежден спустя 45 лет на основе Соглашения от 29 мая 1990 г. Учредителями ЕБРР были 40 стран, включая СССР. В их числе: все европейские страны (кроме Албании), США, Канада, Мексика, Марокко, Египет, Израиль, Япония, Новая Зеландия, Австралия, Южная Корея, а также ЕЭС и Европейский инвестиционный банк (ЕИБ). Впоследствии акции СССР, Чехословакии и СФРЮ были распределены между возникшими в результате их распада новыми государствами. Его членами могут быть помимо европейских стран все члены МВФ.</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Акционерами ЕБРР являются 63 страны (в том числе все европейские страны), а также ЕС и ЕИБ. Штаб-квартира ЕБРР в Лондоне. ЕБРР начал функционировать с 15 апреля 1991 г. Причина  создания -  политические и эконом реформы в бывших социалистических странах и их переход от планово-централизованной к рыночной экономике. </w:t>
      </w:r>
    </w:p>
    <w:p w:rsidR="004D67BC" w:rsidRPr="002D0237" w:rsidRDefault="004D67BC" w:rsidP="00FB2F28">
      <w:pPr>
        <w:spacing w:after="0" w:line="240" w:lineRule="auto"/>
        <w:ind w:firstLine="142"/>
        <w:rPr>
          <w:rFonts w:ascii="Arial" w:hAnsi="Arial" w:cs="Arial"/>
          <w:sz w:val="28"/>
          <w:szCs w:val="28"/>
          <w:u w:val="single"/>
        </w:rPr>
      </w:pPr>
      <w:bookmarkStart w:id="2" w:name="138"/>
      <w:bookmarkEnd w:id="2"/>
      <w:r w:rsidRPr="002D0237">
        <w:rPr>
          <w:rFonts w:ascii="Arial" w:hAnsi="Arial" w:cs="Arial"/>
          <w:sz w:val="28"/>
          <w:szCs w:val="28"/>
          <w:u w:val="single"/>
        </w:rPr>
        <w:t>Цель и функции ЕБРР</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Главная цель ЕБРР — содействовать переходу европейских постсоциалистических стран к открытой рыночной экономике на основе частной и предпринимательской инициативы.</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u w:val="single"/>
        </w:rPr>
        <w:t xml:space="preserve">функции: 1) </w:t>
      </w:r>
      <w:r w:rsidRPr="002D0237">
        <w:rPr>
          <w:rFonts w:ascii="Arial" w:hAnsi="Arial" w:cs="Arial"/>
          <w:sz w:val="28"/>
          <w:szCs w:val="28"/>
        </w:rPr>
        <w:t>• содействие развитию, образованию и расширению конкурентоспособного частного сектора, в частности малого и среднего предпринимательства 2) • привлечение национального и иностранного капиталов и управленческого опыта для выполнения вышеуказанной деятельности; 3) • содействие инвестициям в производственную сферу, а также в финансовый сектор и сферу услуг, инфраструктуру, которые необходимы для поддержки частной предпринимательской инициативы, создания конкурентной среды, повышения производительности труда, уровня жизни; 4)• оказание технического содействия для подготовки и реализации инвестиционных проектов;</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стимулирование развития национальных рынков капитала; 5)• оказание поддержки экономически обоснованным проектам, в которых участвует более одной страны-бенефициара; 6)• содействие экономически здоровому и устойчивому развитию; 7)• осуществление иной деятельности в целях выполнения изложенных функций.</w:t>
      </w:r>
    </w:p>
    <w:p w:rsidR="004D67BC" w:rsidRPr="002D0237" w:rsidRDefault="004D67BC" w:rsidP="00FB2F28">
      <w:pPr>
        <w:spacing w:after="0" w:line="240" w:lineRule="auto"/>
        <w:ind w:firstLine="142"/>
        <w:rPr>
          <w:rFonts w:ascii="Arial" w:hAnsi="Arial" w:cs="Arial"/>
          <w:sz w:val="28"/>
          <w:szCs w:val="28"/>
          <w:u w:val="single"/>
        </w:rPr>
      </w:pPr>
      <w:bookmarkStart w:id="3" w:name="512"/>
      <w:bookmarkEnd w:id="3"/>
      <w:r w:rsidRPr="002D0237">
        <w:rPr>
          <w:rFonts w:ascii="Arial" w:hAnsi="Arial" w:cs="Arial"/>
          <w:sz w:val="28"/>
          <w:szCs w:val="28"/>
          <w:u w:val="single"/>
        </w:rPr>
        <w:t>Организационная структура ЕБРР</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Руководство деятельностью ЕБРР осуществляют Совет управляющих, Совет директоров и президент. Совет управляющих — высший распорядительный орган ЕБРР — включает по два представителя (управляющего и его заместителя) от каждого участника банка (страны или международной организации). По желанию члена ЕБРР представляющий его управляющий или его заместитель может быть отозван в любой момент. На ежегодном заседании Совет избирает одного из управляющих в качестве председателя, который выполняет обязанности до избрания следующего председателя. </w:t>
      </w:r>
    </w:p>
    <w:p w:rsidR="000D5694" w:rsidRDefault="000D5694">
      <w:pPr>
        <w:rPr>
          <w:rFonts w:ascii="Arial" w:eastAsiaTheme="majorEastAsia" w:hAnsi="Arial" w:cs="Arial"/>
          <w:b/>
          <w:bCs/>
          <w:sz w:val="28"/>
          <w:szCs w:val="28"/>
        </w:rPr>
      </w:pPr>
      <w:bookmarkStart w:id="4" w:name="779"/>
      <w:bookmarkEnd w:id="4"/>
      <w:r>
        <w:rPr>
          <w:rFonts w:ascii="Arial" w:hAnsi="Arial" w:cs="Arial"/>
        </w:rPr>
        <w:br w:type="page"/>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49. Особенности деятельности Банка международных расчетов</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Год основания: 1930. Штаб-квартира: г. Базель. Членов - 55. Дата вступления России: 1996 г.</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Особое место среди международных валютно-кредитных организаций занимает Банк международных расчетов (Базель). БМР был создан в 1930 г. на основе межправительственного Гаагского соглашения шести государств (Бельгии, Великобритании, Германии, Италии, Франции, Японии) и Конвенции этих государств со Швейцарией, на территории которой функционирует Банк. БМР неподвластен швейцарскому банковскому законодательству. Фактически он был организован центральными банками вышеназванных стран.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Административные органы БМР включают общее собрание акционеров; совет директоров в составе управляющих центральных банков; правление.</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Style w:val="a5"/>
          <w:rFonts w:ascii="Arial" w:hAnsi="Arial" w:cs="Arial"/>
          <w:i/>
          <w:iCs/>
          <w:sz w:val="28"/>
          <w:szCs w:val="28"/>
        </w:rPr>
        <w:t>Главные направления деятельности БМР</w:t>
      </w:r>
      <w:r w:rsidRPr="002D0237">
        <w:rPr>
          <w:rFonts w:ascii="Arial" w:hAnsi="Arial" w:cs="Arial"/>
          <w:sz w:val="28"/>
          <w:szCs w:val="28"/>
        </w:rPr>
        <w:t xml:space="preserve"> – выполнение роли банка центральных банков, агента по международным расчетам, а также посредника по координации валютной политики стран – членов Банка.БМР- банк центральных банков. </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u w:val="single"/>
        </w:rPr>
        <w:t>На БМР по Уставу возложены две основные функции:</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1) содействовать сотрудничеству между центральными банками, обеспечивать благоприятные условия для международных финансовых операций;</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2) действовать в качестве банка-агента или банка-депозитария при проведении международных кредитных и других операций своих членов.</w:t>
      </w:r>
    </w:p>
    <w:p w:rsidR="004D67BC" w:rsidRPr="002D0237" w:rsidRDefault="004D67BC" w:rsidP="00FB2F28">
      <w:pPr>
        <w:pStyle w:val="a6"/>
        <w:spacing w:before="0" w:beforeAutospacing="0" w:after="0" w:afterAutospacing="0"/>
        <w:ind w:firstLine="142"/>
        <w:jc w:val="both"/>
        <w:rPr>
          <w:rFonts w:ascii="Arial" w:hAnsi="Arial" w:cs="Arial"/>
          <w:sz w:val="28"/>
          <w:szCs w:val="28"/>
          <w:u w:val="single"/>
        </w:rPr>
      </w:pPr>
      <w:r w:rsidRPr="002D0237">
        <w:rPr>
          <w:rFonts w:ascii="Arial" w:hAnsi="Arial" w:cs="Arial"/>
          <w:sz w:val="28"/>
          <w:szCs w:val="28"/>
          <w:u w:val="single"/>
        </w:rPr>
        <w:t>Исходя из этих функций БМР выполняет следующие основные операции:</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депозитно-ссудные операции с центральными банками;</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прием правительственных вкладов по особым соглашениям;</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операции с валютой и ценными бумагами (кроме акций);</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куплю-продажу и хранение золота (золотые запасы БМР 119 т — 2012 г.), сделки своп с золотом;</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операции на разных сегментах мирового финансового рынка (валютном, кредитном, фондовом, рынке золота) в качестве агента или корреспондента центральных банков;</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содействие развитию взаимных международных расчетов на основе соглашений с центр. банками.</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В соответствии с Уставом операции банка должны согласовываться с денежно-кредитной политикой центральных банков соответствующих стран. Банку не разрешено открывать текущие счета и предоставлять кредиты правительствам.</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Кроме акционерного капитала основной источник ресурсов БМР — краткосрочные вклады (до 3 месяцев) центральных банков в иностранной валюте или золоте. Для выплаты процентов по ним Банк размещает их на рыночных условиях в других центральных банках, международных организациях или в банках-корреспондентах.</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БМР осуществляет некоторые специальные функции, в частности совместные валютные интервенции центральных банков в целях поддержания курсов ведущих валют, а также в качестве попечителя по межправительственным кредитам.</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Центральные банки возложили на БМР функцию наблюдения за состоянием и функционированием еврорынка. БМР участвует в межгосударственном регулировании международных валютно-кредитных отношений в целях их стабилизации, организует встречи управляющих центральными банками в целях координации мировой валютной и кредитной политики.</w:t>
      </w:r>
    </w:p>
    <w:p w:rsidR="004D67BC" w:rsidRPr="002D0237" w:rsidRDefault="004D67BC" w:rsidP="000D5694">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Специфика БМР заключается в строго конфиденциальном характере его деятельности, как и ежемесячных заседаний Базельского клуба, где обсуждаются актуальные проблемы и перспективы в</w:t>
      </w:r>
      <w:r w:rsidR="000D5694">
        <w:rPr>
          <w:rFonts w:ascii="Arial" w:hAnsi="Arial" w:cs="Arial"/>
          <w:sz w:val="28"/>
          <w:szCs w:val="28"/>
        </w:rPr>
        <w:t xml:space="preserve">алютно-кредитных отношений. </w:t>
      </w:r>
    </w:p>
    <w:p w:rsidR="004D67BC" w:rsidRPr="002D0237" w:rsidRDefault="004D67BC" w:rsidP="00FB2F28">
      <w:pPr>
        <w:pStyle w:val="1"/>
        <w:spacing w:before="0" w:line="240" w:lineRule="auto"/>
        <w:ind w:firstLine="142"/>
        <w:jc w:val="both"/>
        <w:rPr>
          <w:rFonts w:ascii="Arial" w:hAnsi="Arial" w:cs="Arial"/>
          <w:color w:val="auto"/>
        </w:rPr>
      </w:pPr>
      <w:r w:rsidRPr="002D0237">
        <w:rPr>
          <w:rFonts w:ascii="Arial" w:hAnsi="Arial" w:cs="Arial"/>
          <w:color w:val="auto"/>
        </w:rPr>
        <w:lastRenderedPageBreak/>
        <w:t>50. Международные региональные банки</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 xml:space="preserve">Наряду с глобальным банком развития — Группой Всемирного банка — функционируют международные региональные банки развития (МРБР). Они предоставляют кредиты и техническую помощь развивающимся странам определенного региона в целях их социально-экономического развития. Среди этой группы международных банков выделяются </w:t>
      </w:r>
      <w:r w:rsidRPr="002D0237">
        <w:rPr>
          <w:rStyle w:val="a5"/>
          <w:rFonts w:ascii="Arial" w:hAnsi="Arial" w:cs="Arial"/>
          <w:i/>
          <w:iCs/>
          <w:sz w:val="28"/>
          <w:szCs w:val="28"/>
        </w:rPr>
        <w:t>Межамериканский, Африканский, Азиатский</w:t>
      </w:r>
      <w:r w:rsidRPr="002D0237">
        <w:rPr>
          <w:rFonts w:ascii="Arial" w:hAnsi="Arial" w:cs="Arial"/>
          <w:sz w:val="28"/>
          <w:szCs w:val="28"/>
        </w:rPr>
        <w:t xml:space="preserve"> банки развития. Их объединяют общность причин, цели создания и деятельности.</w:t>
      </w:r>
    </w:p>
    <w:p w:rsidR="004D67BC" w:rsidRPr="002D0237" w:rsidRDefault="004D67BC" w:rsidP="00FB2F28">
      <w:pPr>
        <w:spacing w:after="0" w:line="240" w:lineRule="auto"/>
        <w:ind w:firstLine="142"/>
        <w:jc w:val="both"/>
        <w:rPr>
          <w:rFonts w:ascii="Arial" w:hAnsi="Arial" w:cs="Arial"/>
          <w:sz w:val="28"/>
          <w:szCs w:val="28"/>
          <w:u w:val="single"/>
        </w:rPr>
      </w:pPr>
      <w:bookmarkStart w:id="5" w:name="288"/>
      <w:bookmarkEnd w:id="5"/>
      <w:r w:rsidRPr="002D0237">
        <w:rPr>
          <w:rFonts w:ascii="Arial" w:hAnsi="Arial" w:cs="Arial"/>
          <w:sz w:val="28"/>
          <w:szCs w:val="28"/>
          <w:u w:val="single"/>
        </w:rPr>
        <w:t>Причины и цели создания</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Образование международных региональных банков развития Азии, Африки и Латинской Америки в 1960-х гг. обусловлено рядом причин. В их числе:</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1) распад колониальной системы, завоевание политической независимости, повышение роли развивающихся стран в мировом развитии, их борьба за новый экономический порядок;</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2) необходимость решения региональных задач, к- не всегда учитываются МВФ и Группой ВБ;</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3) привлечение кредитных ресурсов из разных, в том числе внешних, источников в целях кредитования проектов социально-экономического развития стран региона;</w:t>
      </w:r>
    </w:p>
    <w:p w:rsidR="004D67BC" w:rsidRPr="002D0237" w:rsidRDefault="004D67BC" w:rsidP="00FB2F28">
      <w:pPr>
        <w:pStyle w:val="a6"/>
        <w:spacing w:before="0" w:beforeAutospacing="0" w:after="0" w:afterAutospacing="0"/>
        <w:ind w:firstLine="142"/>
        <w:jc w:val="both"/>
        <w:rPr>
          <w:rFonts w:ascii="Arial" w:hAnsi="Arial" w:cs="Arial"/>
          <w:sz w:val="28"/>
          <w:szCs w:val="28"/>
        </w:rPr>
      </w:pPr>
      <w:r w:rsidRPr="002D0237">
        <w:rPr>
          <w:rFonts w:ascii="Arial" w:hAnsi="Arial" w:cs="Arial"/>
          <w:sz w:val="28"/>
          <w:szCs w:val="28"/>
        </w:rPr>
        <w:t>4) поддержка регионального сотрудничества и экономической интеграции развивающихся стран.</w:t>
      </w:r>
    </w:p>
    <w:p w:rsidR="004D67BC" w:rsidRPr="002D0237" w:rsidRDefault="004D67BC" w:rsidP="00FB2F28">
      <w:pPr>
        <w:spacing w:after="0" w:line="240" w:lineRule="auto"/>
        <w:ind w:firstLine="142"/>
        <w:rPr>
          <w:rFonts w:ascii="Arial" w:hAnsi="Arial" w:cs="Arial"/>
          <w:sz w:val="28"/>
          <w:szCs w:val="28"/>
          <w:u w:val="single"/>
        </w:rPr>
      </w:pPr>
      <w:r w:rsidRPr="002D0237">
        <w:rPr>
          <w:rFonts w:ascii="Arial" w:hAnsi="Arial" w:cs="Arial"/>
          <w:sz w:val="28"/>
          <w:szCs w:val="28"/>
          <w:u w:val="single"/>
        </w:rPr>
        <w:t xml:space="preserve">Различия и общие черты </w:t>
      </w:r>
    </w:p>
    <w:p w:rsidR="004D67BC" w:rsidRPr="002D0237" w:rsidRDefault="004D67BC" w:rsidP="00FB2F28">
      <w:pPr>
        <w:pStyle w:val="a6"/>
        <w:spacing w:before="0" w:beforeAutospacing="0" w:after="0" w:afterAutospacing="0"/>
        <w:ind w:firstLine="142"/>
        <w:jc w:val="both"/>
        <w:rPr>
          <w:rFonts w:ascii="Arial" w:hAnsi="Arial" w:cs="Arial"/>
          <w:bCs/>
          <w:sz w:val="28"/>
          <w:szCs w:val="28"/>
        </w:rPr>
      </w:pPr>
      <w:r w:rsidRPr="002D0237">
        <w:rPr>
          <w:rFonts w:ascii="Arial" w:hAnsi="Arial" w:cs="Arial"/>
          <w:bCs/>
          <w:sz w:val="28"/>
          <w:szCs w:val="28"/>
        </w:rPr>
        <w:t>Разница между этими банками обусловлена уровнем социально-экономического, культурного развития стран трех континентов — Латинской Америки, Азии и Африки, особенностями их исторического развития. Вместе с тем региональные банки развития имеют общие черты.</w:t>
      </w:r>
    </w:p>
    <w:p w:rsidR="004D67BC" w:rsidRPr="002D0237" w:rsidRDefault="004D67BC" w:rsidP="00FB2F28">
      <w:pPr>
        <w:pStyle w:val="a6"/>
        <w:spacing w:before="0" w:beforeAutospacing="0" w:after="0" w:afterAutospacing="0"/>
        <w:ind w:firstLine="142"/>
        <w:jc w:val="both"/>
        <w:rPr>
          <w:rFonts w:ascii="Arial" w:hAnsi="Arial" w:cs="Arial"/>
          <w:bCs/>
          <w:sz w:val="28"/>
          <w:szCs w:val="28"/>
        </w:rPr>
      </w:pPr>
      <w:r w:rsidRPr="002D0237">
        <w:rPr>
          <w:rFonts w:ascii="Arial" w:hAnsi="Arial" w:cs="Arial"/>
          <w:bCs/>
          <w:sz w:val="28"/>
          <w:szCs w:val="28"/>
        </w:rPr>
        <w:t>Во-первых, эти банки преследуют в основном одинаковые цели — стимулирование экономического, а с 1990-х гг. и социального развития стран регионов (здравоохранение, образование, городское хозяйство, экология). Особое внимание уделяется борьбе с бедностью, особенно в Азии и Африке, где за чертой бедности живут более 1 млрд человек. МРБР поддерживают процесс региональной экономической интеграции.</w:t>
      </w:r>
    </w:p>
    <w:p w:rsidR="004D67BC" w:rsidRPr="002D0237" w:rsidRDefault="004D67BC" w:rsidP="00FB2F28">
      <w:pPr>
        <w:pStyle w:val="a6"/>
        <w:spacing w:before="0" w:beforeAutospacing="0" w:after="0" w:afterAutospacing="0"/>
        <w:ind w:firstLine="142"/>
        <w:jc w:val="both"/>
        <w:rPr>
          <w:rFonts w:ascii="Arial" w:hAnsi="Arial" w:cs="Arial"/>
          <w:bCs/>
          <w:sz w:val="28"/>
          <w:szCs w:val="28"/>
        </w:rPr>
      </w:pPr>
      <w:r w:rsidRPr="002D0237">
        <w:rPr>
          <w:rFonts w:ascii="Arial" w:hAnsi="Arial" w:cs="Arial"/>
          <w:bCs/>
          <w:sz w:val="28"/>
          <w:szCs w:val="28"/>
        </w:rPr>
        <w:t>Во-вторых, примерно 1/3 членов банков развития — развитые страны. Поскольку им принадлежит значительная часть капитала и голосов банков, они оказывают существенное влияние на их деятельность. Любое решение Межамериканского банка развития (МаБР) может быть блокировано США, Азиатского банка развития (АзБР) — Японией и США, имеющими вместе 1/3 голосов. В настоящее время группа АфБР включает кроме головного банка АфБР трастовый фонд Нигерии и субрегиональные организации (Банк развития государств Центральной Африки, Южно-Африканское сообщество развития, Западно-Африканский и Восточно-Африканский банки развития).</w:t>
      </w:r>
    </w:p>
    <w:p w:rsidR="004D67BC" w:rsidRPr="002D0237" w:rsidRDefault="004D67BC" w:rsidP="00FB2F28">
      <w:pPr>
        <w:pStyle w:val="a6"/>
        <w:spacing w:before="0" w:beforeAutospacing="0" w:after="0" w:afterAutospacing="0"/>
        <w:ind w:firstLine="142"/>
        <w:jc w:val="both"/>
        <w:rPr>
          <w:rFonts w:ascii="Arial" w:hAnsi="Arial" w:cs="Arial"/>
          <w:bCs/>
          <w:sz w:val="28"/>
          <w:szCs w:val="28"/>
        </w:rPr>
      </w:pPr>
      <w:r w:rsidRPr="002D0237">
        <w:rPr>
          <w:rFonts w:ascii="Arial" w:hAnsi="Arial" w:cs="Arial"/>
          <w:bCs/>
          <w:sz w:val="28"/>
          <w:szCs w:val="28"/>
        </w:rPr>
        <w:t>В-третьих, у МРБР в основном однотипные источники формирования пассивов (уставный капитал, выпуск облигаций, специальные и трастовые фонды) и кредитная политика.</w:t>
      </w:r>
    </w:p>
    <w:p w:rsidR="004D67BC" w:rsidRPr="002D0237" w:rsidRDefault="004D67BC" w:rsidP="00FB2F28">
      <w:pPr>
        <w:spacing w:after="0" w:line="240" w:lineRule="auto"/>
        <w:ind w:firstLine="142"/>
        <w:jc w:val="both"/>
        <w:rPr>
          <w:rFonts w:ascii="Arial" w:eastAsia="Times New Roman" w:hAnsi="Arial" w:cs="Arial"/>
          <w:sz w:val="28"/>
          <w:szCs w:val="28"/>
          <w:lang w:eastAsia="ru-RU"/>
        </w:rPr>
      </w:pPr>
      <w:r w:rsidRPr="002D0237">
        <w:rPr>
          <w:rFonts w:ascii="Arial" w:eastAsia="Times New Roman" w:hAnsi="Arial" w:cs="Arial"/>
          <w:sz w:val="28"/>
          <w:szCs w:val="28"/>
          <w:lang w:eastAsia="ru-RU"/>
        </w:rPr>
        <w:t>Международные региональные банки развития проводят дифференцированную кредитную политику, отдавая предпочтение наиболее платежеспособным заемщикам. Значительный объем кредитов МаБР предоставил «большой тройке» (Аргентине, Бразилии, Мексике); АзБР – пяти странам (Индонезии, Южной Корее, Филиппинам, Пакистану, Таиланду); АфБР – Марокко, Кении, Тунису и т.д.</w:t>
      </w:r>
    </w:p>
    <w:p w:rsidR="00EA4464" w:rsidRPr="002D0237" w:rsidRDefault="004D67BC" w:rsidP="000D5694">
      <w:pPr>
        <w:spacing w:after="0" w:line="240" w:lineRule="auto"/>
        <w:ind w:firstLine="142"/>
        <w:jc w:val="both"/>
        <w:rPr>
          <w:rFonts w:ascii="Arial" w:hAnsi="Arial" w:cs="Arial"/>
          <w:sz w:val="28"/>
          <w:szCs w:val="28"/>
        </w:rPr>
      </w:pPr>
      <w:r w:rsidRPr="002D0237">
        <w:rPr>
          <w:rFonts w:ascii="Arial" w:eastAsia="Times New Roman" w:hAnsi="Arial" w:cs="Arial"/>
          <w:sz w:val="28"/>
          <w:szCs w:val="28"/>
          <w:lang w:eastAsia="ru-RU"/>
        </w:rPr>
        <w:t>Международные региональные банки развития играют роль посредников между группой Всемирного банка и национальными банками развития.</w:t>
      </w:r>
    </w:p>
    <w:p w:rsidR="004D67BC" w:rsidRPr="002D0237" w:rsidRDefault="004D67BC" w:rsidP="00FB2F28">
      <w:pPr>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51. Региональные финансово-экономические и торговые союзы.</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 Усиление позиций стран БРИК и новых индустриальных стран приводит к появлению и развитию региональных экономических группировок, возглавляемых новыми претендентами на мировое экономическое лидерство. В их числе - АСЕАН, АТЭС, МЕРКОСУР, ЕАЭС.</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1)Ассоциация государств Юго-Восточной Азии (АСЕАН) – международная региональная организация, объединяющая страны Юго-Восточной Азии. Создана в 1967 году. Основная цель – экономическая интеграция стран региона. В состав АСЕАН входит 10 стран, в том числе Индонезия, Малайзия, Филиппины. Россия, наряду с США, Китаем и Индией, является участником Регионального Форума АСЕАН (АРФ), созданного в 1994 году как инструмента развития политических и экономических контактов стран АТР. </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2)Азиатско-Тихоокеанское экономическое сотрудничество (АТЭС – Asian Pacific Economic Cooperation) – одна из наиболее перспективных международных экономических структур. Она возникла в 1989 году и в настоящее время объединяет 19 государств Азии, Австралии, Северной и Южной Америки. В состав АТЭС входят такие крупные страны, как США, Китай, Япония, Канада, Австралия, Южная Корея, Индонезия. Цель организации – развитие экономического сотрудничества между странами Азиатско-Тихоокеанского региона (АТР). </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3)Южный Общий Рынок (МЕРКОСУР – Mercado Commun del Sur) был создан в 1990. В его состав входят Бразилия, Аргентина, Уругвай, Парагвай и Венесуэла, ассоциированными членами являются Чили, Колумбия, Перу, Эквадор и Боливия, наблюдателем - Мексика. Цель организации – создание единого экономического пространства на территории Латинской Америки.</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4) Евразийский экономический союз(ЕАЭС) - международная организация региональной экономической интеграции, обладающая международной правосубъектностью и учрежденная </w:t>
      </w:r>
      <w:hyperlink r:id="rId36" w:tgtFrame="_blank" w:history="1">
        <w:r w:rsidRPr="002D0237">
          <w:rPr>
            <w:rStyle w:val="a7"/>
            <w:rFonts w:ascii="Arial" w:hAnsi="Arial" w:cs="Arial"/>
            <w:color w:val="000000" w:themeColor="text1"/>
            <w:sz w:val="28"/>
            <w:szCs w:val="28"/>
          </w:rPr>
          <w:t>Договором о Евразийском экономическом союзе</w:t>
        </w:r>
      </w:hyperlink>
      <w:r w:rsidRPr="002D0237">
        <w:rPr>
          <w:rFonts w:ascii="Arial" w:hAnsi="Arial" w:cs="Arial"/>
          <w:color w:val="000000" w:themeColor="text1"/>
          <w:sz w:val="28"/>
          <w:szCs w:val="28"/>
        </w:rPr>
        <w:t>.В ЕАЭС обеспечивается свобода движения товаров, услуг, капитала и рабочей силы, а также проведение скоординированной, согласованной или единой политики в отраслях экономики.Государствами–членами Евразийского экономического союза являются Республика Армения, Республика Беларусь, Республика Казахстан, Кыргызская Республика и Российская Федерация. ЕАЭС создан в целях всесторонней модернизации, кооперации и повышения конкурентоспособности национальных экономик и создания условий для стабильного развития в интересах повышения жизненного уровня населения государств-членов.</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В последнее время одной из наиболее влиятельных международных экономических организаций стала ОПЕК – Организация стран-экспортёров нефти (Organization of the Petroleum Exporting Countries). Организация возникла в 1960 году В настоящее время в состав ОПЕК входит 14 государств: </w:t>
      </w:r>
      <w:hyperlink r:id="rId37" w:tooltip="Алжир" w:history="1">
        <w:r w:rsidRPr="002D0237">
          <w:rPr>
            <w:rStyle w:val="a7"/>
            <w:rFonts w:ascii="Arial" w:hAnsi="Arial" w:cs="Arial"/>
            <w:color w:val="000000" w:themeColor="text1"/>
            <w:sz w:val="28"/>
            <w:szCs w:val="28"/>
          </w:rPr>
          <w:t>Алжир</w:t>
        </w:r>
      </w:hyperlink>
      <w:r w:rsidRPr="002D0237">
        <w:rPr>
          <w:rFonts w:ascii="Arial" w:hAnsi="Arial" w:cs="Arial"/>
          <w:color w:val="000000" w:themeColor="text1"/>
          <w:sz w:val="28"/>
          <w:szCs w:val="28"/>
        </w:rPr>
        <w:t xml:space="preserve">, </w:t>
      </w:r>
      <w:hyperlink r:id="rId38" w:tooltip="Ангола" w:history="1">
        <w:r w:rsidRPr="002D0237">
          <w:rPr>
            <w:rStyle w:val="a7"/>
            <w:rFonts w:ascii="Arial" w:hAnsi="Arial" w:cs="Arial"/>
            <w:color w:val="000000" w:themeColor="text1"/>
            <w:sz w:val="28"/>
            <w:szCs w:val="28"/>
          </w:rPr>
          <w:t>Ангола</w:t>
        </w:r>
      </w:hyperlink>
      <w:r w:rsidRPr="002D0237">
        <w:rPr>
          <w:rFonts w:ascii="Arial" w:hAnsi="Arial" w:cs="Arial"/>
          <w:color w:val="000000" w:themeColor="text1"/>
          <w:sz w:val="28"/>
          <w:szCs w:val="28"/>
        </w:rPr>
        <w:t xml:space="preserve">, </w:t>
      </w:r>
      <w:hyperlink r:id="rId39" w:tooltip="Венесуэла" w:history="1">
        <w:r w:rsidRPr="002D0237">
          <w:rPr>
            <w:rStyle w:val="a7"/>
            <w:rFonts w:ascii="Arial" w:hAnsi="Arial" w:cs="Arial"/>
            <w:color w:val="000000" w:themeColor="text1"/>
            <w:sz w:val="28"/>
            <w:szCs w:val="28"/>
          </w:rPr>
          <w:t>Венесуэла</w:t>
        </w:r>
      </w:hyperlink>
      <w:r w:rsidRPr="002D0237">
        <w:rPr>
          <w:rFonts w:ascii="Arial" w:hAnsi="Arial" w:cs="Arial"/>
          <w:color w:val="000000" w:themeColor="text1"/>
          <w:sz w:val="28"/>
          <w:szCs w:val="28"/>
        </w:rPr>
        <w:t xml:space="preserve">, </w:t>
      </w:r>
      <w:hyperlink r:id="rId40" w:tooltip="Габон" w:history="1">
        <w:r w:rsidRPr="002D0237">
          <w:rPr>
            <w:rStyle w:val="a7"/>
            <w:rFonts w:ascii="Arial" w:hAnsi="Arial" w:cs="Arial"/>
            <w:color w:val="000000" w:themeColor="text1"/>
            <w:sz w:val="28"/>
            <w:szCs w:val="28"/>
          </w:rPr>
          <w:t>Габон</w:t>
        </w:r>
      </w:hyperlink>
      <w:r w:rsidRPr="002D0237">
        <w:rPr>
          <w:rFonts w:ascii="Arial" w:hAnsi="Arial" w:cs="Arial"/>
          <w:color w:val="000000" w:themeColor="text1"/>
          <w:sz w:val="28"/>
          <w:szCs w:val="28"/>
        </w:rPr>
        <w:t xml:space="preserve">, </w:t>
      </w:r>
      <w:hyperlink r:id="rId41" w:tooltip="Иран" w:history="1">
        <w:r w:rsidRPr="002D0237">
          <w:rPr>
            <w:rStyle w:val="a7"/>
            <w:rFonts w:ascii="Arial" w:hAnsi="Arial" w:cs="Arial"/>
            <w:color w:val="000000" w:themeColor="text1"/>
            <w:sz w:val="28"/>
            <w:szCs w:val="28"/>
          </w:rPr>
          <w:t>Иран</w:t>
        </w:r>
      </w:hyperlink>
      <w:r w:rsidRPr="002D0237">
        <w:rPr>
          <w:rFonts w:ascii="Arial" w:hAnsi="Arial" w:cs="Arial"/>
          <w:color w:val="000000" w:themeColor="text1"/>
          <w:sz w:val="28"/>
          <w:szCs w:val="28"/>
        </w:rPr>
        <w:t xml:space="preserve">, </w:t>
      </w:r>
      <w:hyperlink r:id="rId42" w:tooltip="Ирак" w:history="1">
        <w:r w:rsidRPr="002D0237">
          <w:rPr>
            <w:rStyle w:val="a7"/>
            <w:rFonts w:ascii="Arial" w:hAnsi="Arial" w:cs="Arial"/>
            <w:color w:val="000000" w:themeColor="text1"/>
            <w:sz w:val="28"/>
            <w:szCs w:val="28"/>
          </w:rPr>
          <w:t>Ирак</w:t>
        </w:r>
      </w:hyperlink>
      <w:r w:rsidRPr="002D0237">
        <w:rPr>
          <w:rFonts w:ascii="Arial" w:hAnsi="Arial" w:cs="Arial"/>
          <w:color w:val="000000" w:themeColor="text1"/>
          <w:sz w:val="28"/>
          <w:szCs w:val="28"/>
        </w:rPr>
        <w:t xml:space="preserve">, </w:t>
      </w:r>
      <w:hyperlink r:id="rId43" w:tooltip="Индонезия" w:history="1">
        <w:r w:rsidRPr="002D0237">
          <w:rPr>
            <w:rStyle w:val="a7"/>
            <w:rFonts w:ascii="Arial" w:hAnsi="Arial" w:cs="Arial"/>
            <w:color w:val="000000" w:themeColor="text1"/>
            <w:sz w:val="28"/>
            <w:szCs w:val="28"/>
          </w:rPr>
          <w:t>Индонезия</w:t>
        </w:r>
      </w:hyperlink>
      <w:r w:rsidRPr="002D0237">
        <w:rPr>
          <w:rFonts w:ascii="Arial" w:hAnsi="Arial" w:cs="Arial"/>
          <w:color w:val="000000" w:themeColor="text1"/>
          <w:sz w:val="28"/>
          <w:szCs w:val="28"/>
        </w:rPr>
        <w:t xml:space="preserve">, </w:t>
      </w:r>
      <w:hyperlink r:id="rId44" w:tooltip="Кувейт" w:history="1">
        <w:r w:rsidRPr="002D0237">
          <w:rPr>
            <w:rStyle w:val="a7"/>
            <w:rFonts w:ascii="Arial" w:hAnsi="Arial" w:cs="Arial"/>
            <w:color w:val="000000" w:themeColor="text1"/>
            <w:sz w:val="28"/>
            <w:szCs w:val="28"/>
          </w:rPr>
          <w:t>Кувейт</w:t>
        </w:r>
      </w:hyperlink>
      <w:r w:rsidRPr="002D0237">
        <w:rPr>
          <w:rFonts w:ascii="Arial" w:hAnsi="Arial" w:cs="Arial"/>
          <w:color w:val="000000" w:themeColor="text1"/>
          <w:sz w:val="28"/>
          <w:szCs w:val="28"/>
        </w:rPr>
        <w:t xml:space="preserve">, </w:t>
      </w:r>
      <w:hyperlink r:id="rId45" w:tooltip="Катар" w:history="1">
        <w:r w:rsidRPr="002D0237">
          <w:rPr>
            <w:rStyle w:val="a7"/>
            <w:rFonts w:ascii="Arial" w:hAnsi="Arial" w:cs="Arial"/>
            <w:color w:val="000000" w:themeColor="text1"/>
            <w:sz w:val="28"/>
            <w:szCs w:val="28"/>
          </w:rPr>
          <w:t>Катар</w:t>
        </w:r>
      </w:hyperlink>
      <w:r w:rsidRPr="002D0237">
        <w:rPr>
          <w:rFonts w:ascii="Arial" w:hAnsi="Arial" w:cs="Arial"/>
          <w:color w:val="000000" w:themeColor="text1"/>
          <w:sz w:val="28"/>
          <w:szCs w:val="28"/>
        </w:rPr>
        <w:t xml:space="preserve">, </w:t>
      </w:r>
      <w:hyperlink r:id="rId46" w:tooltip="Ливия" w:history="1">
        <w:r w:rsidRPr="002D0237">
          <w:rPr>
            <w:rStyle w:val="a7"/>
            <w:rFonts w:ascii="Arial" w:hAnsi="Arial" w:cs="Arial"/>
            <w:color w:val="000000" w:themeColor="text1"/>
            <w:sz w:val="28"/>
            <w:szCs w:val="28"/>
          </w:rPr>
          <w:t>Ливия</w:t>
        </w:r>
      </w:hyperlink>
      <w:r w:rsidRPr="002D0237">
        <w:rPr>
          <w:rFonts w:ascii="Arial" w:hAnsi="Arial" w:cs="Arial"/>
          <w:color w:val="000000" w:themeColor="text1"/>
          <w:sz w:val="28"/>
          <w:szCs w:val="28"/>
        </w:rPr>
        <w:t xml:space="preserve">, </w:t>
      </w:r>
      <w:hyperlink r:id="rId47" w:tooltip="Объединённые Арабские Эмираты" w:history="1">
        <w:r w:rsidRPr="002D0237">
          <w:rPr>
            <w:rStyle w:val="a7"/>
            <w:rFonts w:ascii="Arial" w:hAnsi="Arial" w:cs="Arial"/>
            <w:color w:val="000000" w:themeColor="text1"/>
            <w:sz w:val="28"/>
            <w:szCs w:val="28"/>
          </w:rPr>
          <w:t>Объединённые Арабские Эмираты</w:t>
        </w:r>
      </w:hyperlink>
      <w:r w:rsidRPr="002D0237">
        <w:rPr>
          <w:rFonts w:ascii="Arial" w:hAnsi="Arial" w:cs="Arial"/>
          <w:color w:val="000000" w:themeColor="text1"/>
          <w:sz w:val="28"/>
          <w:szCs w:val="28"/>
        </w:rPr>
        <w:t xml:space="preserve">, </w:t>
      </w:r>
      <w:hyperlink r:id="rId48" w:tooltip="Нигерия" w:history="1">
        <w:r w:rsidRPr="002D0237">
          <w:rPr>
            <w:rStyle w:val="a7"/>
            <w:rFonts w:ascii="Arial" w:hAnsi="Arial" w:cs="Arial"/>
            <w:color w:val="000000" w:themeColor="text1"/>
            <w:sz w:val="28"/>
            <w:szCs w:val="28"/>
          </w:rPr>
          <w:t>Нигерия</w:t>
        </w:r>
      </w:hyperlink>
      <w:r w:rsidRPr="002D0237">
        <w:rPr>
          <w:rFonts w:ascii="Arial" w:hAnsi="Arial" w:cs="Arial"/>
          <w:color w:val="000000" w:themeColor="text1"/>
          <w:sz w:val="28"/>
          <w:szCs w:val="28"/>
        </w:rPr>
        <w:t xml:space="preserve">, </w:t>
      </w:r>
      <w:hyperlink r:id="rId49" w:tooltip="Саудовская Аравия" w:history="1">
        <w:r w:rsidRPr="002D0237">
          <w:rPr>
            <w:rStyle w:val="a7"/>
            <w:rFonts w:ascii="Arial" w:hAnsi="Arial" w:cs="Arial"/>
            <w:color w:val="000000" w:themeColor="text1"/>
            <w:sz w:val="28"/>
            <w:szCs w:val="28"/>
          </w:rPr>
          <w:t>Саудовская Аравия</w:t>
        </w:r>
      </w:hyperlink>
      <w:r w:rsidRPr="002D0237">
        <w:rPr>
          <w:rFonts w:ascii="Arial" w:hAnsi="Arial" w:cs="Arial"/>
          <w:color w:val="000000" w:themeColor="text1"/>
          <w:sz w:val="28"/>
          <w:szCs w:val="28"/>
        </w:rPr>
        <w:t xml:space="preserve"> и </w:t>
      </w:r>
      <w:hyperlink r:id="rId50" w:tooltip="Эквадор" w:history="1">
        <w:r w:rsidRPr="002D0237">
          <w:rPr>
            <w:rStyle w:val="a7"/>
            <w:rFonts w:ascii="Arial" w:hAnsi="Arial" w:cs="Arial"/>
            <w:color w:val="000000" w:themeColor="text1"/>
            <w:sz w:val="28"/>
            <w:szCs w:val="28"/>
          </w:rPr>
          <w:t>Эквадор</w:t>
        </w:r>
      </w:hyperlink>
      <w:r w:rsidRPr="002D0237">
        <w:rPr>
          <w:rFonts w:ascii="Arial" w:hAnsi="Arial" w:cs="Arial"/>
          <w:color w:val="000000" w:themeColor="text1"/>
          <w:sz w:val="28"/>
          <w:szCs w:val="28"/>
        </w:rPr>
        <w:t>.</w:t>
      </w:r>
      <w:r w:rsidRPr="002D0237">
        <w:rPr>
          <w:rFonts w:ascii="Arial" w:eastAsia="Times New Roman" w:hAnsi="Arial" w:cs="Arial"/>
          <w:color w:val="000000" w:themeColor="text1"/>
          <w:sz w:val="28"/>
          <w:szCs w:val="28"/>
          <w:lang w:eastAsia="ru-RU"/>
        </w:rPr>
        <w:t xml:space="preserve"> Организация контролирует около 2/3 мировых запасов нефти и 40% её производства. Россия является крупнейшим производителем нефти, не входящим в ОПЕК.</w:t>
      </w: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Default="00F73A76" w:rsidP="00FB2F28">
      <w:pPr>
        <w:spacing w:after="0" w:line="240" w:lineRule="auto"/>
        <w:ind w:firstLine="142"/>
        <w:rPr>
          <w:rFonts w:ascii="Arial" w:eastAsia="Times New Roman" w:hAnsi="Arial" w:cs="Arial"/>
          <w:color w:val="000000" w:themeColor="text1"/>
          <w:sz w:val="28"/>
          <w:szCs w:val="28"/>
          <w:lang w:eastAsia="ru-RU"/>
        </w:rPr>
      </w:pPr>
    </w:p>
    <w:p w:rsidR="000D5694" w:rsidRPr="002D0237" w:rsidRDefault="000D5694"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52. Проблема деофшоризации мировой экономики.</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Офшорные зоны (или офшорные инвестиционные центры) — территории, привлекательные для международных финансовых операций благодаря низким ставкам налогов, четкому законодательству об инвестиционных фондах и трастовых операциях, упрощенной регистрации компаний, конфиденциональности сделок. Эти благоприятные условия позволяют снизить расходы (операционные, налоговые), ускорить оборот капитала, увеличить прибыль, освоить новый рынок. Однако некоторые офшоры имеют виртуальный характер, ограничиваясь лишь регистрацией компаний и хранением их документов, и используются для обслуживания «теневой» экономики, легализации доходов, полученных преступным путем.</w:t>
      </w:r>
      <w:r w:rsidRPr="002D0237">
        <w:rPr>
          <w:rFonts w:ascii="Arial" w:hAnsi="Arial" w:cs="Arial"/>
          <w:color w:val="000000" w:themeColor="text1"/>
          <w:sz w:val="28"/>
          <w:szCs w:val="28"/>
        </w:rPr>
        <w:br/>
        <w:t>Офшорные зоны сосредоточены в основном в Карибском бассейне, Западной Европе. Обычно они специализируются на определенных операциях, например Виргинские острова — на конфиденциальных финансовых сделках (преимущественно граждан и организаций США); Панама — на обслуживании судовладельцев (зарегистрированные там суда получают право ходить под панамским флагом); Каймановы острова — на страховании (упрощенная процедура лицензирования этой деятельности) и т.д.</w:t>
      </w:r>
      <w:r w:rsidRPr="002D0237">
        <w:rPr>
          <w:rFonts w:ascii="Arial" w:hAnsi="Arial" w:cs="Arial"/>
          <w:color w:val="000000" w:themeColor="text1"/>
          <w:sz w:val="28"/>
          <w:szCs w:val="28"/>
        </w:rPr>
        <w:br/>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Росту популярности офшорных зон способствовала международная юридическая практика в форме разработки и заключения "Соглашений об избежании двойного налогообложения - СИДН".</w:t>
      </w:r>
      <w:r w:rsidRPr="002D0237">
        <w:rPr>
          <w:rFonts w:ascii="Arial" w:hAnsi="Arial" w:cs="Arial"/>
          <w:color w:val="000000" w:themeColor="text1"/>
          <w:sz w:val="28"/>
          <w:szCs w:val="28"/>
        </w:rPr>
        <w:br/>
      </w:r>
      <w:r w:rsidRPr="002D0237">
        <w:rPr>
          <w:rFonts w:ascii="Arial" w:hAnsi="Arial" w:cs="Arial"/>
          <w:color w:val="000000" w:themeColor="text1"/>
          <w:sz w:val="28"/>
          <w:szCs w:val="28"/>
        </w:rPr>
        <w:br/>
        <w:t>Указанные соглашения позволяют гражданам и фирмам стран, подписавших такие двусторонние договоры, платить налоги лишь в той стране, в которой образуются доходы.</w:t>
      </w:r>
      <w:r w:rsidRPr="002D0237">
        <w:rPr>
          <w:rFonts w:ascii="Arial" w:hAnsi="Arial" w:cs="Arial"/>
          <w:color w:val="000000" w:themeColor="text1"/>
          <w:sz w:val="28"/>
          <w:szCs w:val="28"/>
        </w:rPr>
        <w:br/>
      </w:r>
      <w:r w:rsidRPr="002D0237">
        <w:rPr>
          <w:rFonts w:ascii="Arial" w:hAnsi="Arial" w:cs="Arial"/>
          <w:color w:val="000000" w:themeColor="text1"/>
          <w:sz w:val="28"/>
          <w:szCs w:val="28"/>
        </w:rPr>
        <w:br/>
        <w:t>В настоящее время в мировой юридической практике используются две модели СИДН, разработанные международной Организацией Экономического Сотрудничества и Развития (ОЭСР) и Организацией Объединенных Наций (ООН).</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hAnsi="Arial" w:cs="Arial"/>
          <w:color w:val="000000" w:themeColor="text1"/>
          <w:sz w:val="28"/>
          <w:szCs w:val="28"/>
        </w:rPr>
        <w:t>Антиофшорная политика. Первая волна глобального финансового кризиса, начавшегося в 2008 г., вызвала ряд новых инициатив в антиофшорной политике мирового сообщества. Основные акценты в ней были перенесены на:</w:t>
      </w:r>
      <w:r w:rsidRPr="002D0237">
        <w:rPr>
          <w:rFonts w:ascii="Arial" w:hAnsi="Arial" w:cs="Arial"/>
          <w:color w:val="000000" w:themeColor="text1"/>
          <w:sz w:val="28"/>
          <w:szCs w:val="28"/>
        </w:rPr>
        <w:br/>
      </w:r>
      <w:r w:rsidRPr="002D0237">
        <w:rPr>
          <w:rFonts w:ascii="Arial" w:hAnsi="Arial" w:cs="Arial"/>
          <w:color w:val="000000" w:themeColor="text1"/>
          <w:sz w:val="28"/>
          <w:szCs w:val="28"/>
        </w:rPr>
        <w:br/>
        <w:t>· усиление прозрачности офшоров;</w:t>
      </w:r>
      <w:r w:rsidRPr="002D0237">
        <w:rPr>
          <w:rFonts w:ascii="Arial" w:hAnsi="Arial" w:cs="Arial"/>
          <w:color w:val="000000" w:themeColor="text1"/>
          <w:sz w:val="28"/>
          <w:szCs w:val="28"/>
        </w:rPr>
        <w:br/>
      </w:r>
      <w:r w:rsidRPr="002D0237">
        <w:rPr>
          <w:rFonts w:ascii="Arial" w:hAnsi="Arial" w:cs="Arial"/>
          <w:color w:val="000000" w:themeColor="text1"/>
          <w:sz w:val="28"/>
          <w:szCs w:val="28"/>
        </w:rPr>
        <w:br/>
        <w:t>· выявление их реальных бенефициаров;</w:t>
      </w:r>
      <w:r w:rsidRPr="002D0237">
        <w:rPr>
          <w:rFonts w:ascii="Arial" w:hAnsi="Arial" w:cs="Arial"/>
          <w:color w:val="000000" w:themeColor="text1"/>
          <w:sz w:val="28"/>
          <w:szCs w:val="28"/>
        </w:rPr>
        <w:br/>
      </w:r>
      <w:r w:rsidRPr="002D0237">
        <w:rPr>
          <w:rFonts w:ascii="Arial" w:hAnsi="Arial" w:cs="Arial"/>
          <w:color w:val="000000" w:themeColor="text1"/>
          <w:sz w:val="28"/>
          <w:szCs w:val="28"/>
        </w:rPr>
        <w:br/>
        <w:t>· расширение сотрудничества офшоров с властями офшорных стран.</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Default="00F73A76" w:rsidP="00FB2F28">
      <w:pPr>
        <w:spacing w:after="0" w:line="240" w:lineRule="auto"/>
        <w:ind w:firstLine="142"/>
        <w:rPr>
          <w:rFonts w:ascii="Arial" w:eastAsia="Times New Roman" w:hAnsi="Arial" w:cs="Arial"/>
          <w:color w:val="000000" w:themeColor="text1"/>
          <w:sz w:val="28"/>
          <w:szCs w:val="28"/>
          <w:lang w:eastAsia="ru-RU"/>
        </w:rPr>
      </w:pPr>
    </w:p>
    <w:p w:rsidR="000D5694" w:rsidRPr="002D0237" w:rsidRDefault="000D5694"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b/>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53. Риски в международных валютно-кредитных и финансовых отношениях и способы их страхования.</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Рассмотрим основные виды рисков операции на мировом финансовом рынке:</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1)Суверенный риск- опасность потерь в связи с невыполнением гос-вом своих международных обязательств; 2) Страновой риск-опасность потерь при невыполнении этих международных обязательств юр. Лицами определенной страны в связи с ухудшением экономической и политической ситуации, введением запретов. 3)Стратегический риск связан с ошибочной стратегией участника мирового финн рынка, нереальным прогнозированием его состояния и неправильным выбором иностранных контрагентов; 4)Рыночный риск- вероятность убытков в результате неблагоприятных изменении рыночных условии операции на мировом финансовом рынке по сравнению с договорными. 5) системный риск- риск потерь, обусловленных циклическим развитием экономики; 6) Правовой риск- риск потерь в связи с непредвиденными изменениями законодательства страны иностранного контрагента международной сделки; 7) Репутационный риск- риск потери деловой репутации участника мирового финансового рынка; 8) операционный риск- риск потерь в связи с нарушениями операционной техники проведения международной сделки; 9)Технологический риск-риск потерь в связи с использованием электронного бэнкинга и интернета с участием посредника- провайдера. 10)Риск нехватки ликвидности возникает при неспособности участника мирового финансового рынка выполнить свои обязательства по заключенной сделке. 11) Валютные риски- опасность валютных потерь в результате изменения курса валюты цены контракта по отношению к валюте платежа в период между заключением и исполнением сделки.12) Кредитный риск- риск неуплаты заемщиком основного долга и процентов по кредиту, причитающихся  кредитору- несет кредитор при неплатежеспособности заемщика. 13) Процентный риск- опасность потерь, связанных с изменением рыночной процентной ставки по сравнению со ставкой, предусмотренной кредитным отношением, в период между его подписанием и осуществлением платежа.14) Трансфертный риск- риск невозможности перевода должником средств кредитору в погашение долга в связи с введением ограничении или объявлением дефолта в стране-заемщике.</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Основные способы страхования рисков: односторонние действия; взаимная договоренность участников сделки; страхование в специализированных  компаниях; гарантии (банковские, государственные). Нередко эти способы комбинируются. В целях достижения оптимального страхования рисков контрагенты допускают уступки по одним статьям соглашения, добиваясь преимуществ по другим. </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p>
    <w:p w:rsidR="004D67BC" w:rsidRDefault="004D67BC" w:rsidP="00FB2F28">
      <w:pPr>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spacing w:after="0" w:line="240" w:lineRule="auto"/>
        <w:ind w:firstLine="142"/>
        <w:rPr>
          <w:rFonts w:ascii="Arial" w:eastAsia="Times New Roman" w:hAnsi="Arial" w:cs="Arial"/>
          <w:color w:val="000000" w:themeColor="text1"/>
          <w:sz w:val="28"/>
          <w:szCs w:val="28"/>
          <w:lang w:eastAsia="ru-RU"/>
        </w:rPr>
      </w:pPr>
    </w:p>
    <w:p w:rsidR="000D5694" w:rsidRPr="002D0237" w:rsidRDefault="000D5694"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spacing w:after="0" w:line="240" w:lineRule="auto"/>
        <w:ind w:firstLine="142"/>
        <w:rPr>
          <w:rFonts w:ascii="Arial" w:hAnsi="Arial" w:cs="Arial"/>
          <w:b/>
          <w:color w:val="000000" w:themeColor="text1"/>
          <w:sz w:val="28"/>
          <w:szCs w:val="28"/>
          <w:lang w:eastAsia="ru-RU"/>
        </w:rPr>
      </w:pPr>
      <w:r w:rsidRPr="002D0237">
        <w:rPr>
          <w:rFonts w:ascii="Arial" w:hAnsi="Arial" w:cs="Arial"/>
          <w:b/>
          <w:color w:val="000000" w:themeColor="text1"/>
          <w:sz w:val="28"/>
          <w:szCs w:val="28"/>
          <w:lang w:eastAsia="ru-RU"/>
        </w:rPr>
        <w:lastRenderedPageBreak/>
        <w:t>54. Валютная система и валютная политика РФ в условиях обострения геополитических рисков</w:t>
      </w:r>
    </w:p>
    <w:p w:rsidR="004D67BC" w:rsidRPr="002D0237" w:rsidRDefault="004D67BC" w:rsidP="00FB2F28">
      <w:pPr>
        <w:spacing w:after="0" w:line="240" w:lineRule="auto"/>
        <w:ind w:firstLine="142"/>
        <w:rPr>
          <w:rFonts w:ascii="Arial" w:hAnsi="Arial" w:cs="Arial"/>
          <w:color w:val="000000" w:themeColor="text1"/>
          <w:sz w:val="28"/>
          <w:szCs w:val="28"/>
          <w:shd w:val="clear" w:color="auto" w:fill="FFFFFF"/>
        </w:rPr>
      </w:pPr>
      <w:r w:rsidRPr="002D0237">
        <w:rPr>
          <w:rFonts w:ascii="Arial" w:hAnsi="Arial" w:cs="Arial"/>
          <w:b/>
          <w:color w:val="000000" w:themeColor="text1"/>
          <w:sz w:val="28"/>
          <w:szCs w:val="28"/>
          <w:shd w:val="clear" w:color="auto" w:fill="FFFFFF"/>
        </w:rPr>
        <w:t>Валютная система</w:t>
      </w:r>
      <w:r w:rsidRPr="002D0237">
        <w:rPr>
          <w:rFonts w:ascii="Arial" w:hAnsi="Arial" w:cs="Arial"/>
          <w:color w:val="000000" w:themeColor="text1"/>
          <w:sz w:val="28"/>
          <w:szCs w:val="28"/>
          <w:shd w:val="clear" w:color="auto" w:fill="FFFFFF"/>
        </w:rPr>
        <w:t xml:space="preserve"> -  форма организации и регулирования валютных отношений, закрепленная национальным законодательством или межгосударственными соглашениями. Различаются национальная, мировая, международная (региональная) валютные системы.</w:t>
      </w:r>
    </w:p>
    <w:p w:rsidR="004D67BC" w:rsidRPr="002D0237" w:rsidRDefault="004D67BC" w:rsidP="00FB2F28">
      <w:pPr>
        <w:spacing w:after="0" w:line="240" w:lineRule="auto"/>
        <w:ind w:firstLine="142"/>
        <w:rPr>
          <w:rFonts w:ascii="Arial" w:hAnsi="Arial" w:cs="Arial"/>
          <w:b/>
          <w:color w:val="000000" w:themeColor="text1"/>
          <w:sz w:val="28"/>
          <w:szCs w:val="28"/>
          <w:lang w:eastAsia="ru-RU"/>
        </w:rPr>
      </w:pPr>
      <w:r w:rsidRPr="002D0237">
        <w:rPr>
          <w:rFonts w:ascii="Arial" w:hAnsi="Arial" w:cs="Arial"/>
          <w:b/>
          <w:color w:val="000000" w:themeColor="text1"/>
          <w:sz w:val="28"/>
          <w:szCs w:val="28"/>
          <w:lang w:eastAsia="ru-RU"/>
        </w:rPr>
        <w:t>Принципы валютной системы:</w:t>
      </w:r>
    </w:p>
    <w:p w:rsidR="004D67BC" w:rsidRPr="002D0237" w:rsidRDefault="004D67BC" w:rsidP="00FB2F28">
      <w:pPr>
        <w:spacing w:after="0" w:line="240" w:lineRule="auto"/>
        <w:ind w:firstLine="142"/>
        <w:rPr>
          <w:rFonts w:ascii="Arial" w:hAnsi="Arial" w:cs="Arial"/>
          <w:color w:val="000000" w:themeColor="text1"/>
          <w:sz w:val="28"/>
          <w:szCs w:val="28"/>
          <w:lang w:eastAsia="ru-RU"/>
        </w:rPr>
      </w:pPr>
      <w:r w:rsidRPr="002D0237">
        <w:rPr>
          <w:rFonts w:ascii="Arial" w:hAnsi="Arial" w:cs="Arial"/>
          <w:color w:val="000000" w:themeColor="text1"/>
          <w:sz w:val="28"/>
          <w:szCs w:val="28"/>
          <w:lang w:eastAsia="ru-RU"/>
        </w:rPr>
        <w:t>1) Основа валютной системы- российский рубль;2) Официальная демонетизация золота проявилась в отмене золотого содержания рубля и золотых паритетов;3) Применяется режим регулирующего плавающего рубля; 4) Сформирована институциональная структура государственных органов валютного регулирования и валютного контроля</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Валютная политика России- совокупность мер в сфере валютно-экономических отношении в соответствии с задачами социально-экономического развития стран-направлена на достижение внутреннего и внешнего равновесия экономики. Ее цель- способствовать реализации макроэкономической политики, направленной на устойчивый экономический рост, снижение безработицы, равновесие платежного баланса, сдерживание инфляции и резких колебании валютного курса рубля.</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Следует отметить, что Россия проводит политику накопления и сохранения международных резервов, что позволило использовать их для реализации правительственной антикризисной программы. Достигнуты успехи в осуществлении валютного регулирования и валютного контроля, в РФ это проявилось в отмене валютных ограничении по текущим, а затем по финансовым операциям платежного баланса.</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Усовершенствованы механизмы противодействия легализации доходов, в том числе валютных, полученных преступным путем, и финансированию терроризма.</w:t>
      </w: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Деятельность на валютном рынке обеспечивают: Валютное регулирование: ЦБ; Валютный контроль: ЦБ, Правительство РФ; Агенты валютного контроля; Проведение операций: уполномоченные организации, имеющие лицензию. </w:t>
      </w:r>
    </w:p>
    <w:p w:rsidR="004D67BC" w:rsidRPr="002D0237" w:rsidRDefault="004D67BC" w:rsidP="00FB2F28">
      <w:pPr>
        <w:spacing w:after="0" w:line="240" w:lineRule="auto"/>
        <w:ind w:firstLine="142"/>
        <w:rPr>
          <w:rFonts w:ascii="Arial" w:hAnsi="Arial" w:cs="Arial"/>
          <w:b/>
          <w:color w:val="000000" w:themeColor="text1"/>
          <w:sz w:val="28"/>
          <w:szCs w:val="28"/>
        </w:rPr>
      </w:pPr>
      <w:r w:rsidRPr="002D0237">
        <w:rPr>
          <w:rFonts w:ascii="Arial" w:hAnsi="Arial" w:cs="Arial"/>
          <w:b/>
          <w:color w:val="000000" w:themeColor="text1"/>
          <w:sz w:val="28"/>
          <w:szCs w:val="28"/>
        </w:rPr>
        <w:t>Геополитические риски:</w:t>
      </w:r>
    </w:p>
    <w:p w:rsidR="004D67BC" w:rsidRPr="002D0237" w:rsidRDefault="004D67BC" w:rsidP="00FB2F28">
      <w:pPr>
        <w:numPr>
          <w:ilvl w:val="0"/>
          <w:numId w:val="15"/>
        </w:numPr>
        <w:spacing w:after="0" w:line="240" w:lineRule="auto"/>
        <w:ind w:left="0" w:firstLine="142"/>
        <w:rPr>
          <w:rFonts w:ascii="Arial" w:hAnsi="Arial" w:cs="Arial"/>
          <w:color w:val="000000" w:themeColor="text1"/>
          <w:sz w:val="28"/>
          <w:szCs w:val="28"/>
        </w:rPr>
      </w:pPr>
      <w:r w:rsidRPr="002D0237">
        <w:rPr>
          <w:rFonts w:ascii="Arial" w:hAnsi="Arial" w:cs="Arial"/>
          <w:color w:val="000000" w:themeColor="text1"/>
          <w:sz w:val="28"/>
          <w:szCs w:val="28"/>
        </w:rPr>
        <w:t>санкции против России и «политика сдерживания», проводимая США и ЕС</w:t>
      </w:r>
    </w:p>
    <w:p w:rsidR="004D67BC" w:rsidRPr="002D0237" w:rsidRDefault="004D67BC" w:rsidP="00FB2F28">
      <w:pPr>
        <w:numPr>
          <w:ilvl w:val="0"/>
          <w:numId w:val="15"/>
        </w:numPr>
        <w:spacing w:after="0" w:line="240" w:lineRule="auto"/>
        <w:ind w:left="0" w:firstLine="142"/>
        <w:rPr>
          <w:rFonts w:ascii="Arial" w:hAnsi="Arial" w:cs="Arial"/>
          <w:color w:val="000000" w:themeColor="text1"/>
          <w:sz w:val="28"/>
          <w:szCs w:val="28"/>
        </w:rPr>
      </w:pPr>
      <w:r w:rsidRPr="002D0237">
        <w:rPr>
          <w:rFonts w:ascii="Arial" w:hAnsi="Arial" w:cs="Arial"/>
          <w:color w:val="000000" w:themeColor="text1"/>
          <w:sz w:val="28"/>
          <w:szCs w:val="28"/>
        </w:rPr>
        <w:t>военные конфликты на Украине и в Сирии</w:t>
      </w:r>
    </w:p>
    <w:p w:rsidR="004D67BC" w:rsidRPr="002D0237" w:rsidRDefault="004D67BC" w:rsidP="00FB2F28">
      <w:pPr>
        <w:numPr>
          <w:ilvl w:val="0"/>
          <w:numId w:val="15"/>
        </w:numPr>
        <w:spacing w:after="0" w:line="240" w:lineRule="auto"/>
        <w:ind w:left="0" w:firstLine="142"/>
        <w:rPr>
          <w:rFonts w:ascii="Arial" w:hAnsi="Arial" w:cs="Arial"/>
          <w:color w:val="000000" w:themeColor="text1"/>
          <w:sz w:val="28"/>
          <w:szCs w:val="28"/>
        </w:rPr>
      </w:pPr>
      <w:r w:rsidRPr="002D0237">
        <w:rPr>
          <w:rFonts w:ascii="Arial" w:hAnsi="Arial" w:cs="Arial"/>
          <w:color w:val="000000" w:themeColor="text1"/>
          <w:sz w:val="28"/>
          <w:szCs w:val="28"/>
        </w:rPr>
        <w:t>изменение рыночной конъюнктуры на рынке нефти (как следствие политических решений)</w:t>
      </w:r>
    </w:p>
    <w:p w:rsidR="004D67BC" w:rsidRPr="002D0237" w:rsidRDefault="004D67BC" w:rsidP="00FB2F28">
      <w:pPr>
        <w:spacing w:after="0" w:line="240" w:lineRule="auto"/>
        <w:ind w:firstLine="142"/>
        <w:rPr>
          <w:rFonts w:ascii="Arial" w:hAnsi="Arial" w:cs="Arial"/>
          <w:b/>
          <w:color w:val="000000" w:themeColor="text1"/>
          <w:sz w:val="28"/>
          <w:szCs w:val="28"/>
        </w:rPr>
      </w:pPr>
      <w:r w:rsidRPr="002D0237">
        <w:rPr>
          <w:rFonts w:ascii="Arial" w:hAnsi="Arial" w:cs="Arial"/>
          <w:b/>
          <w:color w:val="000000" w:themeColor="text1"/>
          <w:sz w:val="28"/>
          <w:szCs w:val="28"/>
        </w:rPr>
        <w:t xml:space="preserve">Действия ЦБ в условиях рисков: </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 Валютные интервенции: продажа 700 млн. долл. в 2015 году</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 Поддержка ликвидности: аукционы РЕПО, кредитные аукционы под залог нерыночного обеспечения</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 Переход к плавающему курсу</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 Управление ключевой ставкой</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Целями введения данных инструментов являлось обеспечение банков необходимым объемом валютной ликвидности для комфортного прохождения пика по внешним выплатам корпоративного сектора в I квартале 2015 года и, соответственно, сглаживание колебаний валютного курса. В течение последних нескольких месяцев 2016 рубль демонстрировал устойчивость к волатильности на рынках и цене на нефть. Стабильность национальной валюты была также подкреплена значительным сокращением долговых выплат и валютных спекуляций на внутреннем рынке.</w:t>
      </w:r>
    </w:p>
    <w:p w:rsidR="00F73A76" w:rsidRPr="002D0237" w:rsidRDefault="00F73A76" w:rsidP="00FB2F28">
      <w:pPr>
        <w:spacing w:after="0" w:line="240" w:lineRule="auto"/>
        <w:ind w:firstLine="142"/>
        <w:rPr>
          <w:rFonts w:ascii="Arial" w:hAnsi="Arial" w:cs="Arial"/>
          <w:color w:val="000000" w:themeColor="text1"/>
          <w:sz w:val="28"/>
          <w:szCs w:val="28"/>
        </w:rPr>
      </w:pPr>
    </w:p>
    <w:p w:rsidR="00F73A76" w:rsidRPr="002D0237" w:rsidRDefault="00F73A76" w:rsidP="00FB2F28">
      <w:pPr>
        <w:spacing w:after="0" w:line="240" w:lineRule="auto"/>
        <w:ind w:firstLine="142"/>
        <w:rPr>
          <w:rFonts w:ascii="Arial" w:hAnsi="Arial" w:cs="Arial"/>
          <w:color w:val="000000" w:themeColor="text1"/>
          <w:sz w:val="28"/>
          <w:szCs w:val="28"/>
        </w:rPr>
      </w:pPr>
    </w:p>
    <w:p w:rsidR="004D67BC" w:rsidRPr="002D0237" w:rsidRDefault="004D67BC" w:rsidP="00FB2F28">
      <w:pPr>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55. Валютное регулирование и валютный контроль в современной России.</w:t>
      </w:r>
      <w:r w:rsidRPr="002D0237">
        <w:rPr>
          <w:rFonts w:ascii="Arial" w:eastAsia="Times New Roman" w:hAnsi="Arial" w:cs="Arial"/>
          <w:color w:val="000000" w:themeColor="text1"/>
          <w:sz w:val="28"/>
          <w:szCs w:val="28"/>
          <w:lang w:eastAsia="ru-RU"/>
        </w:rPr>
        <w:t xml:space="preserve"> </w:t>
      </w:r>
    </w:p>
    <w:p w:rsidR="004D67BC" w:rsidRPr="002D0237" w:rsidRDefault="004D67BC" w:rsidP="00FB2F28">
      <w:pPr>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color w:val="000000" w:themeColor="text1"/>
          <w:sz w:val="28"/>
          <w:szCs w:val="28"/>
          <w:lang w:eastAsia="ru-RU"/>
        </w:rPr>
        <w:t>Валютное регулирование- совокупность государственных мер по реализации валютной политики в целях повышения ее эффективности. Для обеспечения валютно-экономической безопасности РФ осуществляется валютное регулирование в целях пресечения валютной спекуляции, манипулятивных сделок на валютном рынке с неправомерным использованием инсайдерской информации. Актуальной задачей валютного регулирования является сдерживание оттока капитала за рубеж, особенно нелегально, в том числе путем применения санкции. Законодательные акты принимают- Президент, ГосДума, Совет Федерации Федерального Собрания. Валютное законодательство основано на Законе «О валютном регулировании и валютном контроле»(1992 с изменениями 2001,2003гг.)</w:t>
      </w:r>
    </w:p>
    <w:p w:rsidR="004D67BC" w:rsidRPr="002D0237" w:rsidRDefault="004D67BC" w:rsidP="00FB2F28">
      <w:pPr>
        <w:spacing w:after="0" w:line="240" w:lineRule="auto"/>
        <w:ind w:firstLine="142"/>
        <w:rPr>
          <w:rStyle w:val="FontStyle85"/>
          <w:rFonts w:ascii="Arial" w:eastAsia="Times New Roman" w:hAnsi="Arial" w:cs="Arial"/>
          <w:color w:val="000000" w:themeColor="text1"/>
          <w:sz w:val="28"/>
          <w:szCs w:val="28"/>
          <w:lang w:eastAsia="ru-RU"/>
        </w:rPr>
      </w:pPr>
      <w:r w:rsidRPr="002D0237">
        <w:rPr>
          <w:rStyle w:val="FontStyle85"/>
          <w:rFonts w:ascii="Arial" w:hAnsi="Arial" w:cs="Arial"/>
          <w:color w:val="000000" w:themeColor="text1"/>
          <w:sz w:val="28"/>
          <w:szCs w:val="28"/>
        </w:rPr>
        <w:t>Валютный контроль является средством реализации валютной политики. Его цель- обеспечивать соблюдение резидентами и нерезидентами-участниками внешнеэкономической деятельности России валютного законодательства, осуществлять проверку обоснованности платежей в инвалюте, полноты и объективности учета и отчетности по валютным операциям и рублевым сделкам нерезидентов.</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Fonts w:ascii="Arial" w:eastAsia="Calibri" w:hAnsi="Arial" w:cs="Arial"/>
          <w:color w:val="000000" w:themeColor="text1"/>
          <w:sz w:val="28"/>
          <w:szCs w:val="28"/>
        </w:rPr>
        <w:t>Основным органом валютного контроля в</w:t>
      </w:r>
      <w:r w:rsidRPr="002D0237">
        <w:rPr>
          <w:rFonts w:ascii="Arial" w:hAnsi="Arial" w:cs="Arial"/>
          <w:color w:val="000000" w:themeColor="text1"/>
          <w:sz w:val="28"/>
          <w:szCs w:val="28"/>
        </w:rPr>
        <w:t xml:space="preserve"> РФ является ЦБ РФ, который:1)</w:t>
      </w:r>
      <w:r w:rsidRPr="002D0237">
        <w:rPr>
          <w:rFonts w:ascii="Arial" w:eastAsia="Calibri" w:hAnsi="Arial" w:cs="Arial"/>
          <w:color w:val="000000" w:themeColor="text1"/>
          <w:sz w:val="28"/>
          <w:szCs w:val="28"/>
        </w:rPr>
        <w:t>определяет сферу и порядок обращения в России иностранной валюты и ценны</w:t>
      </w:r>
      <w:r w:rsidRPr="002D0237">
        <w:rPr>
          <w:rFonts w:ascii="Arial" w:hAnsi="Arial" w:cs="Arial"/>
          <w:color w:val="000000" w:themeColor="text1"/>
          <w:sz w:val="28"/>
          <w:szCs w:val="28"/>
        </w:rPr>
        <w:t>х бумаг в иностранной валюте;2)</w:t>
      </w:r>
      <w:r w:rsidRPr="002D0237">
        <w:rPr>
          <w:rFonts w:ascii="Arial" w:eastAsia="Calibri" w:hAnsi="Arial" w:cs="Arial"/>
          <w:color w:val="000000" w:themeColor="text1"/>
          <w:sz w:val="28"/>
          <w:szCs w:val="28"/>
        </w:rPr>
        <w:t xml:space="preserve"> издает нормативные акты, обязательные к исполнению </w:t>
      </w:r>
      <w:r w:rsidRPr="002D0237">
        <w:rPr>
          <w:rFonts w:ascii="Arial" w:hAnsi="Arial" w:cs="Arial"/>
          <w:color w:val="000000" w:themeColor="text1"/>
          <w:sz w:val="28"/>
          <w:szCs w:val="28"/>
        </w:rPr>
        <w:t>резидентами и нерезидентами;3)</w:t>
      </w:r>
      <w:r w:rsidRPr="002D0237">
        <w:rPr>
          <w:rFonts w:ascii="Arial" w:eastAsia="Calibri" w:hAnsi="Arial" w:cs="Arial"/>
          <w:color w:val="000000" w:themeColor="text1"/>
          <w:sz w:val="28"/>
          <w:szCs w:val="28"/>
        </w:rPr>
        <w:t xml:space="preserve">проводит все виды валютных операций; </w:t>
      </w:r>
    </w:p>
    <w:p w:rsidR="004D67BC" w:rsidRPr="002D0237" w:rsidRDefault="004D67BC" w:rsidP="00FB2F28">
      <w:pPr>
        <w:spacing w:after="0" w:line="240" w:lineRule="auto"/>
        <w:ind w:firstLine="142"/>
        <w:rPr>
          <w:rFonts w:ascii="Arial" w:hAnsi="Arial" w:cs="Arial"/>
          <w:color w:val="000000" w:themeColor="text1"/>
          <w:sz w:val="28"/>
          <w:szCs w:val="28"/>
        </w:rPr>
      </w:pPr>
      <w:r w:rsidRPr="002D0237">
        <w:rPr>
          <w:rStyle w:val="FontStyle86"/>
          <w:rFonts w:ascii="Arial" w:eastAsia="Calibri" w:hAnsi="Arial" w:cs="Arial"/>
          <w:color w:val="000000" w:themeColor="text1"/>
          <w:sz w:val="28"/>
          <w:szCs w:val="28"/>
        </w:rPr>
        <w:t xml:space="preserve">Органами валютного регулирования </w:t>
      </w:r>
      <w:r w:rsidRPr="002D0237">
        <w:rPr>
          <w:rStyle w:val="FontStyle85"/>
          <w:rFonts w:ascii="Arial" w:eastAsia="Calibri" w:hAnsi="Arial" w:cs="Arial"/>
          <w:color w:val="000000" w:themeColor="text1"/>
          <w:sz w:val="28"/>
          <w:szCs w:val="28"/>
        </w:rPr>
        <w:t>в Российской Федерации являю Центральный банк Российской Федерации и Правительство Российской Федерации</w:t>
      </w:r>
      <w:r w:rsidRPr="002D0237">
        <w:rPr>
          <w:rStyle w:val="FontStyle85"/>
          <w:rFonts w:ascii="Arial" w:hAnsi="Arial" w:cs="Arial"/>
          <w:color w:val="000000" w:themeColor="text1"/>
          <w:sz w:val="28"/>
          <w:szCs w:val="28"/>
        </w:rPr>
        <w:t xml:space="preserve">. </w:t>
      </w:r>
      <w:r w:rsidRPr="002D0237">
        <w:rPr>
          <w:rStyle w:val="FontStyle86"/>
          <w:rFonts w:ascii="Arial" w:eastAsia="Calibri" w:hAnsi="Arial" w:cs="Arial"/>
          <w:color w:val="000000" w:themeColor="text1"/>
          <w:sz w:val="28"/>
          <w:szCs w:val="28"/>
        </w:rPr>
        <w:t xml:space="preserve">Органами валютного контроля </w:t>
      </w:r>
      <w:r w:rsidRPr="002D0237">
        <w:rPr>
          <w:rStyle w:val="FontStyle85"/>
          <w:rFonts w:ascii="Arial" w:eastAsia="Calibri" w:hAnsi="Arial" w:cs="Arial"/>
          <w:color w:val="000000" w:themeColor="text1"/>
          <w:sz w:val="28"/>
          <w:szCs w:val="28"/>
        </w:rPr>
        <w:t xml:space="preserve">являются </w:t>
      </w:r>
      <w:r w:rsidRPr="002D0237">
        <w:rPr>
          <w:rStyle w:val="FontStyle85"/>
          <w:rFonts w:ascii="Arial" w:hAnsi="Arial" w:cs="Arial"/>
          <w:color w:val="000000" w:themeColor="text1"/>
          <w:sz w:val="28"/>
          <w:szCs w:val="28"/>
        </w:rPr>
        <w:t>Правительство</w:t>
      </w:r>
      <w:r w:rsidRPr="002D0237">
        <w:rPr>
          <w:rStyle w:val="FontStyle85"/>
          <w:rFonts w:ascii="Arial" w:eastAsia="Calibri" w:hAnsi="Arial" w:cs="Arial"/>
          <w:color w:val="000000" w:themeColor="text1"/>
          <w:sz w:val="28"/>
          <w:szCs w:val="28"/>
        </w:rPr>
        <w:t xml:space="preserve"> </w:t>
      </w:r>
      <w:r w:rsidRPr="002D0237">
        <w:rPr>
          <w:rStyle w:val="FontStyle85"/>
          <w:rFonts w:ascii="Arial" w:hAnsi="Arial" w:cs="Arial"/>
          <w:color w:val="000000" w:themeColor="text1"/>
          <w:sz w:val="28"/>
          <w:szCs w:val="28"/>
        </w:rPr>
        <w:t xml:space="preserve">РФ и </w:t>
      </w:r>
      <w:r w:rsidRPr="002D0237">
        <w:rPr>
          <w:rFonts w:ascii="Arial" w:hAnsi="Arial" w:cs="Arial"/>
          <w:color w:val="000000" w:themeColor="text1"/>
          <w:sz w:val="28"/>
          <w:szCs w:val="28"/>
        </w:rPr>
        <w:t>ЦБ РФ, который:1)</w:t>
      </w:r>
      <w:r w:rsidRPr="002D0237">
        <w:rPr>
          <w:rFonts w:ascii="Arial" w:eastAsia="Calibri" w:hAnsi="Arial" w:cs="Arial"/>
          <w:color w:val="000000" w:themeColor="text1"/>
          <w:sz w:val="28"/>
          <w:szCs w:val="28"/>
        </w:rPr>
        <w:t>определяет сферу и порядок обращения в России иностранной валюты и ценны</w:t>
      </w:r>
      <w:r w:rsidRPr="002D0237">
        <w:rPr>
          <w:rFonts w:ascii="Arial" w:hAnsi="Arial" w:cs="Arial"/>
          <w:color w:val="000000" w:themeColor="text1"/>
          <w:sz w:val="28"/>
          <w:szCs w:val="28"/>
        </w:rPr>
        <w:t>х бумаг в иностранной валюте;2)</w:t>
      </w:r>
      <w:r w:rsidRPr="002D0237">
        <w:rPr>
          <w:rFonts w:ascii="Arial" w:eastAsia="Calibri" w:hAnsi="Arial" w:cs="Arial"/>
          <w:color w:val="000000" w:themeColor="text1"/>
          <w:sz w:val="28"/>
          <w:szCs w:val="28"/>
        </w:rPr>
        <w:t xml:space="preserve"> издает нормативные акты, обязательные к исполнению </w:t>
      </w:r>
      <w:r w:rsidRPr="002D0237">
        <w:rPr>
          <w:rFonts w:ascii="Arial" w:hAnsi="Arial" w:cs="Arial"/>
          <w:color w:val="000000" w:themeColor="text1"/>
          <w:sz w:val="28"/>
          <w:szCs w:val="28"/>
        </w:rPr>
        <w:t>резидентами и нерезидентами;3)</w:t>
      </w:r>
      <w:r w:rsidRPr="002D0237">
        <w:rPr>
          <w:rFonts w:ascii="Arial" w:eastAsia="Calibri" w:hAnsi="Arial" w:cs="Arial"/>
          <w:color w:val="000000" w:themeColor="text1"/>
          <w:sz w:val="28"/>
          <w:szCs w:val="28"/>
        </w:rPr>
        <w:t xml:space="preserve">проводит все виды валютных операций; </w:t>
      </w:r>
    </w:p>
    <w:p w:rsidR="004D67BC" w:rsidRPr="002D0237" w:rsidRDefault="004D67BC" w:rsidP="00FB2F28">
      <w:pPr>
        <w:spacing w:after="0" w:line="240" w:lineRule="auto"/>
        <w:ind w:firstLine="142"/>
        <w:rPr>
          <w:rStyle w:val="FontStyle85"/>
          <w:rFonts w:ascii="Arial" w:eastAsia="Calibri" w:hAnsi="Arial" w:cs="Arial"/>
          <w:color w:val="000000" w:themeColor="text1"/>
          <w:sz w:val="28"/>
          <w:szCs w:val="28"/>
        </w:rPr>
      </w:pPr>
      <w:r w:rsidRPr="002D0237">
        <w:rPr>
          <w:rStyle w:val="FontStyle86"/>
          <w:rFonts w:ascii="Arial" w:eastAsia="Calibri" w:hAnsi="Arial" w:cs="Arial"/>
          <w:color w:val="000000" w:themeColor="text1"/>
          <w:sz w:val="28"/>
          <w:szCs w:val="28"/>
        </w:rPr>
        <w:t xml:space="preserve">Цели </w:t>
      </w:r>
      <w:r w:rsidRPr="002D0237">
        <w:rPr>
          <w:rStyle w:val="FontStyle85"/>
          <w:rFonts w:ascii="Arial" w:eastAsia="Calibri" w:hAnsi="Arial" w:cs="Arial"/>
          <w:color w:val="000000" w:themeColor="text1"/>
          <w:sz w:val="28"/>
          <w:szCs w:val="28"/>
        </w:rPr>
        <w:t xml:space="preserve">валютного регулирования и валютного контроля в Российской Федерации связаны с формированием факторов прогрессивного развития национальной экономики и международного экономического сотрудничества, в частности: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а) в реализации единой государственной валютной политики;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б) в обеспечении устойчивости валюты РФ;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в) в. поддержании стабильности внутреннего валютного рынка.</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Основными </w:t>
      </w:r>
      <w:r w:rsidRPr="002D0237">
        <w:rPr>
          <w:rStyle w:val="FontStyle86"/>
          <w:rFonts w:ascii="Arial" w:hAnsi="Arial" w:cs="Arial"/>
          <w:color w:val="000000" w:themeColor="text1"/>
          <w:sz w:val="28"/>
          <w:szCs w:val="28"/>
        </w:rPr>
        <w:t xml:space="preserve">принципами </w:t>
      </w:r>
      <w:r w:rsidRPr="002D0237">
        <w:rPr>
          <w:rStyle w:val="FontStyle85"/>
          <w:rFonts w:ascii="Arial" w:hAnsi="Arial" w:cs="Arial"/>
          <w:color w:val="000000" w:themeColor="text1"/>
          <w:sz w:val="28"/>
          <w:szCs w:val="28"/>
        </w:rPr>
        <w:t xml:space="preserve">валютного регулирования и валютного контроля в Российской Федерации являются: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1) приоритет экономических мер в реализации государственной политики в области валютного регулирования;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2) исключение неоправданного вмешательства государства и его органов в валютные операции резидентов и нерезидентов;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3) единство внешней и внутренней валютной политики Российской Федерации;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 xml:space="preserve">4) единство системы валютного регулирования и валютного контроля; </w:t>
      </w:r>
    </w:p>
    <w:p w:rsidR="004D67BC" w:rsidRPr="002D0237" w:rsidRDefault="004D67BC" w:rsidP="00FB2F28">
      <w:pPr>
        <w:pStyle w:val="Style11"/>
        <w:spacing w:line="240" w:lineRule="auto"/>
        <w:ind w:firstLine="142"/>
        <w:jc w:val="both"/>
        <w:rPr>
          <w:rStyle w:val="FontStyle85"/>
          <w:rFonts w:ascii="Arial" w:hAnsi="Arial" w:cs="Arial"/>
          <w:color w:val="000000" w:themeColor="text1"/>
          <w:sz w:val="28"/>
          <w:szCs w:val="28"/>
        </w:rPr>
      </w:pPr>
      <w:r w:rsidRPr="002D0237">
        <w:rPr>
          <w:rStyle w:val="FontStyle85"/>
          <w:rFonts w:ascii="Arial" w:hAnsi="Arial" w:cs="Arial"/>
          <w:color w:val="000000" w:themeColor="text1"/>
          <w:sz w:val="28"/>
          <w:szCs w:val="28"/>
        </w:rPr>
        <w:t>5) обеспечение государством защиты прав и экономических интересов резидентов и нерезидентов при осуществлении валютных операций.</w:t>
      </w:r>
    </w:p>
    <w:p w:rsidR="00F73A76" w:rsidRPr="002D0237" w:rsidRDefault="00F73A76" w:rsidP="00FB2F28">
      <w:pPr>
        <w:pStyle w:val="Style11"/>
        <w:spacing w:line="240" w:lineRule="auto"/>
        <w:ind w:firstLine="142"/>
        <w:jc w:val="both"/>
        <w:rPr>
          <w:rStyle w:val="FontStyle85"/>
          <w:rFonts w:ascii="Arial" w:hAnsi="Arial" w:cs="Arial"/>
          <w:color w:val="000000" w:themeColor="text1"/>
          <w:sz w:val="28"/>
          <w:szCs w:val="28"/>
        </w:rPr>
      </w:pPr>
    </w:p>
    <w:p w:rsidR="00F73A76" w:rsidRPr="002D0237" w:rsidRDefault="00F73A76" w:rsidP="00FB2F28">
      <w:pPr>
        <w:pStyle w:val="Style11"/>
        <w:spacing w:line="240" w:lineRule="auto"/>
        <w:ind w:firstLine="142"/>
        <w:jc w:val="both"/>
        <w:rPr>
          <w:rStyle w:val="FontStyle85"/>
          <w:rFonts w:ascii="Arial" w:hAnsi="Arial" w:cs="Arial"/>
          <w:color w:val="000000" w:themeColor="text1"/>
          <w:sz w:val="28"/>
          <w:szCs w:val="28"/>
        </w:rPr>
      </w:pPr>
    </w:p>
    <w:p w:rsidR="00F73A76" w:rsidRPr="002D0237" w:rsidRDefault="00F73A76" w:rsidP="00FB2F28">
      <w:pPr>
        <w:pStyle w:val="Style11"/>
        <w:spacing w:line="240" w:lineRule="auto"/>
        <w:ind w:firstLine="142"/>
        <w:jc w:val="both"/>
        <w:rPr>
          <w:rStyle w:val="FontStyle85"/>
          <w:rFonts w:ascii="Arial" w:hAnsi="Arial" w:cs="Arial"/>
          <w:color w:val="000000" w:themeColor="text1"/>
          <w:sz w:val="28"/>
          <w:szCs w:val="28"/>
        </w:rPr>
      </w:pPr>
    </w:p>
    <w:p w:rsidR="00F73A76" w:rsidRPr="002D0237" w:rsidRDefault="00F73A76" w:rsidP="00FB2F28">
      <w:pPr>
        <w:pStyle w:val="Style11"/>
        <w:spacing w:line="240" w:lineRule="auto"/>
        <w:ind w:firstLine="142"/>
        <w:jc w:val="both"/>
        <w:rPr>
          <w:rStyle w:val="FontStyle85"/>
          <w:rFonts w:ascii="Arial" w:hAnsi="Arial" w:cs="Arial"/>
          <w:color w:val="000000" w:themeColor="text1"/>
          <w:sz w:val="28"/>
          <w:szCs w:val="28"/>
        </w:rPr>
      </w:pPr>
    </w:p>
    <w:p w:rsidR="00F73A76" w:rsidRPr="002D0237" w:rsidRDefault="00F73A76" w:rsidP="00FB2F28">
      <w:pPr>
        <w:pStyle w:val="Style11"/>
        <w:spacing w:line="240" w:lineRule="auto"/>
        <w:ind w:firstLine="142"/>
        <w:jc w:val="both"/>
        <w:rPr>
          <w:rFonts w:ascii="Arial" w:hAnsi="Arial" w:cs="Arial"/>
          <w:color w:val="000000" w:themeColor="text1"/>
          <w:sz w:val="28"/>
          <w:szCs w:val="28"/>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56.Особенности платежного баланса РФ.</w:t>
      </w:r>
    </w:p>
    <w:p w:rsidR="004D67BC" w:rsidRPr="002D0237" w:rsidRDefault="004D67BC" w:rsidP="00FB2F28">
      <w:pPr>
        <w:tabs>
          <w:tab w:val="center" w:pos="567"/>
        </w:tabs>
        <w:spacing w:after="0" w:line="240" w:lineRule="auto"/>
        <w:ind w:firstLine="142"/>
        <w:contextualSpacing/>
        <w:rPr>
          <w:rFonts w:ascii="Arial" w:eastAsia="Calibri" w:hAnsi="Arial" w:cs="Arial"/>
          <w:color w:val="000000" w:themeColor="text1"/>
          <w:sz w:val="28"/>
          <w:szCs w:val="28"/>
        </w:rPr>
      </w:pPr>
      <w:r w:rsidRPr="002D0237">
        <w:rPr>
          <w:rFonts w:ascii="Arial" w:eastAsia="Calibri" w:hAnsi="Arial" w:cs="Arial"/>
          <w:color w:val="000000" w:themeColor="text1"/>
          <w:sz w:val="28"/>
          <w:szCs w:val="28"/>
        </w:rPr>
        <w:t xml:space="preserve">Платежный баланс - это </w:t>
      </w:r>
      <w:r w:rsidRPr="002D0237">
        <w:rPr>
          <w:rFonts w:ascii="Arial" w:eastAsia="Calibri" w:hAnsi="Arial" w:cs="Arial"/>
          <w:bCs/>
          <w:color w:val="000000" w:themeColor="text1"/>
          <w:sz w:val="28"/>
          <w:szCs w:val="28"/>
        </w:rPr>
        <w:t>один из главных источников о состоянии экономики страны</w:t>
      </w:r>
      <w:r w:rsidRPr="002D0237">
        <w:rPr>
          <w:rFonts w:ascii="Arial" w:eastAsia="Calibri" w:hAnsi="Arial" w:cs="Arial"/>
          <w:color w:val="000000" w:themeColor="text1"/>
          <w:sz w:val="28"/>
          <w:szCs w:val="28"/>
        </w:rPr>
        <w:t>, а его состояние не может быть игнорировано при принятии решений как в области макроэкономической политики, так и на микроуровне.</w:t>
      </w: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С 1992 г, после вступления в МВФ, Россия публикует платежный баланс, составляемый ЦБ РФ в соответствии с методологией Руководства по платежному балансу МВФ</w:t>
      </w: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Особенностью платежного баланса РФ является значительное положительное сальдо торгового баланса, главным образом за счет экспорта энергоресурсов. Это обусловлено преобладанием экспортно-сырьевой модели развития российской экономики.Мировые цены на нефть, нефтепродукты и природный газ являются важнейшим фактором, влияющим на состояние платежного баланса и экономики РФ.</w:t>
      </w: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Состояние и особенности РФ значительно различались  в разные периоды:</w:t>
      </w: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*В 1990-х гг. – развал СССР, глубокий экономический спад, значительная инфляция, падение курса рубля, бегство капиталов и другие факторы обусловили резкое ухудшение платежного баланса РФ; * 2000г -наст. время – экономический рост и относительная стабилизация макроэкономических показателей РФ способствовали постоянному, несмотря на колебания, росту активного сальдо текущих операции за счет профицита торгового баланса, при отрицательном сальдо операции с капиталом и финансовыми интрументами.</w:t>
      </w: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По оценкам экспертов, возможно положительное влияние присоединения к ВТО на платежный баланс РФ по следующим направлениям: </w:t>
      </w:r>
      <w:r w:rsidRPr="002D0237">
        <w:rPr>
          <w:rFonts w:ascii="Arial" w:hAnsi="Arial" w:cs="Arial"/>
          <w:color w:val="000000" w:themeColor="text1"/>
          <w:sz w:val="28"/>
          <w:szCs w:val="28"/>
        </w:rPr>
        <w:t>• рост товарного экспорта вследствие улучшения условий доступа российской продукции на иностранные рынки; • диверсификация экспорта товаров и услуг под влиянием усиления конкуренции с зарубежными производителями и реструктуризации экономики; • увеличение импорта машин, оборудования и высоких технологий для модернизации экономики; • улучшение баланса услуг вследствие роста ПИИ в секторах информационных, транспортных, страховых и иных услуг; • улучшение баланса ПИИ вследствие либерализации прямого инвестирования иностранных компаний и банков.</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Наряду с этим вступление России в ВТО связано с определенными рисками для платежного баланса: • сохранение экспортно-сырьевой модели российской экономики и платежного баланса в случае подавления российских компаний и банков иностранными конкурентами; • снижение профицита торгового баланса вследствие увеличения импорта продукции машиностроения, сельского хозяйства, фармацевтической, пищевой и легкой промышленности; • увеличение переводов мигрантов в связи с ростом трудовой миграции в Россию для иностранных компаний, создаваемых в нашей стране; • ухудшение баланса инвестиционных доходов в связи с ростом их выплат иностранным инвесторам.</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В целом эффект от присоединения России к ВТО зависит от степени углубления интеграции экономики страны в мировое хозяйство и использования инструментов эффективной защиты российских внешнеэкономических интересов. Вместе с тем участие в ВТО потребует разработки ныне отсутствующей концепции регулирования платежного баланса в целях повышения его устойчивости.</w:t>
      </w:r>
    </w:p>
    <w:p w:rsidR="00F73A76" w:rsidRDefault="00F73A76" w:rsidP="00FB2F28">
      <w:pPr>
        <w:pStyle w:val="a6"/>
        <w:spacing w:before="0" w:beforeAutospacing="0" w:after="0" w:afterAutospacing="0"/>
        <w:ind w:firstLine="142"/>
        <w:rPr>
          <w:rFonts w:ascii="Arial" w:hAnsi="Arial" w:cs="Arial"/>
          <w:color w:val="000000" w:themeColor="text1"/>
          <w:sz w:val="28"/>
          <w:szCs w:val="28"/>
        </w:rPr>
      </w:pPr>
    </w:p>
    <w:p w:rsidR="000D5694" w:rsidRDefault="000D5694" w:rsidP="00FB2F28">
      <w:pPr>
        <w:pStyle w:val="a6"/>
        <w:spacing w:before="0" w:beforeAutospacing="0" w:after="0" w:afterAutospacing="0"/>
        <w:ind w:firstLine="142"/>
        <w:rPr>
          <w:rFonts w:ascii="Arial" w:hAnsi="Arial" w:cs="Arial"/>
          <w:color w:val="000000" w:themeColor="text1"/>
          <w:sz w:val="28"/>
          <w:szCs w:val="28"/>
        </w:rPr>
      </w:pPr>
    </w:p>
    <w:p w:rsidR="000D5694" w:rsidRPr="002D0237" w:rsidRDefault="000D5694" w:rsidP="00FB2F28">
      <w:pPr>
        <w:pStyle w:val="a6"/>
        <w:spacing w:before="0" w:beforeAutospacing="0" w:after="0" w:afterAutospacing="0"/>
        <w:ind w:firstLine="142"/>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rPr>
          <w:rFonts w:ascii="Arial" w:hAnsi="Arial" w:cs="Arial"/>
          <w:color w:val="000000" w:themeColor="text1"/>
          <w:sz w:val="28"/>
          <w:szCs w:val="28"/>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 xml:space="preserve">57. Банковская система РФ. </w:t>
      </w:r>
    </w:p>
    <w:p w:rsidR="004D67BC" w:rsidRPr="002D0237" w:rsidRDefault="004D67BC" w:rsidP="00FB2F28">
      <w:pPr>
        <w:tabs>
          <w:tab w:val="left" w:pos="2177"/>
          <w:tab w:val="left" w:pos="3851"/>
        </w:tabs>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В Российской Федерации банки создаются и действуют на основании федерального закона  № 395-1 «О банках и банковской деятельности». В действующем законодательстве закреплены основные принципы построения </w:t>
      </w:r>
      <w:hyperlink r:id="rId51" w:tooltip="банковской системы" w:history="1">
        <w:r w:rsidRPr="002D0237">
          <w:rPr>
            <w:rStyle w:val="a7"/>
            <w:rFonts w:ascii="Arial" w:hAnsi="Arial" w:cs="Arial"/>
            <w:color w:val="000000" w:themeColor="text1"/>
            <w:sz w:val="28"/>
            <w:szCs w:val="28"/>
          </w:rPr>
          <w:t>банковской системы</w:t>
        </w:r>
      </w:hyperlink>
      <w:r w:rsidRPr="002D0237">
        <w:rPr>
          <w:rFonts w:ascii="Arial" w:hAnsi="Arial" w:cs="Arial"/>
          <w:color w:val="000000" w:themeColor="text1"/>
          <w:sz w:val="28"/>
          <w:szCs w:val="28"/>
        </w:rPr>
        <w:t xml:space="preserve"> России, к числу которых относятся: двухуровневая структура, осуществление банковского регулирования и надзора Центральным банком, универсальность  </w:t>
      </w:r>
      <w:hyperlink r:id="rId52" w:tooltip="банков" w:history="1">
        <w:r w:rsidRPr="002D0237">
          <w:rPr>
            <w:rStyle w:val="a7"/>
            <w:rFonts w:ascii="Arial" w:hAnsi="Arial" w:cs="Arial"/>
            <w:color w:val="000000" w:themeColor="text1"/>
            <w:sz w:val="28"/>
            <w:szCs w:val="28"/>
          </w:rPr>
          <w:t>банков</w:t>
        </w:r>
      </w:hyperlink>
      <w:r w:rsidRPr="002D0237">
        <w:rPr>
          <w:rFonts w:ascii="Arial" w:hAnsi="Arial" w:cs="Arial"/>
          <w:color w:val="000000" w:themeColor="text1"/>
          <w:sz w:val="28"/>
          <w:szCs w:val="28"/>
        </w:rPr>
        <w:t xml:space="preserve"> второго уровня и коммерческая направленность их деятельности. Таким образом, современная банковская система РФ состоит из двух уровней и представлена деятельностью </w:t>
      </w:r>
      <w:hyperlink r:id="rId53" w:tooltip="Банка России" w:history="1">
        <w:r w:rsidRPr="002D0237">
          <w:rPr>
            <w:rStyle w:val="a7"/>
            <w:rFonts w:ascii="Arial" w:hAnsi="Arial" w:cs="Arial"/>
            <w:color w:val="000000" w:themeColor="text1"/>
            <w:sz w:val="28"/>
            <w:szCs w:val="28"/>
          </w:rPr>
          <w:t>Банка России</w:t>
        </w:r>
      </w:hyperlink>
      <w:r w:rsidRPr="002D0237">
        <w:rPr>
          <w:rFonts w:ascii="Arial" w:hAnsi="Arial" w:cs="Arial"/>
          <w:color w:val="000000" w:themeColor="text1"/>
          <w:sz w:val="28"/>
          <w:szCs w:val="28"/>
        </w:rPr>
        <w:t xml:space="preserve"> и кредитных организаций, включающих коммерческие банки, их филиалы, представительства, внутренние структурные подразделения, небанковские кредитные организации, учреждения банковской инфраструктуры, а также прочие существенные элементы.</w:t>
      </w:r>
    </w:p>
    <w:p w:rsidR="004D67BC" w:rsidRPr="002D0237" w:rsidRDefault="004D67BC" w:rsidP="00FB2F28">
      <w:pPr>
        <w:tabs>
          <w:tab w:val="left" w:pos="2177"/>
          <w:tab w:val="left" w:pos="3851"/>
        </w:tabs>
        <w:spacing w:after="0" w:line="240" w:lineRule="auto"/>
        <w:ind w:firstLine="142"/>
        <w:rPr>
          <w:rFonts w:ascii="Arial" w:eastAsia="Times New Roman" w:hAnsi="Arial" w:cs="Arial"/>
          <w:b/>
          <w:color w:val="000000" w:themeColor="text1"/>
          <w:sz w:val="28"/>
          <w:szCs w:val="28"/>
          <w:lang w:eastAsia="ru-RU"/>
        </w:rPr>
      </w:pPr>
      <w:r w:rsidRPr="002D0237">
        <w:rPr>
          <w:rFonts w:ascii="Arial" w:hAnsi="Arial" w:cs="Arial"/>
          <w:color w:val="000000" w:themeColor="text1"/>
          <w:sz w:val="28"/>
          <w:szCs w:val="28"/>
        </w:rPr>
        <w:t>Центральный банк РФ является мегарегулятором российского финансового рынка и выполняет функции денежно-кредитного регулирования, банковского надзора и управления системой платежей и расчетов в стране.</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Все коммерческие банки, действующие в РФ, являются универсальными и делятся на частные, банки с иностранным капиталом. Банки в России могут создаваться в форме любого хозяйственного общества, и на сегодняшний день в российской банковской системе функционируют банки в форме акционерного общества (АО), публичного акционерного общества (ПАО), общества с ограниченной ответственностью (ООО). Российские банки обладают правом открытия своих структурных подразделений – филиалов и представительств, а также иных форм внутренних структурных подразделений. </w:t>
      </w:r>
      <w:r w:rsidRPr="002D0237">
        <w:rPr>
          <w:rFonts w:ascii="Arial" w:hAnsi="Arial" w:cs="Arial"/>
          <w:b/>
          <w:color w:val="000000" w:themeColor="text1"/>
          <w:sz w:val="28"/>
          <w:szCs w:val="28"/>
        </w:rPr>
        <w:t>Системно-значимые банки в 2016 году:</w:t>
      </w:r>
      <w:r w:rsidRPr="002D0237">
        <w:rPr>
          <w:rFonts w:ascii="Arial" w:hAnsi="Arial" w:cs="Arial"/>
          <w:color w:val="000000" w:themeColor="text1"/>
          <w:sz w:val="28"/>
          <w:szCs w:val="28"/>
        </w:rPr>
        <w:t xml:space="preserve"> </w:t>
      </w:r>
      <w:hyperlink r:id="rId54" w:tgtFrame="_blank" w:history="1">
        <w:r w:rsidRPr="002D0237">
          <w:rPr>
            <w:rStyle w:val="a7"/>
            <w:rFonts w:ascii="Arial" w:hAnsi="Arial" w:cs="Arial"/>
            <w:color w:val="000000" w:themeColor="text1"/>
            <w:sz w:val="28"/>
            <w:szCs w:val="28"/>
          </w:rPr>
          <w:t>Сбербанк</w:t>
        </w:r>
      </w:hyperlink>
      <w:r w:rsidRPr="002D0237">
        <w:rPr>
          <w:rFonts w:ascii="Arial" w:hAnsi="Arial" w:cs="Arial"/>
          <w:color w:val="000000" w:themeColor="text1"/>
          <w:sz w:val="28"/>
          <w:szCs w:val="28"/>
        </w:rPr>
        <w:t xml:space="preserve">, ВТБ, Россельхозбанк, Газпромбанк, «ФК Открытие», ЮниКредит Банк, Райффайзенбанк, Промсвязьбанк, Альфа-Банк и Росбанк. </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В текущих рыночных условиях ЦБ производит политику оздоровления банковской системы в части отзыва лицензий у слабых и недобросовестных организаций банковского рынка. </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b/>
          <w:bCs/>
          <w:color w:val="000000" w:themeColor="text1"/>
          <w:sz w:val="28"/>
          <w:szCs w:val="28"/>
          <w:lang w:eastAsia="ru-RU"/>
        </w:rPr>
        <w:t>Причины отзыва лицензий у банков</w:t>
      </w:r>
      <w:r w:rsidRPr="002D0237">
        <w:rPr>
          <w:rFonts w:ascii="Arial" w:eastAsia="Times New Roman" w:hAnsi="Arial" w:cs="Arial"/>
          <w:bCs/>
          <w:color w:val="000000" w:themeColor="text1"/>
          <w:sz w:val="28"/>
          <w:szCs w:val="28"/>
          <w:lang w:eastAsia="ru-RU"/>
        </w:rPr>
        <w:t xml:space="preserve"> </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Недостоверность отчетных данных.</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Проведение сомнительных операций.</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Нарушение в течение года требований Федерального закона «О противодействии легализации (отмыванию) доходов, полученных преступным путем».</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Нарушение требований к размеру капитала.</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Высокорискованная кредитная политика.</w:t>
      </w:r>
    </w:p>
    <w:p w:rsidR="004D67BC" w:rsidRPr="002D0237" w:rsidRDefault="004D67BC" w:rsidP="00FB2F28">
      <w:pPr>
        <w:numPr>
          <w:ilvl w:val="0"/>
          <w:numId w:val="16"/>
        </w:numPr>
        <w:spacing w:after="0" w:line="240" w:lineRule="auto"/>
        <w:ind w:left="0"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Неисполнение обязательств перед кредиторами и вкладчиками.</w:t>
      </w:r>
    </w:p>
    <w:p w:rsidR="004D67BC" w:rsidRPr="002D0237" w:rsidRDefault="004D67BC" w:rsidP="00FB2F28">
      <w:pPr>
        <w:spacing w:after="0" w:line="240" w:lineRule="auto"/>
        <w:ind w:firstLine="142"/>
        <w:outlineLvl w:val="1"/>
        <w:rPr>
          <w:rFonts w:ascii="Arial" w:eastAsia="Times New Roman" w:hAnsi="Arial" w:cs="Arial"/>
          <w:b/>
          <w:bCs/>
          <w:color w:val="000000" w:themeColor="text1"/>
          <w:sz w:val="28"/>
          <w:szCs w:val="28"/>
          <w:lang w:eastAsia="ru-RU"/>
        </w:rPr>
      </w:pP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 xml:space="preserve">Стоит отметить, что в настоящий момент в банковской системе отмечается профицит ликвидности.  </w:t>
      </w:r>
    </w:p>
    <w:p w:rsidR="004D67BC" w:rsidRPr="002D0237" w:rsidRDefault="004D67BC" w:rsidP="00FB2F28">
      <w:pPr>
        <w:spacing w:after="0" w:line="240" w:lineRule="auto"/>
        <w:ind w:firstLine="142"/>
        <w:rPr>
          <w:rFonts w:ascii="Arial" w:hAnsi="Arial" w:cs="Arial"/>
          <w:color w:val="000000" w:themeColor="text1"/>
          <w:sz w:val="28"/>
          <w:szCs w:val="28"/>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F73A76" w:rsidRDefault="00F73A76"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0D5694" w:rsidRDefault="000D5694"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0D5694" w:rsidRPr="002D0237" w:rsidRDefault="000D5694"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F73A76" w:rsidRPr="002D0237" w:rsidRDefault="00F73A76"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58.Финансовый рынок РФ на современном этапе.</w:t>
      </w:r>
    </w:p>
    <w:p w:rsidR="004D67BC" w:rsidRPr="002D0237" w:rsidRDefault="004D67BC" w:rsidP="00FB2F28">
      <w:pPr>
        <w:tabs>
          <w:tab w:val="left" w:pos="2177"/>
          <w:tab w:val="left" w:pos="3851"/>
        </w:tabs>
        <w:spacing w:after="0" w:line="240" w:lineRule="auto"/>
        <w:ind w:firstLine="142"/>
        <w:rPr>
          <w:rFonts w:ascii="Arial" w:hAnsi="Arial" w:cs="Arial"/>
          <w:color w:val="000000" w:themeColor="text1"/>
          <w:sz w:val="28"/>
          <w:szCs w:val="28"/>
        </w:rPr>
      </w:pPr>
      <w:r w:rsidRPr="002D0237">
        <w:rPr>
          <w:rFonts w:ascii="Arial" w:hAnsi="Arial" w:cs="Arial"/>
          <w:bCs/>
          <w:color w:val="000000" w:themeColor="text1"/>
          <w:sz w:val="28"/>
          <w:szCs w:val="28"/>
        </w:rPr>
        <w:t>Финансовый рынок</w:t>
      </w:r>
      <w:r w:rsidRPr="002D0237">
        <w:rPr>
          <w:rFonts w:ascii="Arial" w:hAnsi="Arial" w:cs="Arial"/>
          <w:color w:val="000000" w:themeColor="text1"/>
          <w:sz w:val="28"/>
          <w:szCs w:val="28"/>
        </w:rPr>
        <w:t xml:space="preserve"> — структура, с помощью которой в условиях рыночной экономики создается возможность заимствований, купли-продажи </w:t>
      </w:r>
      <w:hyperlink r:id="rId55" w:tooltip="ценных бумаг" w:history="1">
        <w:r w:rsidRPr="002D0237">
          <w:rPr>
            <w:rStyle w:val="a7"/>
            <w:rFonts w:ascii="Arial" w:hAnsi="Arial" w:cs="Arial"/>
            <w:color w:val="000000" w:themeColor="text1"/>
            <w:sz w:val="28"/>
            <w:szCs w:val="28"/>
          </w:rPr>
          <w:t>ценных бумаг</w:t>
        </w:r>
      </w:hyperlink>
      <w:r w:rsidRPr="002D0237">
        <w:rPr>
          <w:rFonts w:ascii="Arial" w:hAnsi="Arial" w:cs="Arial"/>
          <w:color w:val="000000" w:themeColor="text1"/>
          <w:sz w:val="28"/>
          <w:szCs w:val="28"/>
        </w:rPr>
        <w:t xml:space="preserve">, инвестиционных товаров, таких как драгоценные металлы. К обороту финансовых рынков могут относиться также и другие активы, обладающие высокой </w:t>
      </w:r>
      <w:hyperlink r:id="rId56" w:tooltip="ликвидностью" w:history="1">
        <w:r w:rsidRPr="002D0237">
          <w:rPr>
            <w:rStyle w:val="a7"/>
            <w:rFonts w:ascii="Arial" w:hAnsi="Arial" w:cs="Arial"/>
            <w:color w:val="000000" w:themeColor="text1"/>
            <w:sz w:val="28"/>
            <w:szCs w:val="28"/>
          </w:rPr>
          <w:t>ликвидностью</w:t>
        </w:r>
      </w:hyperlink>
      <w:r w:rsidRPr="002D0237">
        <w:rPr>
          <w:rFonts w:ascii="Arial" w:hAnsi="Arial" w:cs="Arial"/>
          <w:color w:val="000000" w:themeColor="text1"/>
          <w:sz w:val="28"/>
          <w:szCs w:val="28"/>
        </w:rPr>
        <w:t>.</w:t>
      </w:r>
    </w:p>
    <w:p w:rsidR="004D67BC" w:rsidRPr="002D0237" w:rsidRDefault="004D67BC" w:rsidP="00FB2F28">
      <w:pPr>
        <w:tabs>
          <w:tab w:val="left" w:pos="2177"/>
          <w:tab w:val="left" w:pos="3851"/>
        </w:tabs>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В конце 2011 г. создан мощный институциональный участник финансового рынка России на основе объединения двух крупнейших российских бирж ММВБ и РТС. Интеграция бирж позволяет снизить издержки участников финансового рынка по управлению своими позициями, повысить прозрачность системы управления рисками. Создание объединенной биржи на основе слияния ММВБ и РТС как крупного институционального участника российского финансового рынка, интегрированного в мировой финансовый рынок, — одна из важных предпосылок становления в Москве мирового финансового центра. Произошли сдвиги в развитии инфраструктуры финансового рынка с использованием современных информационных технологий. Создан центральный депозитарий для обслуживания всех торговых площадок и посреднической функции между российским и мировым финансовым рынком. Организована клиринговая палата для взаимных расчетов по сделкам. Введена система безналичных валовых расчетов в режиме реального времени.</w:t>
      </w:r>
    </w:p>
    <w:p w:rsidR="004D67BC" w:rsidRPr="002D0237" w:rsidRDefault="004D67BC" w:rsidP="00FB2F28">
      <w:pPr>
        <w:tabs>
          <w:tab w:val="left" w:pos="2177"/>
          <w:tab w:val="left" w:pos="3851"/>
        </w:tabs>
        <w:spacing w:after="0" w:line="240" w:lineRule="auto"/>
        <w:ind w:firstLine="142"/>
        <w:rPr>
          <w:rFonts w:ascii="Arial" w:hAnsi="Arial" w:cs="Arial"/>
          <w:color w:val="000000" w:themeColor="text1"/>
          <w:sz w:val="28"/>
          <w:szCs w:val="28"/>
        </w:rPr>
      </w:pPr>
      <w:r w:rsidRPr="002D0237">
        <w:rPr>
          <w:rFonts w:ascii="Arial" w:hAnsi="Arial" w:cs="Arial"/>
          <w:color w:val="000000" w:themeColor="text1"/>
          <w:sz w:val="28"/>
          <w:szCs w:val="28"/>
        </w:rPr>
        <w:t>Усилился процесс диверсификации финансовых инструментов, стали использоваться производные финансовые инструменты (форварды, фьючерсы, опционы и т.д.), депозитарные расписки. На валютном, фондовом, кредитном, страховом рынках стали осуществляться разнообразные операции с использованием мирового опыта.</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Повысилась открытость российского финансового рынка. Этому способствовали отмена валютных ограничений по счету движения капитала и финансовых инструментов платежного баланса и введение формальной свободной конвертируемости рубля с июля 2007 г. Постепенно развиваются регулирование и контроль за деятельностью участников этого рынка. С этой целью сформированы органы надзора в каждом его сегменте. Среди них важную роль играет Федеральная служба по финансовым рынкам. Совершенствуется законодательство по финансовому рынку. Например, приняты законы о секьюритизации, залоге, рисках но синдицированному кредиту, банкротству, секьюритизации активов участников финансового рынка, деятельности органов надзора.Усилилась борьба с отмыванием преступных доходов через финансовый рынок в соответствии с рекомендациями Международной группы по борьбе с финансовыми злоупотреблениями (ФАТФ), постоянным членом которой Россия стала в 2003 г.</w:t>
      </w:r>
    </w:p>
    <w:p w:rsidR="004D67BC" w:rsidRPr="002D0237" w:rsidRDefault="004D67BC" w:rsidP="00FB2F28">
      <w:pPr>
        <w:pStyle w:val="a6"/>
        <w:spacing w:before="0" w:beforeAutospacing="0" w:after="0" w:afterAutospacing="0"/>
        <w:ind w:firstLine="142"/>
        <w:rPr>
          <w:rFonts w:ascii="Arial" w:hAnsi="Arial" w:cs="Arial"/>
          <w:color w:val="000000" w:themeColor="text1"/>
          <w:sz w:val="28"/>
          <w:szCs w:val="28"/>
        </w:rPr>
      </w:pPr>
      <w:r w:rsidRPr="002D0237">
        <w:rPr>
          <w:rFonts w:ascii="Arial" w:hAnsi="Arial" w:cs="Arial"/>
          <w:color w:val="000000" w:themeColor="text1"/>
          <w:sz w:val="28"/>
          <w:szCs w:val="28"/>
        </w:rPr>
        <w:t>На российском финансовом рынке развиваются все его сегменты, наиболее динамично — валютный, фондовый, кредитный по сравнению со страховым и рынком золота.</w:t>
      </w:r>
    </w:p>
    <w:p w:rsidR="004D67BC" w:rsidRPr="002D0237" w:rsidRDefault="004D67BC" w:rsidP="00FB2F28">
      <w:pPr>
        <w:tabs>
          <w:tab w:val="left" w:pos="2177"/>
          <w:tab w:val="left" w:pos="3851"/>
        </w:tabs>
        <w:spacing w:after="0" w:line="240" w:lineRule="auto"/>
        <w:ind w:firstLine="142"/>
        <w:rPr>
          <w:rFonts w:ascii="Arial" w:hAnsi="Arial" w:cs="Arial"/>
          <w:color w:val="000000" w:themeColor="text1"/>
          <w:sz w:val="28"/>
          <w:szCs w:val="28"/>
        </w:rPr>
      </w:pPr>
    </w:p>
    <w:p w:rsidR="00F73A76" w:rsidRPr="002D0237" w:rsidRDefault="00F73A76" w:rsidP="00FB2F28">
      <w:pPr>
        <w:tabs>
          <w:tab w:val="left" w:pos="2177"/>
          <w:tab w:val="left" w:pos="3851"/>
        </w:tabs>
        <w:spacing w:after="0" w:line="240" w:lineRule="auto"/>
        <w:ind w:firstLine="142"/>
        <w:rPr>
          <w:rFonts w:ascii="Arial" w:hAnsi="Arial" w:cs="Arial"/>
          <w:color w:val="000000" w:themeColor="text1"/>
          <w:sz w:val="28"/>
          <w:szCs w:val="28"/>
        </w:rPr>
      </w:pPr>
    </w:p>
    <w:p w:rsidR="00F73A76" w:rsidRPr="002D0237" w:rsidRDefault="00F73A76" w:rsidP="00FB2F28">
      <w:pPr>
        <w:tabs>
          <w:tab w:val="left" w:pos="2177"/>
          <w:tab w:val="left" w:pos="3851"/>
        </w:tabs>
        <w:spacing w:after="0" w:line="240" w:lineRule="auto"/>
        <w:ind w:firstLine="142"/>
        <w:rPr>
          <w:rFonts w:ascii="Arial" w:hAnsi="Arial" w:cs="Arial"/>
          <w:color w:val="000000" w:themeColor="text1"/>
          <w:sz w:val="28"/>
          <w:szCs w:val="28"/>
        </w:rPr>
      </w:pPr>
    </w:p>
    <w:p w:rsidR="00F73A76" w:rsidRPr="002D0237" w:rsidRDefault="00F73A76" w:rsidP="00FB2F28">
      <w:pPr>
        <w:tabs>
          <w:tab w:val="left" w:pos="2177"/>
          <w:tab w:val="left" w:pos="3851"/>
        </w:tabs>
        <w:spacing w:after="0" w:line="240" w:lineRule="auto"/>
        <w:ind w:firstLine="142"/>
        <w:rPr>
          <w:rFonts w:ascii="Arial" w:hAnsi="Arial" w:cs="Arial"/>
          <w:color w:val="000000" w:themeColor="text1"/>
          <w:sz w:val="28"/>
          <w:szCs w:val="28"/>
        </w:rPr>
      </w:pPr>
    </w:p>
    <w:p w:rsidR="00F73A76" w:rsidRPr="002D0237" w:rsidRDefault="00F73A76" w:rsidP="00FB2F28">
      <w:pPr>
        <w:tabs>
          <w:tab w:val="left" w:pos="2177"/>
          <w:tab w:val="left" w:pos="3851"/>
        </w:tabs>
        <w:spacing w:after="0" w:line="240" w:lineRule="auto"/>
        <w:ind w:firstLine="142"/>
        <w:rPr>
          <w:rFonts w:ascii="Arial" w:hAnsi="Arial" w:cs="Arial"/>
          <w:color w:val="000000" w:themeColor="text1"/>
          <w:sz w:val="28"/>
          <w:szCs w:val="28"/>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color w:val="000000" w:themeColor="text1"/>
          <w:sz w:val="28"/>
          <w:szCs w:val="28"/>
          <w:lang w:eastAsia="ru-RU"/>
        </w:rPr>
      </w:pPr>
    </w:p>
    <w:p w:rsidR="004D67BC" w:rsidRPr="002D0237" w:rsidRDefault="004D67BC" w:rsidP="00FB2F28">
      <w:pPr>
        <w:tabs>
          <w:tab w:val="left" w:pos="2177"/>
          <w:tab w:val="left" w:pos="3851"/>
        </w:tabs>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59. Место и роль России в ЕАЭС и перспективы сотрудничества РФ с другими странами в рамках СНГ.</w:t>
      </w:r>
    </w:p>
    <w:p w:rsidR="004D67BC" w:rsidRPr="002D0237" w:rsidRDefault="004D67BC" w:rsidP="00FB2F28">
      <w:pPr>
        <w:spacing w:after="0" w:line="240" w:lineRule="auto"/>
        <w:ind w:firstLine="142"/>
        <w:rPr>
          <w:rFonts w:ascii="Arial" w:hAnsi="Arial" w:cs="Arial"/>
          <w:color w:val="000000" w:themeColor="text1"/>
          <w:sz w:val="28"/>
          <w:szCs w:val="28"/>
          <w:lang w:eastAsia="ru-RU"/>
        </w:rPr>
      </w:pPr>
      <w:r w:rsidRPr="002D0237">
        <w:rPr>
          <w:rFonts w:ascii="Arial" w:hAnsi="Arial" w:cs="Arial"/>
          <w:color w:val="000000" w:themeColor="text1"/>
          <w:sz w:val="28"/>
          <w:szCs w:val="28"/>
          <w:lang w:eastAsia="ru-RU"/>
        </w:rPr>
        <w:t>Россия играет ведущую роль в ЕАЭС. Очевидно резкое экономическое превосходство России над Белоруссией, Казахстаном, Арменией и Киргизией.Территория и численность населения России намного больше, чем других участников союза. На Россию приходится более 85% совокупного ВВП, и именно она будет нести на себе основную тяжесть интеграции, что будет выражаться в постоянных уступках и финансовой помощи своим партнерам. Более 30% экономики Киргизии и 20% Армении зависит от денежных переводов их граждан из России. К тому же товарооборот между членами ЕАЭС сокращается второй год подряд. Внутри блока разворачиваются торговые войны и воздвигаются барьеры. Объективно Россия слишком велика для эффективной интеграционной группировки только с этими странами. Если сравнивать с ЕС, то в Европе интегрировались страны с примерно одинаковым и относительно высоким уровнем развития рыночной экономики и демократических институтов, чего не скажешь об участниках интеграции на постсоветском пространстве. К тому же каждая сторона-участница имеет свои мотивы и приоритеты для экономической интеграции. Главная сильная сторона ЕАЭС – это то, что страны-участницы ранее были в составе одного государства – СССР. Менталитет населения, знание русского языка как языка межгосударственного общения, оставшиеся тесные кооперационные экономические связи, глубокая взаимосвязанность национальных хозяйств дают возможность рассчитывать на дополнительные дивиденды, модернизацию и повышение конкурентоспособности экономик стран ЕАЭС в условиях глобальной нестабильности.</w:t>
      </w: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r w:rsidRPr="002D0237">
        <w:rPr>
          <w:rFonts w:ascii="Arial" w:hAnsi="Arial" w:cs="Arial"/>
          <w:color w:val="000000" w:themeColor="text1"/>
          <w:sz w:val="28"/>
          <w:szCs w:val="28"/>
        </w:rPr>
        <w:t xml:space="preserve">К настоящему времени сформировались две концепции отношений России со странами ближнего зарубежья. Первая- тесные интеграционные связи, выгодных как для России, так и ее партнеров. Вторая- экономическое размежевание и обособление России из-за опасения экономического иждивенчества со стороны партнеров. </w:t>
      </w:r>
      <w:r w:rsidRPr="002D0237">
        <w:rPr>
          <w:rFonts w:ascii="Arial" w:hAnsi="Arial" w:cs="Arial"/>
          <w:b/>
          <w:color w:val="000000" w:themeColor="text1"/>
          <w:sz w:val="28"/>
          <w:szCs w:val="28"/>
        </w:rPr>
        <w:t>Сдерживающим фактором развития интеграционного сотрудничества</w:t>
      </w:r>
      <w:r w:rsidRPr="002D0237">
        <w:rPr>
          <w:rFonts w:ascii="Arial" w:hAnsi="Arial" w:cs="Arial"/>
          <w:color w:val="000000" w:themeColor="text1"/>
          <w:sz w:val="28"/>
          <w:szCs w:val="28"/>
        </w:rPr>
        <w:t xml:space="preserve"> в валютно-финансовой сфере в регионе СНГ остаются фундаментальные внутренние структурные и макроэкономические проблемы государств — участников Содружества, тормозящие согласование макроэкономической и валютно-финансовой политики. За прошедшие с момента объединения годы проблемы решались слабо, а в определенном смысле даже обострялись, особенно под влиянием мирового финансово-экономического кризиса. Сохраняются в целом монокультурность производственных структур, их относительная слабость и низкий уровень диверсификации. И, как следствие, доля взаимных торгово-экономических отношений имеет тенденцию к снижению. </w:t>
      </w: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jc w:val="both"/>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jc w:val="both"/>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jc w:val="both"/>
        <w:rPr>
          <w:rFonts w:ascii="Arial" w:hAnsi="Arial" w:cs="Arial"/>
          <w:color w:val="000000" w:themeColor="text1"/>
          <w:sz w:val="28"/>
          <w:szCs w:val="28"/>
        </w:rPr>
      </w:pPr>
    </w:p>
    <w:p w:rsidR="00F73A76" w:rsidRPr="002D0237" w:rsidRDefault="00F73A76"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pStyle w:val="a6"/>
        <w:spacing w:before="0" w:beforeAutospacing="0" w:after="0" w:afterAutospacing="0"/>
        <w:ind w:firstLine="142"/>
        <w:jc w:val="both"/>
        <w:rPr>
          <w:rFonts w:ascii="Arial" w:hAnsi="Arial" w:cs="Arial"/>
          <w:color w:val="000000" w:themeColor="text1"/>
          <w:sz w:val="28"/>
          <w:szCs w:val="28"/>
        </w:rPr>
      </w:pPr>
    </w:p>
    <w:p w:rsidR="004D67BC" w:rsidRPr="002D0237" w:rsidRDefault="004D67BC" w:rsidP="00FB2F28">
      <w:pPr>
        <w:tabs>
          <w:tab w:val="left" w:pos="1356"/>
        </w:tabs>
        <w:spacing w:after="0" w:line="240" w:lineRule="auto"/>
        <w:ind w:firstLine="142"/>
        <w:rPr>
          <w:rFonts w:ascii="Arial" w:eastAsia="Times New Roman" w:hAnsi="Arial" w:cs="Arial"/>
          <w:b/>
          <w:color w:val="000000" w:themeColor="text1"/>
          <w:sz w:val="28"/>
          <w:szCs w:val="28"/>
          <w:lang w:eastAsia="ru-RU"/>
        </w:rPr>
      </w:pPr>
      <w:r w:rsidRPr="002D0237">
        <w:rPr>
          <w:rFonts w:ascii="Arial" w:eastAsia="Times New Roman" w:hAnsi="Arial" w:cs="Arial"/>
          <w:b/>
          <w:color w:val="000000" w:themeColor="text1"/>
          <w:sz w:val="28"/>
          <w:szCs w:val="28"/>
          <w:lang w:eastAsia="ru-RU"/>
        </w:rPr>
        <w:lastRenderedPageBreak/>
        <w:t>60. Проблемы формирования международного финансового центра в Москве.</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В настоящее время разрабатываются соответствующие основополагающие законы, необходимые для совершенствования деятельности национального финансового рынка и формирования МФЦ. В их числе законы: «О противодействии неправомерному использованию инсайдерской информации и манипулированию рынком», « О клиринге и клиринговой деятельности», «О биржах и организационных торгах», «О центральном депозитарии». </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Для создания МФЦ в РФ необходимо использовать опыт функционирования мировых финансовых центров с учетом критериев их привлекательности для иностранных инвесторов.</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Необходимо повысить международную конкурентоспособность российского финансового рынка как важного критерия оценки степени его развития и перспектив создания МФЦ. Для достижения этой цели прежде всего необходимы дальнейшее улучшение макроэкономических показателей, политическая стабильность в РФ. Требуется фундаментальная подготовка к формированию российского МФЦ в целях достижения его основных критериев с учетом мирового опыта.</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Для формирования МФЦ важно повысить степень интернационализации деятельности российского финансового рынка в функциональных и институциональных аспектах. Для этого требуется массовый приток иностранных инвесторов. Для их привлечения необходимо снизить уровень их совокупных затрат, который зависит от налогообложения и стоимости услуг. Не менее важно дальнейшее улучшение инвестиционного климата, определяемого перспективами экономики, уровнем рисков, состоянием инфраструктуры.</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Для создания МФЦ необходима диверсификация операции с финансовыми инструментами на российском финансовом рынке с учетом мировой тенденции трансформации реальных активов в эти инструменты в целях торговли ими. Кроме того, необходимы их концентрация и торги на российском рынке, где должны происходить их ценообразование и формирование экономических решении.</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Для стимулирования притока иностранных инвесторов на российский финансовый рынок и формируемый МФЦ важно дальнейшее увеличение количества российских частных инвесторов.</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 xml:space="preserve">Привлекательность российского финансового рынка определяется наличием финансовых ресурсов в РФ, развитием современной инфраструктуры, торговых технологии, в частности интернет-трейдинга. Активно развивается высокоскоростная торговля  финансовыми инструментами, как в мировых финансовых центрах. </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Одним из факторов повышения привлекательности российского МФЦ, судя по мировому опыту, может стать специализация на определенных операциях и сферах деятельности.</w:t>
      </w:r>
    </w:p>
    <w:p w:rsidR="004D67BC" w:rsidRPr="002D0237" w:rsidRDefault="004D67BC" w:rsidP="00FB2F28">
      <w:pPr>
        <w:tabs>
          <w:tab w:val="left" w:pos="1356"/>
        </w:tabs>
        <w:spacing w:after="0" w:line="240" w:lineRule="auto"/>
        <w:ind w:firstLine="142"/>
        <w:rPr>
          <w:rFonts w:ascii="Arial" w:eastAsia="Times New Roman" w:hAnsi="Arial" w:cs="Arial"/>
          <w:color w:val="000000" w:themeColor="text1"/>
          <w:sz w:val="28"/>
          <w:szCs w:val="28"/>
          <w:lang w:eastAsia="ru-RU"/>
        </w:rPr>
      </w:pPr>
      <w:r w:rsidRPr="002D0237">
        <w:rPr>
          <w:rFonts w:ascii="Arial" w:eastAsia="Times New Roman" w:hAnsi="Arial" w:cs="Arial"/>
          <w:color w:val="000000" w:themeColor="text1"/>
          <w:sz w:val="28"/>
          <w:szCs w:val="28"/>
          <w:lang w:eastAsia="ru-RU"/>
        </w:rPr>
        <w:t>Таким образом, формирование основных условии для создания МФЦ в РФ позволит ему занять достойное место в региональных и мировом пространстве.</w:t>
      </w:r>
    </w:p>
    <w:p w:rsidR="00EA4464" w:rsidRPr="002D0237" w:rsidRDefault="00EA4464" w:rsidP="00FB2F28">
      <w:pPr>
        <w:spacing w:after="0" w:line="240" w:lineRule="auto"/>
        <w:ind w:firstLine="142"/>
        <w:rPr>
          <w:rFonts w:ascii="Arial" w:hAnsi="Arial" w:cs="Arial"/>
          <w:color w:val="000000" w:themeColor="text1"/>
          <w:sz w:val="28"/>
          <w:szCs w:val="28"/>
        </w:rPr>
      </w:pPr>
    </w:p>
    <w:sectPr w:rsidR="00EA4464" w:rsidRPr="002D0237" w:rsidSect="002D0237">
      <w:pgSz w:w="11906" w:h="16838"/>
      <w:pgMar w:top="340" w:right="340" w:bottom="340" w:left="340" w:header="709" w:footer="709" w:gutter="0"/>
      <w:pgBorders w:offsetFrom="page">
        <w:top w:val="single" w:sz="4" w:space="6" w:color="auto"/>
        <w:left w:val="single" w:sz="4" w:space="6" w:color="auto"/>
        <w:bottom w:val="single" w:sz="4" w:space="6" w:color="auto"/>
        <w:right w:val="single" w:sz="4" w:space="6"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6D"/>
    <w:multiLevelType w:val="multilevel"/>
    <w:tmpl w:val="BC966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FA25A0"/>
    <w:multiLevelType w:val="hybridMultilevel"/>
    <w:tmpl w:val="6674DD78"/>
    <w:lvl w:ilvl="0" w:tplc="07F6E184">
      <w:start w:val="1"/>
      <w:numFmt w:val="bullet"/>
      <w:lvlText w:val=""/>
      <w:lvlJc w:val="left"/>
      <w:pPr>
        <w:tabs>
          <w:tab w:val="num" w:pos="720"/>
        </w:tabs>
        <w:ind w:left="720" w:hanging="360"/>
      </w:pPr>
      <w:rPr>
        <w:rFonts w:ascii="Wingdings 2" w:hAnsi="Wingdings 2" w:hint="default"/>
      </w:rPr>
    </w:lvl>
    <w:lvl w:ilvl="1" w:tplc="43D25582" w:tentative="1">
      <w:start w:val="1"/>
      <w:numFmt w:val="bullet"/>
      <w:lvlText w:val=""/>
      <w:lvlJc w:val="left"/>
      <w:pPr>
        <w:tabs>
          <w:tab w:val="num" w:pos="1440"/>
        </w:tabs>
        <w:ind w:left="1440" w:hanging="360"/>
      </w:pPr>
      <w:rPr>
        <w:rFonts w:ascii="Wingdings 2" w:hAnsi="Wingdings 2" w:hint="default"/>
      </w:rPr>
    </w:lvl>
    <w:lvl w:ilvl="2" w:tplc="EB7A2C16" w:tentative="1">
      <w:start w:val="1"/>
      <w:numFmt w:val="bullet"/>
      <w:lvlText w:val=""/>
      <w:lvlJc w:val="left"/>
      <w:pPr>
        <w:tabs>
          <w:tab w:val="num" w:pos="2160"/>
        </w:tabs>
        <w:ind w:left="2160" w:hanging="360"/>
      </w:pPr>
      <w:rPr>
        <w:rFonts w:ascii="Wingdings 2" w:hAnsi="Wingdings 2" w:hint="default"/>
      </w:rPr>
    </w:lvl>
    <w:lvl w:ilvl="3" w:tplc="AEDC9B32" w:tentative="1">
      <w:start w:val="1"/>
      <w:numFmt w:val="bullet"/>
      <w:lvlText w:val=""/>
      <w:lvlJc w:val="left"/>
      <w:pPr>
        <w:tabs>
          <w:tab w:val="num" w:pos="2880"/>
        </w:tabs>
        <w:ind w:left="2880" w:hanging="360"/>
      </w:pPr>
      <w:rPr>
        <w:rFonts w:ascii="Wingdings 2" w:hAnsi="Wingdings 2" w:hint="default"/>
      </w:rPr>
    </w:lvl>
    <w:lvl w:ilvl="4" w:tplc="73305438" w:tentative="1">
      <w:start w:val="1"/>
      <w:numFmt w:val="bullet"/>
      <w:lvlText w:val=""/>
      <w:lvlJc w:val="left"/>
      <w:pPr>
        <w:tabs>
          <w:tab w:val="num" w:pos="3600"/>
        </w:tabs>
        <w:ind w:left="3600" w:hanging="360"/>
      </w:pPr>
      <w:rPr>
        <w:rFonts w:ascii="Wingdings 2" w:hAnsi="Wingdings 2" w:hint="default"/>
      </w:rPr>
    </w:lvl>
    <w:lvl w:ilvl="5" w:tplc="50CAE228" w:tentative="1">
      <w:start w:val="1"/>
      <w:numFmt w:val="bullet"/>
      <w:lvlText w:val=""/>
      <w:lvlJc w:val="left"/>
      <w:pPr>
        <w:tabs>
          <w:tab w:val="num" w:pos="4320"/>
        </w:tabs>
        <w:ind w:left="4320" w:hanging="360"/>
      </w:pPr>
      <w:rPr>
        <w:rFonts w:ascii="Wingdings 2" w:hAnsi="Wingdings 2" w:hint="default"/>
      </w:rPr>
    </w:lvl>
    <w:lvl w:ilvl="6" w:tplc="C950ADFE" w:tentative="1">
      <w:start w:val="1"/>
      <w:numFmt w:val="bullet"/>
      <w:lvlText w:val=""/>
      <w:lvlJc w:val="left"/>
      <w:pPr>
        <w:tabs>
          <w:tab w:val="num" w:pos="5040"/>
        </w:tabs>
        <w:ind w:left="5040" w:hanging="360"/>
      </w:pPr>
      <w:rPr>
        <w:rFonts w:ascii="Wingdings 2" w:hAnsi="Wingdings 2" w:hint="default"/>
      </w:rPr>
    </w:lvl>
    <w:lvl w:ilvl="7" w:tplc="9E92B9C0" w:tentative="1">
      <w:start w:val="1"/>
      <w:numFmt w:val="bullet"/>
      <w:lvlText w:val=""/>
      <w:lvlJc w:val="left"/>
      <w:pPr>
        <w:tabs>
          <w:tab w:val="num" w:pos="5760"/>
        </w:tabs>
        <w:ind w:left="5760" w:hanging="360"/>
      </w:pPr>
      <w:rPr>
        <w:rFonts w:ascii="Wingdings 2" w:hAnsi="Wingdings 2" w:hint="default"/>
      </w:rPr>
    </w:lvl>
    <w:lvl w:ilvl="8" w:tplc="9FAC13D6" w:tentative="1">
      <w:start w:val="1"/>
      <w:numFmt w:val="bullet"/>
      <w:lvlText w:val=""/>
      <w:lvlJc w:val="left"/>
      <w:pPr>
        <w:tabs>
          <w:tab w:val="num" w:pos="6480"/>
        </w:tabs>
        <w:ind w:left="6480" w:hanging="360"/>
      </w:pPr>
      <w:rPr>
        <w:rFonts w:ascii="Wingdings 2" w:hAnsi="Wingdings 2" w:hint="default"/>
      </w:rPr>
    </w:lvl>
  </w:abstractNum>
  <w:abstractNum w:abstractNumId="2">
    <w:nsid w:val="053B548A"/>
    <w:multiLevelType w:val="multilevel"/>
    <w:tmpl w:val="096CF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8A375A"/>
    <w:multiLevelType w:val="hybridMultilevel"/>
    <w:tmpl w:val="5CFA5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E0604"/>
    <w:multiLevelType w:val="multilevel"/>
    <w:tmpl w:val="EBB08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63159F"/>
    <w:multiLevelType w:val="hybridMultilevel"/>
    <w:tmpl w:val="B624F56E"/>
    <w:lvl w:ilvl="0" w:tplc="4086E5D6">
      <w:start w:val="1"/>
      <w:numFmt w:val="decimal"/>
      <w:lvlText w:val="%1."/>
      <w:lvlJc w:val="left"/>
      <w:pPr>
        <w:ind w:left="900" w:hanging="54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2BD051F"/>
    <w:multiLevelType w:val="multilevel"/>
    <w:tmpl w:val="5C0E06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256156"/>
    <w:multiLevelType w:val="hybridMultilevel"/>
    <w:tmpl w:val="B8900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3B4BCE"/>
    <w:multiLevelType w:val="multilevel"/>
    <w:tmpl w:val="B64C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4F52C7"/>
    <w:multiLevelType w:val="hybridMultilevel"/>
    <w:tmpl w:val="C73492A0"/>
    <w:lvl w:ilvl="0" w:tplc="A378DD6C">
      <w:start w:val="1"/>
      <w:numFmt w:val="bullet"/>
      <w:lvlText w:val=""/>
      <w:lvlJc w:val="left"/>
      <w:pPr>
        <w:tabs>
          <w:tab w:val="num" w:pos="720"/>
        </w:tabs>
        <w:ind w:left="720" w:hanging="360"/>
      </w:pPr>
      <w:rPr>
        <w:rFonts w:ascii="Wingdings 3" w:hAnsi="Wingdings 3" w:hint="default"/>
      </w:rPr>
    </w:lvl>
    <w:lvl w:ilvl="1" w:tplc="32FC3958" w:tentative="1">
      <w:start w:val="1"/>
      <w:numFmt w:val="bullet"/>
      <w:lvlText w:val=""/>
      <w:lvlJc w:val="left"/>
      <w:pPr>
        <w:tabs>
          <w:tab w:val="num" w:pos="1440"/>
        </w:tabs>
        <w:ind w:left="1440" w:hanging="360"/>
      </w:pPr>
      <w:rPr>
        <w:rFonts w:ascii="Wingdings 3" w:hAnsi="Wingdings 3" w:hint="default"/>
      </w:rPr>
    </w:lvl>
    <w:lvl w:ilvl="2" w:tplc="5A62C5B2" w:tentative="1">
      <w:start w:val="1"/>
      <w:numFmt w:val="bullet"/>
      <w:lvlText w:val=""/>
      <w:lvlJc w:val="left"/>
      <w:pPr>
        <w:tabs>
          <w:tab w:val="num" w:pos="2160"/>
        </w:tabs>
        <w:ind w:left="2160" w:hanging="360"/>
      </w:pPr>
      <w:rPr>
        <w:rFonts w:ascii="Wingdings 3" w:hAnsi="Wingdings 3" w:hint="default"/>
      </w:rPr>
    </w:lvl>
    <w:lvl w:ilvl="3" w:tplc="D2AA8374" w:tentative="1">
      <w:start w:val="1"/>
      <w:numFmt w:val="bullet"/>
      <w:lvlText w:val=""/>
      <w:lvlJc w:val="left"/>
      <w:pPr>
        <w:tabs>
          <w:tab w:val="num" w:pos="2880"/>
        </w:tabs>
        <w:ind w:left="2880" w:hanging="360"/>
      </w:pPr>
      <w:rPr>
        <w:rFonts w:ascii="Wingdings 3" w:hAnsi="Wingdings 3" w:hint="default"/>
      </w:rPr>
    </w:lvl>
    <w:lvl w:ilvl="4" w:tplc="670CC3FC" w:tentative="1">
      <w:start w:val="1"/>
      <w:numFmt w:val="bullet"/>
      <w:lvlText w:val=""/>
      <w:lvlJc w:val="left"/>
      <w:pPr>
        <w:tabs>
          <w:tab w:val="num" w:pos="3600"/>
        </w:tabs>
        <w:ind w:left="3600" w:hanging="360"/>
      </w:pPr>
      <w:rPr>
        <w:rFonts w:ascii="Wingdings 3" w:hAnsi="Wingdings 3" w:hint="default"/>
      </w:rPr>
    </w:lvl>
    <w:lvl w:ilvl="5" w:tplc="44409D4A" w:tentative="1">
      <w:start w:val="1"/>
      <w:numFmt w:val="bullet"/>
      <w:lvlText w:val=""/>
      <w:lvlJc w:val="left"/>
      <w:pPr>
        <w:tabs>
          <w:tab w:val="num" w:pos="4320"/>
        </w:tabs>
        <w:ind w:left="4320" w:hanging="360"/>
      </w:pPr>
      <w:rPr>
        <w:rFonts w:ascii="Wingdings 3" w:hAnsi="Wingdings 3" w:hint="default"/>
      </w:rPr>
    </w:lvl>
    <w:lvl w:ilvl="6" w:tplc="93DC0CD4" w:tentative="1">
      <w:start w:val="1"/>
      <w:numFmt w:val="bullet"/>
      <w:lvlText w:val=""/>
      <w:lvlJc w:val="left"/>
      <w:pPr>
        <w:tabs>
          <w:tab w:val="num" w:pos="5040"/>
        </w:tabs>
        <w:ind w:left="5040" w:hanging="360"/>
      </w:pPr>
      <w:rPr>
        <w:rFonts w:ascii="Wingdings 3" w:hAnsi="Wingdings 3" w:hint="default"/>
      </w:rPr>
    </w:lvl>
    <w:lvl w:ilvl="7" w:tplc="6362FF1E" w:tentative="1">
      <w:start w:val="1"/>
      <w:numFmt w:val="bullet"/>
      <w:lvlText w:val=""/>
      <w:lvlJc w:val="left"/>
      <w:pPr>
        <w:tabs>
          <w:tab w:val="num" w:pos="5760"/>
        </w:tabs>
        <w:ind w:left="5760" w:hanging="360"/>
      </w:pPr>
      <w:rPr>
        <w:rFonts w:ascii="Wingdings 3" w:hAnsi="Wingdings 3" w:hint="default"/>
      </w:rPr>
    </w:lvl>
    <w:lvl w:ilvl="8" w:tplc="E9D4059C" w:tentative="1">
      <w:start w:val="1"/>
      <w:numFmt w:val="bullet"/>
      <w:lvlText w:val=""/>
      <w:lvlJc w:val="left"/>
      <w:pPr>
        <w:tabs>
          <w:tab w:val="num" w:pos="6480"/>
        </w:tabs>
        <w:ind w:left="6480" w:hanging="360"/>
      </w:pPr>
      <w:rPr>
        <w:rFonts w:ascii="Wingdings 3" w:hAnsi="Wingdings 3" w:hint="default"/>
      </w:rPr>
    </w:lvl>
  </w:abstractNum>
  <w:abstractNum w:abstractNumId="10">
    <w:nsid w:val="431D03A2"/>
    <w:multiLevelType w:val="multilevel"/>
    <w:tmpl w:val="FC609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970A1C"/>
    <w:multiLevelType w:val="multilevel"/>
    <w:tmpl w:val="E7E6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3622F7"/>
    <w:multiLevelType w:val="hybridMultilevel"/>
    <w:tmpl w:val="42681152"/>
    <w:lvl w:ilvl="0" w:tplc="BB900BA6">
      <w:start w:val="1"/>
      <w:numFmt w:val="bullet"/>
      <w:lvlText w:val=""/>
      <w:lvlJc w:val="left"/>
      <w:pPr>
        <w:tabs>
          <w:tab w:val="num" w:pos="720"/>
        </w:tabs>
        <w:ind w:left="720" w:hanging="360"/>
      </w:pPr>
      <w:rPr>
        <w:rFonts w:ascii="Wingdings 3" w:hAnsi="Wingdings 3" w:hint="default"/>
      </w:rPr>
    </w:lvl>
    <w:lvl w:ilvl="1" w:tplc="5FB88E42" w:tentative="1">
      <w:start w:val="1"/>
      <w:numFmt w:val="bullet"/>
      <w:lvlText w:val=""/>
      <w:lvlJc w:val="left"/>
      <w:pPr>
        <w:tabs>
          <w:tab w:val="num" w:pos="1440"/>
        </w:tabs>
        <w:ind w:left="1440" w:hanging="360"/>
      </w:pPr>
      <w:rPr>
        <w:rFonts w:ascii="Wingdings 3" w:hAnsi="Wingdings 3" w:hint="default"/>
      </w:rPr>
    </w:lvl>
    <w:lvl w:ilvl="2" w:tplc="EFA40ABE" w:tentative="1">
      <w:start w:val="1"/>
      <w:numFmt w:val="bullet"/>
      <w:lvlText w:val=""/>
      <w:lvlJc w:val="left"/>
      <w:pPr>
        <w:tabs>
          <w:tab w:val="num" w:pos="2160"/>
        </w:tabs>
        <w:ind w:left="2160" w:hanging="360"/>
      </w:pPr>
      <w:rPr>
        <w:rFonts w:ascii="Wingdings 3" w:hAnsi="Wingdings 3" w:hint="default"/>
      </w:rPr>
    </w:lvl>
    <w:lvl w:ilvl="3" w:tplc="7C649058" w:tentative="1">
      <w:start w:val="1"/>
      <w:numFmt w:val="bullet"/>
      <w:lvlText w:val=""/>
      <w:lvlJc w:val="left"/>
      <w:pPr>
        <w:tabs>
          <w:tab w:val="num" w:pos="2880"/>
        </w:tabs>
        <w:ind w:left="2880" w:hanging="360"/>
      </w:pPr>
      <w:rPr>
        <w:rFonts w:ascii="Wingdings 3" w:hAnsi="Wingdings 3" w:hint="default"/>
      </w:rPr>
    </w:lvl>
    <w:lvl w:ilvl="4" w:tplc="FF90CF1E" w:tentative="1">
      <w:start w:val="1"/>
      <w:numFmt w:val="bullet"/>
      <w:lvlText w:val=""/>
      <w:lvlJc w:val="left"/>
      <w:pPr>
        <w:tabs>
          <w:tab w:val="num" w:pos="3600"/>
        </w:tabs>
        <w:ind w:left="3600" w:hanging="360"/>
      </w:pPr>
      <w:rPr>
        <w:rFonts w:ascii="Wingdings 3" w:hAnsi="Wingdings 3" w:hint="default"/>
      </w:rPr>
    </w:lvl>
    <w:lvl w:ilvl="5" w:tplc="594E7FD4" w:tentative="1">
      <w:start w:val="1"/>
      <w:numFmt w:val="bullet"/>
      <w:lvlText w:val=""/>
      <w:lvlJc w:val="left"/>
      <w:pPr>
        <w:tabs>
          <w:tab w:val="num" w:pos="4320"/>
        </w:tabs>
        <w:ind w:left="4320" w:hanging="360"/>
      </w:pPr>
      <w:rPr>
        <w:rFonts w:ascii="Wingdings 3" w:hAnsi="Wingdings 3" w:hint="default"/>
      </w:rPr>
    </w:lvl>
    <w:lvl w:ilvl="6" w:tplc="7B4464C6" w:tentative="1">
      <w:start w:val="1"/>
      <w:numFmt w:val="bullet"/>
      <w:lvlText w:val=""/>
      <w:lvlJc w:val="left"/>
      <w:pPr>
        <w:tabs>
          <w:tab w:val="num" w:pos="5040"/>
        </w:tabs>
        <w:ind w:left="5040" w:hanging="360"/>
      </w:pPr>
      <w:rPr>
        <w:rFonts w:ascii="Wingdings 3" w:hAnsi="Wingdings 3" w:hint="default"/>
      </w:rPr>
    </w:lvl>
    <w:lvl w:ilvl="7" w:tplc="72F6A452" w:tentative="1">
      <w:start w:val="1"/>
      <w:numFmt w:val="bullet"/>
      <w:lvlText w:val=""/>
      <w:lvlJc w:val="left"/>
      <w:pPr>
        <w:tabs>
          <w:tab w:val="num" w:pos="5760"/>
        </w:tabs>
        <w:ind w:left="5760" w:hanging="360"/>
      </w:pPr>
      <w:rPr>
        <w:rFonts w:ascii="Wingdings 3" w:hAnsi="Wingdings 3" w:hint="default"/>
      </w:rPr>
    </w:lvl>
    <w:lvl w:ilvl="8" w:tplc="833AD336" w:tentative="1">
      <w:start w:val="1"/>
      <w:numFmt w:val="bullet"/>
      <w:lvlText w:val=""/>
      <w:lvlJc w:val="left"/>
      <w:pPr>
        <w:tabs>
          <w:tab w:val="num" w:pos="6480"/>
        </w:tabs>
        <w:ind w:left="6480" w:hanging="360"/>
      </w:pPr>
      <w:rPr>
        <w:rFonts w:ascii="Wingdings 3" w:hAnsi="Wingdings 3" w:hint="default"/>
      </w:rPr>
    </w:lvl>
  </w:abstractNum>
  <w:abstractNum w:abstractNumId="13">
    <w:nsid w:val="4E0A1A65"/>
    <w:multiLevelType w:val="hybridMultilevel"/>
    <w:tmpl w:val="94E223A8"/>
    <w:lvl w:ilvl="0" w:tplc="6F7AFA18">
      <w:start w:val="1"/>
      <w:numFmt w:val="bullet"/>
      <w:lvlText w:val=""/>
      <w:lvlJc w:val="left"/>
      <w:pPr>
        <w:tabs>
          <w:tab w:val="num" w:pos="720"/>
        </w:tabs>
        <w:ind w:left="720" w:hanging="360"/>
      </w:pPr>
      <w:rPr>
        <w:rFonts w:ascii="Wingdings 3" w:hAnsi="Wingdings 3" w:hint="default"/>
      </w:rPr>
    </w:lvl>
    <w:lvl w:ilvl="1" w:tplc="F15E4DCC" w:tentative="1">
      <w:start w:val="1"/>
      <w:numFmt w:val="bullet"/>
      <w:lvlText w:val=""/>
      <w:lvlJc w:val="left"/>
      <w:pPr>
        <w:tabs>
          <w:tab w:val="num" w:pos="1440"/>
        </w:tabs>
        <w:ind w:left="1440" w:hanging="360"/>
      </w:pPr>
      <w:rPr>
        <w:rFonts w:ascii="Wingdings 3" w:hAnsi="Wingdings 3" w:hint="default"/>
      </w:rPr>
    </w:lvl>
    <w:lvl w:ilvl="2" w:tplc="02C0EEAA" w:tentative="1">
      <w:start w:val="1"/>
      <w:numFmt w:val="bullet"/>
      <w:lvlText w:val=""/>
      <w:lvlJc w:val="left"/>
      <w:pPr>
        <w:tabs>
          <w:tab w:val="num" w:pos="2160"/>
        </w:tabs>
        <w:ind w:left="2160" w:hanging="360"/>
      </w:pPr>
      <w:rPr>
        <w:rFonts w:ascii="Wingdings 3" w:hAnsi="Wingdings 3" w:hint="default"/>
      </w:rPr>
    </w:lvl>
    <w:lvl w:ilvl="3" w:tplc="95DED79A" w:tentative="1">
      <w:start w:val="1"/>
      <w:numFmt w:val="bullet"/>
      <w:lvlText w:val=""/>
      <w:lvlJc w:val="left"/>
      <w:pPr>
        <w:tabs>
          <w:tab w:val="num" w:pos="2880"/>
        </w:tabs>
        <w:ind w:left="2880" w:hanging="360"/>
      </w:pPr>
      <w:rPr>
        <w:rFonts w:ascii="Wingdings 3" w:hAnsi="Wingdings 3" w:hint="default"/>
      </w:rPr>
    </w:lvl>
    <w:lvl w:ilvl="4" w:tplc="AF2EEEA2" w:tentative="1">
      <w:start w:val="1"/>
      <w:numFmt w:val="bullet"/>
      <w:lvlText w:val=""/>
      <w:lvlJc w:val="left"/>
      <w:pPr>
        <w:tabs>
          <w:tab w:val="num" w:pos="3600"/>
        </w:tabs>
        <w:ind w:left="3600" w:hanging="360"/>
      </w:pPr>
      <w:rPr>
        <w:rFonts w:ascii="Wingdings 3" w:hAnsi="Wingdings 3" w:hint="default"/>
      </w:rPr>
    </w:lvl>
    <w:lvl w:ilvl="5" w:tplc="6AA23F32" w:tentative="1">
      <w:start w:val="1"/>
      <w:numFmt w:val="bullet"/>
      <w:lvlText w:val=""/>
      <w:lvlJc w:val="left"/>
      <w:pPr>
        <w:tabs>
          <w:tab w:val="num" w:pos="4320"/>
        </w:tabs>
        <w:ind w:left="4320" w:hanging="360"/>
      </w:pPr>
      <w:rPr>
        <w:rFonts w:ascii="Wingdings 3" w:hAnsi="Wingdings 3" w:hint="default"/>
      </w:rPr>
    </w:lvl>
    <w:lvl w:ilvl="6" w:tplc="D25CC9F0" w:tentative="1">
      <w:start w:val="1"/>
      <w:numFmt w:val="bullet"/>
      <w:lvlText w:val=""/>
      <w:lvlJc w:val="left"/>
      <w:pPr>
        <w:tabs>
          <w:tab w:val="num" w:pos="5040"/>
        </w:tabs>
        <w:ind w:left="5040" w:hanging="360"/>
      </w:pPr>
      <w:rPr>
        <w:rFonts w:ascii="Wingdings 3" w:hAnsi="Wingdings 3" w:hint="default"/>
      </w:rPr>
    </w:lvl>
    <w:lvl w:ilvl="7" w:tplc="8C147D60" w:tentative="1">
      <w:start w:val="1"/>
      <w:numFmt w:val="bullet"/>
      <w:lvlText w:val=""/>
      <w:lvlJc w:val="left"/>
      <w:pPr>
        <w:tabs>
          <w:tab w:val="num" w:pos="5760"/>
        </w:tabs>
        <w:ind w:left="5760" w:hanging="360"/>
      </w:pPr>
      <w:rPr>
        <w:rFonts w:ascii="Wingdings 3" w:hAnsi="Wingdings 3" w:hint="default"/>
      </w:rPr>
    </w:lvl>
    <w:lvl w:ilvl="8" w:tplc="4A645586" w:tentative="1">
      <w:start w:val="1"/>
      <w:numFmt w:val="bullet"/>
      <w:lvlText w:val=""/>
      <w:lvlJc w:val="left"/>
      <w:pPr>
        <w:tabs>
          <w:tab w:val="num" w:pos="6480"/>
        </w:tabs>
        <w:ind w:left="6480" w:hanging="360"/>
      </w:pPr>
      <w:rPr>
        <w:rFonts w:ascii="Wingdings 3" w:hAnsi="Wingdings 3" w:hint="default"/>
      </w:rPr>
    </w:lvl>
  </w:abstractNum>
  <w:abstractNum w:abstractNumId="14">
    <w:nsid w:val="4E710F93"/>
    <w:multiLevelType w:val="hybridMultilevel"/>
    <w:tmpl w:val="512ED30C"/>
    <w:lvl w:ilvl="0" w:tplc="76FE5D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CB49C4"/>
    <w:multiLevelType w:val="multilevel"/>
    <w:tmpl w:val="4B4E6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8F7737"/>
    <w:multiLevelType w:val="hybridMultilevel"/>
    <w:tmpl w:val="86FE4BF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nsid w:val="5B4D68CB"/>
    <w:multiLevelType w:val="hybridMultilevel"/>
    <w:tmpl w:val="1B00441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8">
    <w:nsid w:val="6E533C31"/>
    <w:multiLevelType w:val="hybridMultilevel"/>
    <w:tmpl w:val="D4F075FC"/>
    <w:lvl w:ilvl="0" w:tplc="A8F69002">
      <w:start w:val="1"/>
      <w:numFmt w:val="bullet"/>
      <w:lvlText w:val="-"/>
      <w:lvlJc w:val="left"/>
      <w:pPr>
        <w:tabs>
          <w:tab w:val="num" w:pos="720"/>
        </w:tabs>
        <w:ind w:left="720" w:hanging="360"/>
      </w:pPr>
      <w:rPr>
        <w:rFonts w:ascii="Times New Roman" w:hAnsi="Times New Roman" w:hint="default"/>
      </w:rPr>
    </w:lvl>
    <w:lvl w:ilvl="1" w:tplc="22B017DE" w:tentative="1">
      <w:start w:val="1"/>
      <w:numFmt w:val="bullet"/>
      <w:lvlText w:val="-"/>
      <w:lvlJc w:val="left"/>
      <w:pPr>
        <w:tabs>
          <w:tab w:val="num" w:pos="1440"/>
        </w:tabs>
        <w:ind w:left="1440" w:hanging="360"/>
      </w:pPr>
      <w:rPr>
        <w:rFonts w:ascii="Times New Roman" w:hAnsi="Times New Roman" w:hint="default"/>
      </w:rPr>
    </w:lvl>
    <w:lvl w:ilvl="2" w:tplc="299480B6" w:tentative="1">
      <w:start w:val="1"/>
      <w:numFmt w:val="bullet"/>
      <w:lvlText w:val="-"/>
      <w:lvlJc w:val="left"/>
      <w:pPr>
        <w:tabs>
          <w:tab w:val="num" w:pos="2160"/>
        </w:tabs>
        <w:ind w:left="2160" w:hanging="360"/>
      </w:pPr>
      <w:rPr>
        <w:rFonts w:ascii="Times New Roman" w:hAnsi="Times New Roman" w:hint="default"/>
      </w:rPr>
    </w:lvl>
    <w:lvl w:ilvl="3" w:tplc="302450A0" w:tentative="1">
      <w:start w:val="1"/>
      <w:numFmt w:val="bullet"/>
      <w:lvlText w:val="-"/>
      <w:lvlJc w:val="left"/>
      <w:pPr>
        <w:tabs>
          <w:tab w:val="num" w:pos="2880"/>
        </w:tabs>
        <w:ind w:left="2880" w:hanging="360"/>
      </w:pPr>
      <w:rPr>
        <w:rFonts w:ascii="Times New Roman" w:hAnsi="Times New Roman" w:hint="default"/>
      </w:rPr>
    </w:lvl>
    <w:lvl w:ilvl="4" w:tplc="9384B124" w:tentative="1">
      <w:start w:val="1"/>
      <w:numFmt w:val="bullet"/>
      <w:lvlText w:val="-"/>
      <w:lvlJc w:val="left"/>
      <w:pPr>
        <w:tabs>
          <w:tab w:val="num" w:pos="3600"/>
        </w:tabs>
        <w:ind w:left="3600" w:hanging="360"/>
      </w:pPr>
      <w:rPr>
        <w:rFonts w:ascii="Times New Roman" w:hAnsi="Times New Roman" w:hint="default"/>
      </w:rPr>
    </w:lvl>
    <w:lvl w:ilvl="5" w:tplc="26B69F94" w:tentative="1">
      <w:start w:val="1"/>
      <w:numFmt w:val="bullet"/>
      <w:lvlText w:val="-"/>
      <w:lvlJc w:val="left"/>
      <w:pPr>
        <w:tabs>
          <w:tab w:val="num" w:pos="4320"/>
        </w:tabs>
        <w:ind w:left="4320" w:hanging="360"/>
      </w:pPr>
      <w:rPr>
        <w:rFonts w:ascii="Times New Roman" w:hAnsi="Times New Roman" w:hint="default"/>
      </w:rPr>
    </w:lvl>
    <w:lvl w:ilvl="6" w:tplc="8C983744" w:tentative="1">
      <w:start w:val="1"/>
      <w:numFmt w:val="bullet"/>
      <w:lvlText w:val="-"/>
      <w:lvlJc w:val="left"/>
      <w:pPr>
        <w:tabs>
          <w:tab w:val="num" w:pos="5040"/>
        </w:tabs>
        <w:ind w:left="5040" w:hanging="360"/>
      </w:pPr>
      <w:rPr>
        <w:rFonts w:ascii="Times New Roman" w:hAnsi="Times New Roman" w:hint="default"/>
      </w:rPr>
    </w:lvl>
    <w:lvl w:ilvl="7" w:tplc="8D1AC17C" w:tentative="1">
      <w:start w:val="1"/>
      <w:numFmt w:val="bullet"/>
      <w:lvlText w:val="-"/>
      <w:lvlJc w:val="left"/>
      <w:pPr>
        <w:tabs>
          <w:tab w:val="num" w:pos="5760"/>
        </w:tabs>
        <w:ind w:left="5760" w:hanging="360"/>
      </w:pPr>
      <w:rPr>
        <w:rFonts w:ascii="Times New Roman" w:hAnsi="Times New Roman" w:hint="default"/>
      </w:rPr>
    </w:lvl>
    <w:lvl w:ilvl="8" w:tplc="6A4437FA"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42F09B7"/>
    <w:multiLevelType w:val="hybridMultilevel"/>
    <w:tmpl w:val="AEF0D7BC"/>
    <w:lvl w:ilvl="0" w:tplc="D9F2AABE">
      <w:start w:val="1"/>
      <w:numFmt w:val="bullet"/>
      <w:lvlText w:val=""/>
      <w:lvlJc w:val="left"/>
      <w:pPr>
        <w:tabs>
          <w:tab w:val="num" w:pos="720"/>
        </w:tabs>
        <w:ind w:left="720" w:hanging="360"/>
      </w:pPr>
      <w:rPr>
        <w:rFonts w:ascii="Wingdings 2" w:hAnsi="Wingdings 2" w:hint="default"/>
      </w:rPr>
    </w:lvl>
    <w:lvl w:ilvl="1" w:tplc="CA0CAD78" w:tentative="1">
      <w:start w:val="1"/>
      <w:numFmt w:val="bullet"/>
      <w:lvlText w:val=""/>
      <w:lvlJc w:val="left"/>
      <w:pPr>
        <w:tabs>
          <w:tab w:val="num" w:pos="1440"/>
        </w:tabs>
        <w:ind w:left="1440" w:hanging="360"/>
      </w:pPr>
      <w:rPr>
        <w:rFonts w:ascii="Wingdings 2" w:hAnsi="Wingdings 2" w:hint="default"/>
      </w:rPr>
    </w:lvl>
    <w:lvl w:ilvl="2" w:tplc="794CE110" w:tentative="1">
      <w:start w:val="1"/>
      <w:numFmt w:val="bullet"/>
      <w:lvlText w:val=""/>
      <w:lvlJc w:val="left"/>
      <w:pPr>
        <w:tabs>
          <w:tab w:val="num" w:pos="2160"/>
        </w:tabs>
        <w:ind w:left="2160" w:hanging="360"/>
      </w:pPr>
      <w:rPr>
        <w:rFonts w:ascii="Wingdings 2" w:hAnsi="Wingdings 2" w:hint="default"/>
      </w:rPr>
    </w:lvl>
    <w:lvl w:ilvl="3" w:tplc="C00E91AC" w:tentative="1">
      <w:start w:val="1"/>
      <w:numFmt w:val="bullet"/>
      <w:lvlText w:val=""/>
      <w:lvlJc w:val="left"/>
      <w:pPr>
        <w:tabs>
          <w:tab w:val="num" w:pos="2880"/>
        </w:tabs>
        <w:ind w:left="2880" w:hanging="360"/>
      </w:pPr>
      <w:rPr>
        <w:rFonts w:ascii="Wingdings 2" w:hAnsi="Wingdings 2" w:hint="default"/>
      </w:rPr>
    </w:lvl>
    <w:lvl w:ilvl="4" w:tplc="1034F5DC" w:tentative="1">
      <w:start w:val="1"/>
      <w:numFmt w:val="bullet"/>
      <w:lvlText w:val=""/>
      <w:lvlJc w:val="left"/>
      <w:pPr>
        <w:tabs>
          <w:tab w:val="num" w:pos="3600"/>
        </w:tabs>
        <w:ind w:left="3600" w:hanging="360"/>
      </w:pPr>
      <w:rPr>
        <w:rFonts w:ascii="Wingdings 2" w:hAnsi="Wingdings 2" w:hint="default"/>
      </w:rPr>
    </w:lvl>
    <w:lvl w:ilvl="5" w:tplc="8BD86456" w:tentative="1">
      <w:start w:val="1"/>
      <w:numFmt w:val="bullet"/>
      <w:lvlText w:val=""/>
      <w:lvlJc w:val="left"/>
      <w:pPr>
        <w:tabs>
          <w:tab w:val="num" w:pos="4320"/>
        </w:tabs>
        <w:ind w:left="4320" w:hanging="360"/>
      </w:pPr>
      <w:rPr>
        <w:rFonts w:ascii="Wingdings 2" w:hAnsi="Wingdings 2" w:hint="default"/>
      </w:rPr>
    </w:lvl>
    <w:lvl w:ilvl="6" w:tplc="D6889B16" w:tentative="1">
      <w:start w:val="1"/>
      <w:numFmt w:val="bullet"/>
      <w:lvlText w:val=""/>
      <w:lvlJc w:val="left"/>
      <w:pPr>
        <w:tabs>
          <w:tab w:val="num" w:pos="5040"/>
        </w:tabs>
        <w:ind w:left="5040" w:hanging="360"/>
      </w:pPr>
      <w:rPr>
        <w:rFonts w:ascii="Wingdings 2" w:hAnsi="Wingdings 2" w:hint="default"/>
      </w:rPr>
    </w:lvl>
    <w:lvl w:ilvl="7" w:tplc="13F85246" w:tentative="1">
      <w:start w:val="1"/>
      <w:numFmt w:val="bullet"/>
      <w:lvlText w:val=""/>
      <w:lvlJc w:val="left"/>
      <w:pPr>
        <w:tabs>
          <w:tab w:val="num" w:pos="5760"/>
        </w:tabs>
        <w:ind w:left="5760" w:hanging="360"/>
      </w:pPr>
      <w:rPr>
        <w:rFonts w:ascii="Wingdings 2" w:hAnsi="Wingdings 2" w:hint="default"/>
      </w:rPr>
    </w:lvl>
    <w:lvl w:ilvl="8" w:tplc="D16EF672" w:tentative="1">
      <w:start w:val="1"/>
      <w:numFmt w:val="bullet"/>
      <w:lvlText w:val=""/>
      <w:lvlJc w:val="left"/>
      <w:pPr>
        <w:tabs>
          <w:tab w:val="num" w:pos="6480"/>
        </w:tabs>
        <w:ind w:left="6480" w:hanging="360"/>
      </w:pPr>
      <w:rPr>
        <w:rFonts w:ascii="Wingdings 2" w:hAnsi="Wingdings 2" w:hint="default"/>
      </w:rPr>
    </w:lvl>
  </w:abstractNum>
  <w:num w:numId="1">
    <w:abstractNumId w:val="3"/>
  </w:num>
  <w:num w:numId="2">
    <w:abstractNumId w:val="14"/>
  </w:num>
  <w:num w:numId="3">
    <w:abstractNumId w:val="16"/>
  </w:num>
  <w:num w:numId="4">
    <w:abstractNumId w:val="17"/>
  </w:num>
  <w:num w:numId="5">
    <w:abstractNumId w:val="7"/>
  </w:num>
  <w:num w:numId="6">
    <w:abstractNumId w:val="11"/>
  </w:num>
  <w:num w:numId="7">
    <w:abstractNumId w:val="4"/>
  </w:num>
  <w:num w:numId="8">
    <w:abstractNumId w:val="8"/>
  </w:num>
  <w:num w:numId="9">
    <w:abstractNumId w:val="15"/>
  </w:num>
  <w:num w:numId="10">
    <w:abstractNumId w:val="10"/>
  </w:num>
  <w:num w:numId="11">
    <w:abstractNumId w:val="6"/>
  </w:num>
  <w:num w:numId="12">
    <w:abstractNumId w:val="2"/>
  </w:num>
  <w:num w:numId="13">
    <w:abstractNumId w:val="1"/>
  </w:num>
  <w:num w:numId="14">
    <w:abstractNumId w:val="19"/>
  </w:num>
  <w:num w:numId="15">
    <w:abstractNumId w:val="18"/>
  </w:num>
  <w:num w:numId="16">
    <w:abstractNumId w:val="0"/>
  </w:num>
  <w:num w:numId="17">
    <w:abstractNumId w:val="9"/>
  </w:num>
  <w:num w:numId="18">
    <w:abstractNumId w:val="12"/>
  </w:num>
  <w:num w:numId="19">
    <w:abstractNumId w:val="13"/>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A4464"/>
    <w:rsid w:val="000D5694"/>
    <w:rsid w:val="0029078C"/>
    <w:rsid w:val="002D0237"/>
    <w:rsid w:val="00302CAC"/>
    <w:rsid w:val="00344E5B"/>
    <w:rsid w:val="003F4228"/>
    <w:rsid w:val="004D67BC"/>
    <w:rsid w:val="004F1EF8"/>
    <w:rsid w:val="005067BE"/>
    <w:rsid w:val="006E4906"/>
    <w:rsid w:val="00944B75"/>
    <w:rsid w:val="00B47564"/>
    <w:rsid w:val="00B94DEE"/>
    <w:rsid w:val="00C73BF5"/>
    <w:rsid w:val="00CD7C8F"/>
    <w:rsid w:val="00E07DA7"/>
    <w:rsid w:val="00EA4464"/>
    <w:rsid w:val="00EF22C6"/>
    <w:rsid w:val="00F73A76"/>
    <w:rsid w:val="00FB2F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64"/>
  </w:style>
  <w:style w:type="paragraph" w:styleId="1">
    <w:name w:val="heading 1"/>
    <w:basedOn w:val="a"/>
    <w:next w:val="a"/>
    <w:link w:val="10"/>
    <w:uiPriority w:val="9"/>
    <w:qFormat/>
    <w:rsid w:val="00EA4464"/>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4464"/>
    <w:pPr>
      <w:ind w:left="720"/>
      <w:contextualSpacing/>
    </w:pPr>
  </w:style>
  <w:style w:type="table" w:styleId="a4">
    <w:name w:val="Table Grid"/>
    <w:basedOn w:val="a1"/>
    <w:uiPriority w:val="39"/>
    <w:rsid w:val="00EA44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A4464"/>
    <w:rPr>
      <w:rFonts w:asciiTheme="majorHAnsi" w:eastAsiaTheme="majorEastAsia" w:hAnsiTheme="majorHAnsi" w:cstheme="majorBidi"/>
      <w:b/>
      <w:bCs/>
      <w:color w:val="2E74B5" w:themeColor="accent1" w:themeShade="BF"/>
      <w:sz w:val="28"/>
      <w:szCs w:val="28"/>
    </w:rPr>
  </w:style>
  <w:style w:type="character" w:styleId="a5">
    <w:name w:val="Strong"/>
    <w:basedOn w:val="a0"/>
    <w:uiPriority w:val="22"/>
    <w:qFormat/>
    <w:rsid w:val="00EA4464"/>
    <w:rPr>
      <w:b/>
      <w:bCs/>
    </w:rPr>
  </w:style>
  <w:style w:type="paragraph" w:styleId="a6">
    <w:name w:val="Normal (Web)"/>
    <w:basedOn w:val="a"/>
    <w:uiPriority w:val="99"/>
    <w:unhideWhenUsed/>
    <w:rsid w:val="00EA44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EA4464"/>
    <w:rPr>
      <w:color w:val="0000FF"/>
      <w:u w:val="single"/>
    </w:rPr>
  </w:style>
  <w:style w:type="paragraph" w:customStyle="1" w:styleId="Style11">
    <w:name w:val="Style11"/>
    <w:basedOn w:val="a"/>
    <w:uiPriority w:val="99"/>
    <w:rsid w:val="00EA4464"/>
    <w:pPr>
      <w:widowControl w:val="0"/>
      <w:autoSpaceDE w:val="0"/>
      <w:autoSpaceDN w:val="0"/>
      <w:adjustRightInd w:val="0"/>
      <w:spacing w:after="0" w:line="209" w:lineRule="exact"/>
      <w:ind w:firstLine="91"/>
    </w:pPr>
    <w:rPr>
      <w:rFonts w:ascii="Arial Narrow" w:eastAsia="Times New Roman" w:hAnsi="Arial Narrow" w:cs="Times New Roman"/>
      <w:sz w:val="24"/>
      <w:szCs w:val="24"/>
      <w:lang w:eastAsia="ru-RU"/>
    </w:rPr>
  </w:style>
  <w:style w:type="character" w:customStyle="1" w:styleId="FontStyle85">
    <w:name w:val="Font Style85"/>
    <w:uiPriority w:val="99"/>
    <w:rsid w:val="00EA4464"/>
    <w:rPr>
      <w:rFonts w:ascii="Times New Roman" w:hAnsi="Times New Roman" w:cs="Times New Roman"/>
      <w:sz w:val="20"/>
      <w:szCs w:val="20"/>
    </w:rPr>
  </w:style>
  <w:style w:type="character" w:customStyle="1" w:styleId="FontStyle86">
    <w:name w:val="Font Style86"/>
    <w:uiPriority w:val="99"/>
    <w:rsid w:val="00EA4464"/>
    <w:rPr>
      <w:rFonts w:ascii="Times New Roman" w:hAnsi="Times New Roman" w:cs="Times New Roman"/>
      <w:b/>
      <w:bCs/>
      <w:i/>
      <w:iCs/>
      <w:sz w:val="18"/>
      <w:szCs w:val="18"/>
    </w:rPr>
  </w:style>
  <w:style w:type="paragraph" w:styleId="a8">
    <w:name w:val="Balloon Text"/>
    <w:basedOn w:val="a"/>
    <w:link w:val="a9"/>
    <w:uiPriority w:val="99"/>
    <w:semiHidden/>
    <w:unhideWhenUsed/>
    <w:rsid w:val="00FB2F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B2F2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464"/>
  </w:style>
  <w:style w:type="paragraph" w:styleId="1">
    <w:name w:val="heading 1"/>
    <w:basedOn w:val="a"/>
    <w:next w:val="a"/>
    <w:link w:val="10"/>
    <w:uiPriority w:val="9"/>
    <w:qFormat/>
    <w:rsid w:val="00EA4464"/>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4464"/>
    <w:pPr>
      <w:ind w:left="720"/>
      <w:contextualSpacing/>
    </w:pPr>
  </w:style>
  <w:style w:type="table" w:styleId="a4">
    <w:name w:val="Table Grid"/>
    <w:basedOn w:val="a1"/>
    <w:uiPriority w:val="39"/>
    <w:rsid w:val="00EA44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A4464"/>
    <w:rPr>
      <w:rFonts w:asciiTheme="majorHAnsi" w:eastAsiaTheme="majorEastAsia" w:hAnsiTheme="majorHAnsi" w:cstheme="majorBidi"/>
      <w:b/>
      <w:bCs/>
      <w:color w:val="2E74B5" w:themeColor="accent1" w:themeShade="BF"/>
      <w:sz w:val="28"/>
      <w:szCs w:val="28"/>
    </w:rPr>
  </w:style>
  <w:style w:type="character" w:styleId="a5">
    <w:name w:val="Strong"/>
    <w:basedOn w:val="a0"/>
    <w:uiPriority w:val="22"/>
    <w:qFormat/>
    <w:rsid w:val="00EA4464"/>
    <w:rPr>
      <w:b/>
      <w:bCs/>
    </w:rPr>
  </w:style>
  <w:style w:type="paragraph" w:styleId="a6">
    <w:name w:val="Normal (Web)"/>
    <w:basedOn w:val="a"/>
    <w:uiPriority w:val="99"/>
    <w:unhideWhenUsed/>
    <w:rsid w:val="00EA446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EA4464"/>
    <w:rPr>
      <w:color w:val="0000FF"/>
      <w:u w:val="single"/>
    </w:rPr>
  </w:style>
  <w:style w:type="paragraph" w:customStyle="1" w:styleId="Style11">
    <w:name w:val="Style11"/>
    <w:basedOn w:val="a"/>
    <w:uiPriority w:val="99"/>
    <w:rsid w:val="00EA4464"/>
    <w:pPr>
      <w:widowControl w:val="0"/>
      <w:autoSpaceDE w:val="0"/>
      <w:autoSpaceDN w:val="0"/>
      <w:adjustRightInd w:val="0"/>
      <w:spacing w:after="0" w:line="209" w:lineRule="exact"/>
      <w:ind w:firstLine="91"/>
    </w:pPr>
    <w:rPr>
      <w:rFonts w:ascii="Arial Narrow" w:eastAsia="Times New Roman" w:hAnsi="Arial Narrow" w:cs="Times New Roman"/>
      <w:sz w:val="24"/>
      <w:szCs w:val="24"/>
      <w:lang w:eastAsia="ru-RU"/>
    </w:rPr>
  </w:style>
  <w:style w:type="character" w:customStyle="1" w:styleId="FontStyle85">
    <w:name w:val="Font Style85"/>
    <w:uiPriority w:val="99"/>
    <w:rsid w:val="00EA4464"/>
    <w:rPr>
      <w:rFonts w:ascii="Times New Roman" w:hAnsi="Times New Roman" w:cs="Times New Roman"/>
      <w:sz w:val="20"/>
      <w:szCs w:val="20"/>
    </w:rPr>
  </w:style>
  <w:style w:type="character" w:customStyle="1" w:styleId="FontStyle86">
    <w:name w:val="Font Style86"/>
    <w:uiPriority w:val="99"/>
    <w:rsid w:val="00EA4464"/>
    <w:rPr>
      <w:rFonts w:ascii="Times New Roman" w:hAnsi="Times New Roman" w:cs="Times New Roman"/>
      <w:b/>
      <w:bCs/>
      <w:i/>
      <w:iCs/>
      <w:sz w:val="18"/>
      <w:szCs w:val="18"/>
    </w:rPr>
  </w:style>
  <w:style w:type="paragraph" w:styleId="a8">
    <w:name w:val="Balloon Text"/>
    <w:basedOn w:val="a"/>
    <w:link w:val="a9"/>
    <w:uiPriority w:val="99"/>
    <w:semiHidden/>
    <w:unhideWhenUsed/>
    <w:rsid w:val="00FB2F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B2F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2202868">
      <w:bodyDiv w:val="1"/>
      <w:marLeft w:val="0"/>
      <w:marRight w:val="0"/>
      <w:marTop w:val="0"/>
      <w:marBottom w:val="0"/>
      <w:divBdr>
        <w:top w:val="none" w:sz="0" w:space="0" w:color="auto"/>
        <w:left w:val="none" w:sz="0" w:space="0" w:color="auto"/>
        <w:bottom w:val="none" w:sz="0" w:space="0" w:color="auto"/>
        <w:right w:val="none" w:sz="0" w:space="0" w:color="auto"/>
      </w:divBdr>
      <w:divsChild>
        <w:div w:id="611324726">
          <w:marLeft w:val="547"/>
          <w:marRight w:val="0"/>
          <w:marTop w:val="200"/>
          <w:marBottom w:val="0"/>
          <w:divBdr>
            <w:top w:val="none" w:sz="0" w:space="0" w:color="auto"/>
            <w:left w:val="none" w:sz="0" w:space="0" w:color="auto"/>
            <w:bottom w:val="none" w:sz="0" w:space="0" w:color="auto"/>
            <w:right w:val="none" w:sz="0" w:space="0" w:color="auto"/>
          </w:divBdr>
        </w:div>
        <w:div w:id="1231502720">
          <w:marLeft w:val="547"/>
          <w:marRight w:val="0"/>
          <w:marTop w:val="200"/>
          <w:marBottom w:val="0"/>
          <w:divBdr>
            <w:top w:val="none" w:sz="0" w:space="0" w:color="auto"/>
            <w:left w:val="none" w:sz="0" w:space="0" w:color="auto"/>
            <w:bottom w:val="none" w:sz="0" w:space="0" w:color="auto"/>
            <w:right w:val="none" w:sz="0" w:space="0" w:color="auto"/>
          </w:divBdr>
        </w:div>
        <w:div w:id="1038286960">
          <w:marLeft w:val="547"/>
          <w:marRight w:val="0"/>
          <w:marTop w:val="200"/>
          <w:marBottom w:val="0"/>
          <w:divBdr>
            <w:top w:val="none" w:sz="0" w:space="0" w:color="auto"/>
            <w:left w:val="none" w:sz="0" w:space="0" w:color="auto"/>
            <w:bottom w:val="none" w:sz="0" w:space="0" w:color="auto"/>
            <w:right w:val="none" w:sz="0" w:space="0" w:color="auto"/>
          </w:divBdr>
        </w:div>
        <w:div w:id="551429425">
          <w:marLeft w:val="547"/>
          <w:marRight w:val="0"/>
          <w:marTop w:val="200"/>
          <w:marBottom w:val="0"/>
          <w:divBdr>
            <w:top w:val="none" w:sz="0" w:space="0" w:color="auto"/>
            <w:left w:val="none" w:sz="0" w:space="0" w:color="auto"/>
            <w:bottom w:val="none" w:sz="0" w:space="0" w:color="auto"/>
            <w:right w:val="none" w:sz="0" w:space="0" w:color="auto"/>
          </w:divBdr>
        </w:div>
        <w:div w:id="710768348">
          <w:marLeft w:val="547"/>
          <w:marRight w:val="0"/>
          <w:marTop w:val="200"/>
          <w:marBottom w:val="0"/>
          <w:divBdr>
            <w:top w:val="none" w:sz="0" w:space="0" w:color="auto"/>
            <w:left w:val="none" w:sz="0" w:space="0" w:color="auto"/>
            <w:bottom w:val="none" w:sz="0" w:space="0" w:color="auto"/>
            <w:right w:val="none" w:sz="0" w:space="0" w:color="auto"/>
          </w:divBdr>
        </w:div>
      </w:divsChild>
    </w:div>
    <w:div w:id="329909433">
      <w:bodyDiv w:val="1"/>
      <w:marLeft w:val="0"/>
      <w:marRight w:val="0"/>
      <w:marTop w:val="0"/>
      <w:marBottom w:val="0"/>
      <w:divBdr>
        <w:top w:val="none" w:sz="0" w:space="0" w:color="auto"/>
        <w:left w:val="none" w:sz="0" w:space="0" w:color="auto"/>
        <w:bottom w:val="none" w:sz="0" w:space="0" w:color="auto"/>
        <w:right w:val="none" w:sz="0" w:space="0" w:color="auto"/>
      </w:divBdr>
      <w:divsChild>
        <w:div w:id="2085371796">
          <w:marLeft w:val="547"/>
          <w:marRight w:val="0"/>
          <w:marTop w:val="200"/>
          <w:marBottom w:val="0"/>
          <w:divBdr>
            <w:top w:val="none" w:sz="0" w:space="0" w:color="auto"/>
            <w:left w:val="none" w:sz="0" w:space="0" w:color="auto"/>
            <w:bottom w:val="none" w:sz="0" w:space="0" w:color="auto"/>
            <w:right w:val="none" w:sz="0" w:space="0" w:color="auto"/>
          </w:divBdr>
        </w:div>
        <w:div w:id="313995942">
          <w:marLeft w:val="547"/>
          <w:marRight w:val="0"/>
          <w:marTop w:val="200"/>
          <w:marBottom w:val="0"/>
          <w:divBdr>
            <w:top w:val="none" w:sz="0" w:space="0" w:color="auto"/>
            <w:left w:val="none" w:sz="0" w:space="0" w:color="auto"/>
            <w:bottom w:val="none" w:sz="0" w:space="0" w:color="auto"/>
            <w:right w:val="none" w:sz="0" w:space="0" w:color="auto"/>
          </w:divBdr>
        </w:div>
        <w:div w:id="1638872595">
          <w:marLeft w:val="547"/>
          <w:marRight w:val="0"/>
          <w:marTop w:val="200"/>
          <w:marBottom w:val="0"/>
          <w:divBdr>
            <w:top w:val="none" w:sz="0" w:space="0" w:color="auto"/>
            <w:left w:val="none" w:sz="0" w:space="0" w:color="auto"/>
            <w:bottom w:val="none" w:sz="0" w:space="0" w:color="auto"/>
            <w:right w:val="none" w:sz="0" w:space="0" w:color="auto"/>
          </w:divBdr>
        </w:div>
        <w:div w:id="1595632747">
          <w:marLeft w:val="547"/>
          <w:marRight w:val="0"/>
          <w:marTop w:val="200"/>
          <w:marBottom w:val="0"/>
          <w:divBdr>
            <w:top w:val="none" w:sz="0" w:space="0" w:color="auto"/>
            <w:left w:val="none" w:sz="0" w:space="0" w:color="auto"/>
            <w:bottom w:val="none" w:sz="0" w:space="0" w:color="auto"/>
            <w:right w:val="none" w:sz="0" w:space="0" w:color="auto"/>
          </w:divBdr>
        </w:div>
        <w:div w:id="285888186">
          <w:marLeft w:val="547"/>
          <w:marRight w:val="0"/>
          <w:marTop w:val="200"/>
          <w:marBottom w:val="0"/>
          <w:divBdr>
            <w:top w:val="none" w:sz="0" w:space="0" w:color="auto"/>
            <w:left w:val="none" w:sz="0" w:space="0" w:color="auto"/>
            <w:bottom w:val="none" w:sz="0" w:space="0" w:color="auto"/>
            <w:right w:val="none" w:sz="0" w:space="0" w:color="auto"/>
          </w:divBdr>
        </w:div>
        <w:div w:id="1516189850">
          <w:marLeft w:val="547"/>
          <w:marRight w:val="0"/>
          <w:marTop w:val="200"/>
          <w:marBottom w:val="0"/>
          <w:divBdr>
            <w:top w:val="none" w:sz="0" w:space="0" w:color="auto"/>
            <w:left w:val="none" w:sz="0" w:space="0" w:color="auto"/>
            <w:bottom w:val="none" w:sz="0" w:space="0" w:color="auto"/>
            <w:right w:val="none" w:sz="0" w:space="0" w:color="auto"/>
          </w:divBdr>
        </w:div>
      </w:divsChild>
    </w:div>
    <w:div w:id="445926537">
      <w:bodyDiv w:val="1"/>
      <w:marLeft w:val="0"/>
      <w:marRight w:val="0"/>
      <w:marTop w:val="0"/>
      <w:marBottom w:val="0"/>
      <w:divBdr>
        <w:top w:val="none" w:sz="0" w:space="0" w:color="auto"/>
        <w:left w:val="none" w:sz="0" w:space="0" w:color="auto"/>
        <w:bottom w:val="none" w:sz="0" w:space="0" w:color="auto"/>
        <w:right w:val="none" w:sz="0" w:space="0" w:color="auto"/>
      </w:divBdr>
      <w:divsChild>
        <w:div w:id="1247156078">
          <w:marLeft w:val="547"/>
          <w:marRight w:val="0"/>
          <w:marTop w:val="200"/>
          <w:marBottom w:val="0"/>
          <w:divBdr>
            <w:top w:val="none" w:sz="0" w:space="0" w:color="auto"/>
            <w:left w:val="none" w:sz="0" w:space="0" w:color="auto"/>
            <w:bottom w:val="none" w:sz="0" w:space="0" w:color="auto"/>
            <w:right w:val="none" w:sz="0" w:space="0" w:color="auto"/>
          </w:divBdr>
        </w:div>
        <w:div w:id="1173372234">
          <w:marLeft w:val="547"/>
          <w:marRight w:val="0"/>
          <w:marTop w:val="200"/>
          <w:marBottom w:val="0"/>
          <w:divBdr>
            <w:top w:val="none" w:sz="0" w:space="0" w:color="auto"/>
            <w:left w:val="none" w:sz="0" w:space="0" w:color="auto"/>
            <w:bottom w:val="none" w:sz="0" w:space="0" w:color="auto"/>
            <w:right w:val="none" w:sz="0" w:space="0" w:color="auto"/>
          </w:divBdr>
        </w:div>
        <w:div w:id="1524510810">
          <w:marLeft w:val="547"/>
          <w:marRight w:val="0"/>
          <w:marTop w:val="200"/>
          <w:marBottom w:val="0"/>
          <w:divBdr>
            <w:top w:val="none" w:sz="0" w:space="0" w:color="auto"/>
            <w:left w:val="none" w:sz="0" w:space="0" w:color="auto"/>
            <w:bottom w:val="none" w:sz="0" w:space="0" w:color="auto"/>
            <w:right w:val="none" w:sz="0" w:space="0" w:color="auto"/>
          </w:divBdr>
        </w:div>
        <w:div w:id="556207400">
          <w:marLeft w:val="547"/>
          <w:marRight w:val="0"/>
          <w:marTop w:val="200"/>
          <w:marBottom w:val="0"/>
          <w:divBdr>
            <w:top w:val="none" w:sz="0" w:space="0" w:color="auto"/>
            <w:left w:val="none" w:sz="0" w:space="0" w:color="auto"/>
            <w:bottom w:val="none" w:sz="0" w:space="0" w:color="auto"/>
            <w:right w:val="none" w:sz="0" w:space="0" w:color="auto"/>
          </w:divBdr>
        </w:div>
        <w:div w:id="1848590121">
          <w:marLeft w:val="547"/>
          <w:marRight w:val="0"/>
          <w:marTop w:val="200"/>
          <w:marBottom w:val="0"/>
          <w:divBdr>
            <w:top w:val="none" w:sz="0" w:space="0" w:color="auto"/>
            <w:left w:val="none" w:sz="0" w:space="0" w:color="auto"/>
            <w:bottom w:val="none" w:sz="0" w:space="0" w:color="auto"/>
            <w:right w:val="none" w:sz="0" w:space="0" w:color="auto"/>
          </w:divBdr>
        </w:div>
        <w:div w:id="1295714996">
          <w:marLeft w:val="547"/>
          <w:marRight w:val="0"/>
          <w:marTop w:val="200"/>
          <w:marBottom w:val="0"/>
          <w:divBdr>
            <w:top w:val="none" w:sz="0" w:space="0" w:color="auto"/>
            <w:left w:val="none" w:sz="0" w:space="0" w:color="auto"/>
            <w:bottom w:val="none" w:sz="0" w:space="0" w:color="auto"/>
            <w:right w:val="none" w:sz="0" w:space="0" w:color="auto"/>
          </w:divBdr>
        </w:div>
      </w:divsChild>
    </w:div>
    <w:div w:id="709451438">
      <w:bodyDiv w:val="1"/>
      <w:marLeft w:val="0"/>
      <w:marRight w:val="0"/>
      <w:marTop w:val="0"/>
      <w:marBottom w:val="0"/>
      <w:divBdr>
        <w:top w:val="none" w:sz="0" w:space="0" w:color="auto"/>
        <w:left w:val="none" w:sz="0" w:space="0" w:color="auto"/>
        <w:bottom w:val="none" w:sz="0" w:space="0" w:color="auto"/>
        <w:right w:val="none" w:sz="0" w:space="0" w:color="auto"/>
      </w:divBdr>
      <w:divsChild>
        <w:div w:id="435295942">
          <w:marLeft w:val="547"/>
          <w:marRight w:val="0"/>
          <w:marTop w:val="200"/>
          <w:marBottom w:val="0"/>
          <w:divBdr>
            <w:top w:val="none" w:sz="0" w:space="0" w:color="auto"/>
            <w:left w:val="none" w:sz="0" w:space="0" w:color="auto"/>
            <w:bottom w:val="none" w:sz="0" w:space="0" w:color="auto"/>
            <w:right w:val="none" w:sz="0" w:space="0" w:color="auto"/>
          </w:divBdr>
        </w:div>
        <w:div w:id="96682957">
          <w:marLeft w:val="547"/>
          <w:marRight w:val="0"/>
          <w:marTop w:val="200"/>
          <w:marBottom w:val="0"/>
          <w:divBdr>
            <w:top w:val="none" w:sz="0" w:space="0" w:color="auto"/>
            <w:left w:val="none" w:sz="0" w:space="0" w:color="auto"/>
            <w:bottom w:val="none" w:sz="0" w:space="0" w:color="auto"/>
            <w:right w:val="none" w:sz="0" w:space="0" w:color="auto"/>
          </w:divBdr>
        </w:div>
        <w:div w:id="1315915982">
          <w:marLeft w:val="547"/>
          <w:marRight w:val="0"/>
          <w:marTop w:val="200"/>
          <w:marBottom w:val="0"/>
          <w:divBdr>
            <w:top w:val="none" w:sz="0" w:space="0" w:color="auto"/>
            <w:left w:val="none" w:sz="0" w:space="0" w:color="auto"/>
            <w:bottom w:val="none" w:sz="0" w:space="0" w:color="auto"/>
            <w:right w:val="none" w:sz="0" w:space="0" w:color="auto"/>
          </w:divBdr>
        </w:div>
      </w:divsChild>
    </w:div>
    <w:div w:id="967663320">
      <w:bodyDiv w:val="1"/>
      <w:marLeft w:val="0"/>
      <w:marRight w:val="0"/>
      <w:marTop w:val="0"/>
      <w:marBottom w:val="0"/>
      <w:divBdr>
        <w:top w:val="none" w:sz="0" w:space="0" w:color="auto"/>
        <w:left w:val="none" w:sz="0" w:space="0" w:color="auto"/>
        <w:bottom w:val="none" w:sz="0" w:space="0" w:color="auto"/>
        <w:right w:val="none" w:sz="0" w:space="0" w:color="auto"/>
      </w:divBdr>
      <w:divsChild>
        <w:div w:id="1582369321">
          <w:marLeft w:val="547"/>
          <w:marRight w:val="0"/>
          <w:marTop w:val="200"/>
          <w:marBottom w:val="0"/>
          <w:divBdr>
            <w:top w:val="none" w:sz="0" w:space="0" w:color="auto"/>
            <w:left w:val="none" w:sz="0" w:space="0" w:color="auto"/>
            <w:bottom w:val="none" w:sz="0" w:space="0" w:color="auto"/>
            <w:right w:val="none" w:sz="0" w:space="0" w:color="auto"/>
          </w:divBdr>
        </w:div>
        <w:div w:id="141779454">
          <w:marLeft w:val="547"/>
          <w:marRight w:val="0"/>
          <w:marTop w:val="200"/>
          <w:marBottom w:val="0"/>
          <w:divBdr>
            <w:top w:val="none" w:sz="0" w:space="0" w:color="auto"/>
            <w:left w:val="none" w:sz="0" w:space="0" w:color="auto"/>
            <w:bottom w:val="none" w:sz="0" w:space="0" w:color="auto"/>
            <w:right w:val="none" w:sz="0" w:space="0" w:color="auto"/>
          </w:divBdr>
        </w:div>
        <w:div w:id="1265653139">
          <w:marLeft w:val="547"/>
          <w:marRight w:val="0"/>
          <w:marTop w:val="200"/>
          <w:marBottom w:val="0"/>
          <w:divBdr>
            <w:top w:val="none" w:sz="0" w:space="0" w:color="auto"/>
            <w:left w:val="none" w:sz="0" w:space="0" w:color="auto"/>
            <w:bottom w:val="none" w:sz="0" w:space="0" w:color="auto"/>
            <w:right w:val="none" w:sz="0" w:space="0" w:color="auto"/>
          </w:divBdr>
        </w:div>
        <w:div w:id="109589169">
          <w:marLeft w:val="547"/>
          <w:marRight w:val="0"/>
          <w:marTop w:val="200"/>
          <w:marBottom w:val="0"/>
          <w:divBdr>
            <w:top w:val="none" w:sz="0" w:space="0" w:color="auto"/>
            <w:left w:val="none" w:sz="0" w:space="0" w:color="auto"/>
            <w:bottom w:val="none" w:sz="0" w:space="0" w:color="auto"/>
            <w:right w:val="none" w:sz="0" w:space="0" w:color="auto"/>
          </w:divBdr>
        </w:div>
      </w:divsChild>
    </w:div>
    <w:div w:id="1666280136">
      <w:bodyDiv w:val="1"/>
      <w:marLeft w:val="0"/>
      <w:marRight w:val="0"/>
      <w:marTop w:val="0"/>
      <w:marBottom w:val="0"/>
      <w:divBdr>
        <w:top w:val="none" w:sz="0" w:space="0" w:color="auto"/>
        <w:left w:val="none" w:sz="0" w:space="0" w:color="auto"/>
        <w:bottom w:val="none" w:sz="0" w:space="0" w:color="auto"/>
        <w:right w:val="none" w:sz="0" w:space="0" w:color="auto"/>
      </w:divBdr>
      <w:divsChild>
        <w:div w:id="1325820814">
          <w:marLeft w:val="547"/>
          <w:marRight w:val="0"/>
          <w:marTop w:val="200"/>
          <w:marBottom w:val="0"/>
          <w:divBdr>
            <w:top w:val="none" w:sz="0" w:space="0" w:color="auto"/>
            <w:left w:val="none" w:sz="0" w:space="0" w:color="auto"/>
            <w:bottom w:val="none" w:sz="0" w:space="0" w:color="auto"/>
            <w:right w:val="none" w:sz="0" w:space="0" w:color="auto"/>
          </w:divBdr>
        </w:div>
        <w:div w:id="1100949263">
          <w:marLeft w:val="547"/>
          <w:marRight w:val="0"/>
          <w:marTop w:val="200"/>
          <w:marBottom w:val="0"/>
          <w:divBdr>
            <w:top w:val="none" w:sz="0" w:space="0" w:color="auto"/>
            <w:left w:val="none" w:sz="0" w:space="0" w:color="auto"/>
            <w:bottom w:val="none" w:sz="0" w:space="0" w:color="auto"/>
            <w:right w:val="none" w:sz="0" w:space="0" w:color="auto"/>
          </w:divBdr>
        </w:div>
        <w:div w:id="2139638439">
          <w:marLeft w:val="547"/>
          <w:marRight w:val="0"/>
          <w:marTop w:val="200"/>
          <w:marBottom w:val="0"/>
          <w:divBdr>
            <w:top w:val="none" w:sz="0" w:space="0" w:color="auto"/>
            <w:left w:val="none" w:sz="0" w:space="0" w:color="auto"/>
            <w:bottom w:val="none" w:sz="0" w:space="0" w:color="auto"/>
            <w:right w:val="none" w:sz="0" w:space="0" w:color="auto"/>
          </w:divBdr>
        </w:div>
        <w:div w:id="465897278">
          <w:marLeft w:val="547"/>
          <w:marRight w:val="0"/>
          <w:marTop w:val="200"/>
          <w:marBottom w:val="0"/>
          <w:divBdr>
            <w:top w:val="none" w:sz="0" w:space="0" w:color="auto"/>
            <w:left w:val="none" w:sz="0" w:space="0" w:color="auto"/>
            <w:bottom w:val="none" w:sz="0" w:space="0" w:color="auto"/>
            <w:right w:val="none" w:sz="0" w:space="0" w:color="auto"/>
          </w:divBdr>
        </w:div>
      </w:divsChild>
    </w:div>
    <w:div w:id="1930888073">
      <w:bodyDiv w:val="1"/>
      <w:marLeft w:val="0"/>
      <w:marRight w:val="0"/>
      <w:marTop w:val="0"/>
      <w:marBottom w:val="0"/>
      <w:divBdr>
        <w:top w:val="none" w:sz="0" w:space="0" w:color="auto"/>
        <w:left w:val="none" w:sz="0" w:space="0" w:color="auto"/>
        <w:bottom w:val="none" w:sz="0" w:space="0" w:color="auto"/>
        <w:right w:val="none" w:sz="0" w:space="0" w:color="auto"/>
      </w:divBdr>
      <w:divsChild>
        <w:div w:id="2035497060">
          <w:marLeft w:val="547"/>
          <w:marRight w:val="0"/>
          <w:marTop w:val="200"/>
          <w:marBottom w:val="0"/>
          <w:divBdr>
            <w:top w:val="none" w:sz="0" w:space="0" w:color="auto"/>
            <w:left w:val="none" w:sz="0" w:space="0" w:color="auto"/>
            <w:bottom w:val="none" w:sz="0" w:space="0" w:color="auto"/>
            <w:right w:val="none" w:sz="0" w:space="0" w:color="auto"/>
          </w:divBdr>
        </w:div>
        <w:div w:id="657608760">
          <w:marLeft w:val="547"/>
          <w:marRight w:val="0"/>
          <w:marTop w:val="200"/>
          <w:marBottom w:val="0"/>
          <w:divBdr>
            <w:top w:val="none" w:sz="0" w:space="0" w:color="auto"/>
            <w:left w:val="none" w:sz="0" w:space="0" w:color="auto"/>
            <w:bottom w:val="none" w:sz="0" w:space="0" w:color="auto"/>
            <w:right w:val="none" w:sz="0" w:space="0" w:color="auto"/>
          </w:divBdr>
        </w:div>
        <w:div w:id="1692026981">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0%D1%83%D1%81-%D0%A0%D0%B5%D0%B9%D1%82%D0%B8%D0%BD%D0%B3" TargetMode="External"/><Relationship Id="rId18" Type="http://schemas.openxmlformats.org/officeDocument/2006/relationships/hyperlink" Target="https://ru.wikipedia.org/wiki/%D0%A1%D0%B8%D0%BD%D0%B4%D0%B8%D0%BA%D0%B0%D1%82" TargetMode="External"/><Relationship Id="rId26" Type="http://schemas.openxmlformats.org/officeDocument/2006/relationships/hyperlink" Target="https://ru.wikipedia.org/wiki/%D0%A1%D0%B8%D0%BD%D0%B4%D0%B8%D0%BA%D0%B0%D1%82" TargetMode="External"/><Relationship Id="rId39" Type="http://schemas.openxmlformats.org/officeDocument/2006/relationships/hyperlink" Target="https://ru.wikipedia.org/wiki/%D0%92%D0%B5%D0%BD%D0%B5%D1%81%D1%83%D1%8D%D0%BB%D0%B0" TargetMode="External"/><Relationship Id="rId21" Type="http://schemas.openxmlformats.org/officeDocument/2006/relationships/hyperlink" Target="http://utmagazine.ru/posts/9237-zaemschik" TargetMode="External"/><Relationship Id="rId34" Type="http://schemas.openxmlformats.org/officeDocument/2006/relationships/hyperlink" Target="http://www.grandars.ru/student/mirovaya-ekonomika/mar.html" TargetMode="External"/><Relationship Id="rId42" Type="http://schemas.openxmlformats.org/officeDocument/2006/relationships/hyperlink" Target="https://ru.wikipedia.org/wiki/%D0%98%D1%80%D0%B0%D0%BA" TargetMode="External"/><Relationship Id="rId47" Type="http://schemas.openxmlformats.org/officeDocument/2006/relationships/hyperlink" Target="https://ru.wikipedia.org/wiki/%D0%9E%D0%B1%D1%8A%D0%B5%D0%B4%D0%B8%D0%BD%D1%91%D0%BD%D0%BD%D1%8B%D0%B5_%D0%90%D1%80%D0%B0%D0%B1%D1%81%D0%BA%D0%B8%D0%B5_%D0%AD%D0%BC%D0%B8%D1%80%D0%B0%D1%82%D1%8B" TargetMode="External"/><Relationship Id="rId50" Type="http://schemas.openxmlformats.org/officeDocument/2006/relationships/hyperlink" Target="https://ru.wikipedia.org/wiki/%D0%AD%D0%BA%D0%B2%D0%B0%D0%B4%D0%BE%D1%80" TargetMode="External"/><Relationship Id="rId55" Type="http://schemas.openxmlformats.org/officeDocument/2006/relationships/hyperlink" Target="http://www.banki.ru/wikibank/%D6%E5%ED%ED%E0%FF+%E1%F3%EC%E0%E3%E0/" TargetMode="External"/><Relationship Id="rId7" Type="http://schemas.openxmlformats.org/officeDocument/2006/relationships/image" Target="media/image2.jpeg"/><Relationship Id="rId12" Type="http://schemas.openxmlformats.org/officeDocument/2006/relationships/hyperlink" Target="https://ru.wikipedia.org/wiki/%D0%AD%D0%BA%D1%81%D0%BF%D0%B5%D1%80%D1%82_%D0%A0%D0%90" TargetMode="External"/><Relationship Id="rId17" Type="http://schemas.openxmlformats.org/officeDocument/2006/relationships/hyperlink" Target="https://ru.wikipedia.org/wiki/%D0%9A%D1%80%D0%B5%D0%B4%D0%B8%D1%82" TargetMode="External"/><Relationship Id="rId25" Type="http://schemas.openxmlformats.org/officeDocument/2006/relationships/hyperlink" Target="https://ru.wikipedia.org/wiki/%D0%97%D0%B0%D1%91%D0%BC" TargetMode="External"/><Relationship Id="rId33" Type="http://schemas.openxmlformats.org/officeDocument/2006/relationships/hyperlink" Target="http://www.grandars.ru/student/mirovaya-ekonomika/mfk.html" TargetMode="External"/><Relationship Id="rId38" Type="http://schemas.openxmlformats.org/officeDocument/2006/relationships/hyperlink" Target="https://ru.wikipedia.org/wiki/%D0%90%D0%BD%D0%B3%D0%BE%D0%BB%D0%B0" TargetMode="External"/><Relationship Id="rId46" Type="http://schemas.openxmlformats.org/officeDocument/2006/relationships/hyperlink" Target="https://ru.wikipedia.org/wiki/%D0%9B%D0%B8%D0%B2%D0%B8%D1%8F"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ru.wikipedia.org/wiki/Standard_%26_Poor%27s" TargetMode="External"/><Relationship Id="rId20" Type="http://schemas.openxmlformats.org/officeDocument/2006/relationships/hyperlink" Target="http://utmagazine.ru/posts/13694-raspiska" TargetMode="External"/><Relationship Id="rId29" Type="http://schemas.openxmlformats.org/officeDocument/2006/relationships/hyperlink" Target="https://ru.wikipedia.org/wiki/%D0%91%D1%80%D0%BE%D0%BA%D0%B5%D1%80" TargetMode="External"/><Relationship Id="rId41" Type="http://schemas.openxmlformats.org/officeDocument/2006/relationships/hyperlink" Target="https://ru.wikipedia.org/wiki/%D0%98%D1%80%D0%B0%D0%BD" TargetMode="External"/><Relationship Id="rId54" Type="http://schemas.openxmlformats.org/officeDocument/2006/relationships/hyperlink" Target="http://www.banki.ru/banks/bank/sberbank/"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ru.wikipedia.org/wiki/Fitch_Ratings" TargetMode="External"/><Relationship Id="rId24" Type="http://schemas.openxmlformats.org/officeDocument/2006/relationships/hyperlink" Target="https://ru.wikipedia.org/wiki/%D0%92%D0%B0%D0%BB%D1%8E%D1%82%D0%B0" TargetMode="External"/><Relationship Id="rId32" Type="http://schemas.openxmlformats.org/officeDocument/2006/relationships/hyperlink" Target="http://www.grandars.ru/student/mirovaya-ekonomika/mvf.html" TargetMode="External"/><Relationship Id="rId37" Type="http://schemas.openxmlformats.org/officeDocument/2006/relationships/hyperlink" Target="https://ru.wikipedia.org/wiki/%D0%90%D0%BB%D0%B6%D0%B8%D1%80" TargetMode="External"/><Relationship Id="rId40" Type="http://schemas.openxmlformats.org/officeDocument/2006/relationships/hyperlink" Target="https://ru.wikipedia.org/wiki/%D0%93%D0%B0%D0%B1%D0%BE%D0%BD" TargetMode="External"/><Relationship Id="rId45" Type="http://schemas.openxmlformats.org/officeDocument/2006/relationships/hyperlink" Target="https://ru.wikipedia.org/wiki/%D0%9A%D0%B0%D1%82%D0%B0%D1%80" TargetMode="External"/><Relationship Id="rId53" Type="http://schemas.openxmlformats.org/officeDocument/2006/relationships/hyperlink" Target="http://www.banki.ru/wikibank/%C1%E0%ED%EA+%D0%EE%F1%F1%E8%E8/"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A0%D0%B5%D0%B9%D1%82%D0%B8%D0%BD%D0%B3%D0%BE%D0%B2%D0%BE%D0%B5_%D0%B0%D0%B3%D0%B5%D0%BD%D1%82%D1%81%D1%82%D0%B2%D0%BE_%D0%90%D0%9A%26M" TargetMode="External"/><Relationship Id="rId23" Type="http://schemas.openxmlformats.org/officeDocument/2006/relationships/hyperlink" Target="https://ru.wikipedia.org/wiki/%D0%A6%D0%B5%D0%BD%D0%BD%D0%B0%D1%8F_%D0%B1%D1%83%D0%BC%D0%B0%D0%B3%D0%B0" TargetMode="External"/><Relationship Id="rId28" Type="http://schemas.openxmlformats.org/officeDocument/2006/relationships/hyperlink" Target="https://ru.wikipedia.org/wiki/%D0%98%D0%BD%D0%B2%D0%B5%D1%81%D1%82%D0%B8%D1%86%D0%B8%D0%BE%D0%BD%D0%BD%D0%B0%D1%8F_%D0%BA%D0%BE%D0%BC%D0%BF%D0%B0%D0%BD%D0%B8%D1%8F" TargetMode="External"/><Relationship Id="rId36" Type="http://schemas.openxmlformats.org/officeDocument/2006/relationships/hyperlink" Target="http://www.eaeunion.org/files/history/2014/2014_2.pdf" TargetMode="External"/><Relationship Id="rId49" Type="http://schemas.openxmlformats.org/officeDocument/2006/relationships/hyperlink" Target="https://ru.wikipedia.org/wiki/%D0%A1%D0%B0%D1%83%D0%B4%D0%BE%D0%B2%D1%81%D0%BA%D0%B0%D1%8F_%D0%90%D1%80%D0%B0%D0%B2%D0%B8%D1%8F" TargetMode="External"/><Relationship Id="rId57" Type="http://schemas.openxmlformats.org/officeDocument/2006/relationships/fontTable" Target="fontTable.xml"/><Relationship Id="rId10" Type="http://schemas.openxmlformats.org/officeDocument/2006/relationships/hyperlink" Target="https://ru.wikipedia.org/wiki/Standard_and_Poor%27s" TargetMode="External"/><Relationship Id="rId19" Type="http://schemas.openxmlformats.org/officeDocument/2006/relationships/hyperlink" Target="http://utmagazine.ru/posts/8385-veksel" TargetMode="External"/><Relationship Id="rId31" Type="http://schemas.openxmlformats.org/officeDocument/2006/relationships/hyperlink" Target="http://www.grandars.ru/student/mirovaya-ekonomika/mbrr.html" TargetMode="External"/><Relationship Id="rId44" Type="http://schemas.openxmlformats.org/officeDocument/2006/relationships/hyperlink" Target="https://ru.wikipedia.org/wiki/%D0%9A%D1%83%D0%B2%D0%B5%D0%B9%D1%82" TargetMode="External"/><Relationship Id="rId52" Type="http://schemas.openxmlformats.org/officeDocument/2006/relationships/hyperlink" Target="http://www.banki.ru/wikibank/%C1%E0%ED%EA/" TargetMode="External"/><Relationship Id="rId4" Type="http://schemas.openxmlformats.org/officeDocument/2006/relationships/settings" Target="settings.xml"/><Relationship Id="rId9" Type="http://schemas.openxmlformats.org/officeDocument/2006/relationships/hyperlink" Target="https://ru.wikipedia.org/wiki/Moody%27s" TargetMode="External"/><Relationship Id="rId14" Type="http://schemas.openxmlformats.org/officeDocument/2006/relationships/hyperlink" Target="https://ru.wikipedia.org/w/index.php?title=%D0%9D%D0%B0%D1%86%D0%B8%D0%BE%D0%BD%D0%B0%D0%BB%D1%8C%D0%BD%D0%BE%D0%B5_%D0%A0%D0%B5%D0%B9%D1%82%D0%B8%D0%BD%D0%B3%D0%BE%D0%B2%D0%BE%D0%B5_%D0%90%D0%B3%D0%B5%D0%BD%D1%82%D1%81%D1%82%D0%B2%D0%BE&amp;action=edit&amp;redlink=1" TargetMode="External"/><Relationship Id="rId22" Type="http://schemas.openxmlformats.org/officeDocument/2006/relationships/hyperlink" Target="https://ru.wikipedia.org/wiki/%D0%9A%D1%83%D0%BF%D0%BE%D0%BD_%28%D0%BE%D0%B1%D0%BB%D0%B8%D0%B3%D0%B0%D1%86%D0%B8%D1%8F%29" TargetMode="External"/><Relationship Id="rId27" Type="http://schemas.openxmlformats.org/officeDocument/2006/relationships/hyperlink" Target="https://ru.wikipedia.org/wiki/%D0%91%D0%B0%D0%BD%D0%BA" TargetMode="External"/><Relationship Id="rId30" Type="http://schemas.openxmlformats.org/officeDocument/2006/relationships/hyperlink" Target="https://ru.wikipedia.org/wiki/%D0%9D%D0%BE%D0%BC%D0%B8%D0%BD%D0%B0%D0%BB%D1%8C%D0%BD%D0%B0%D1%8F_%D1%81%D1%82%D0%BE%D0%B8%D0%BC%D0%BE%D1%81%D1%82%D1%8C" TargetMode="External"/><Relationship Id="rId35" Type="http://schemas.openxmlformats.org/officeDocument/2006/relationships/hyperlink" Target="http://www.grandars.ru/student/mirovaya-ekonomika/magi.html" TargetMode="External"/><Relationship Id="rId43" Type="http://schemas.openxmlformats.org/officeDocument/2006/relationships/hyperlink" Target="https://ru.wikipedia.org/wiki/%D0%98%D0%BD%D0%B4%D0%BE%D0%BD%D0%B5%D0%B7%D0%B8%D1%8F" TargetMode="External"/><Relationship Id="rId48" Type="http://schemas.openxmlformats.org/officeDocument/2006/relationships/hyperlink" Target="https://ru.wikipedia.org/wiki/%D0%9D%D0%B8%D0%B3%D0%B5%D1%80%D0%B8%D1%8F" TargetMode="External"/><Relationship Id="rId56" Type="http://schemas.openxmlformats.org/officeDocument/2006/relationships/hyperlink" Target="http://www.banki.ru/wikibank/%CB%E8%EA%E2%E8%E4%ED%EE%F1%F2%FC/" TargetMode="External"/><Relationship Id="rId8" Type="http://schemas.openxmlformats.org/officeDocument/2006/relationships/image" Target="media/image3.jpeg"/><Relationship Id="rId51" Type="http://schemas.openxmlformats.org/officeDocument/2006/relationships/hyperlink" Target="http://www.banki.ru/wikibank/%C1%E0%ED%EA%EE%E2%F1%EA%E0%FF+%F1%E8%F1%F2%E5%EC%E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8A505-C46A-4D70-9E01-9CBA1002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25361</Words>
  <Characters>144563</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Admin</cp:lastModifiedBy>
  <cp:revision>2</cp:revision>
  <cp:lastPrinted>2017-01-15T23:26:00Z</cp:lastPrinted>
  <dcterms:created xsi:type="dcterms:W3CDTF">2018-06-03T20:55:00Z</dcterms:created>
  <dcterms:modified xsi:type="dcterms:W3CDTF">2018-06-03T20:55:00Z</dcterms:modified>
</cp:coreProperties>
</file>