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center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8"/>
          <w:szCs w:val="28"/>
        </w:rPr>
        <w:br w:type="page"/>
      </w:r>
    </w:p>
    <w:p>
      <w:pPr>
        <w:pStyle w:val="Normal.0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СОДЕРЖАНИЕ</w:t>
      </w:r>
    </w:p>
    <w:p>
      <w:pPr>
        <w:pStyle w:val="Normal.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tabs>
          <w:tab w:val="right" w:pos="10179" w:leader="dot"/>
        </w:tabs>
        <w:spacing w:after="0" w:line="360" w:lineRule="auto"/>
        <w:jc w:val="both"/>
      </w:pPr>
      <w:r>
        <w:rPr>
          <w:rFonts w:ascii="Times New Roman" w:cs="Times New Roman" w:hAnsi="Times New Roman" w:eastAsia="Times New Roman"/>
          <w:sz w:val="28"/>
          <w:szCs w:val="28"/>
        </w:rPr>
        <w:fldChar w:fldCharType="begin" w:fldLock="0"/>
      </w:r>
      <w:r>
        <w:rPr>
          <w:rFonts w:ascii="Times New Roman" w:cs="Times New Roman" w:hAnsi="Times New Roman" w:eastAsia="Times New Roman"/>
          <w:sz w:val="28"/>
          <w:szCs w:val="28"/>
        </w:rPr>
        <w:instrText xml:space="preserve"> TOC \t "heading 1, 1,heading 3, 2"</w:instrText>
      </w:r>
      <w:r>
        <w:rPr>
          <w:rFonts w:ascii="Times New Roman" w:cs="Times New Roman" w:hAnsi="Times New Roman" w:eastAsia="Times New Roman"/>
          <w:sz w:val="28"/>
          <w:szCs w:val="28"/>
        </w:rPr>
        <w:fldChar w:fldCharType="separate" w:fldLock="0"/>
      </w:r>
    </w:p>
    <w:p>
      <w:pPr>
        <w:pStyle w:val="TOC 1"/>
      </w:pPr>
      <w:r>
        <w:rPr>
          <w:rtl w:val="0"/>
        </w:rPr>
        <w:t>Введение</w:t>
        <w:tab/>
      </w:r>
      <w:r>
        <w:rPr/>
        <w:fldChar w:fldCharType="begin" w:fldLock="0"/>
      </w:r>
      <w:r>
        <w:instrText xml:space="preserve"> PAGEREF _Toc \h </w:instrText>
      </w:r>
      <w:r>
        <w:rPr/>
        <w:fldChar w:fldCharType="separate" w:fldLock="0"/>
      </w:r>
      <w:r>
        <w:rPr>
          <w:rtl w:val="0"/>
        </w:rPr>
        <w:t>3</w:t>
      </w:r>
      <w:r>
        <w:rPr/>
        <w:fldChar w:fldCharType="end" w:fldLock="0"/>
      </w:r>
    </w:p>
    <w:p>
      <w:pPr>
        <w:pStyle w:val="TOC 1"/>
      </w:pPr>
      <w:r>
        <w:rPr>
          <w:rtl w:val="0"/>
        </w:rPr>
        <w:t>1.Теоретические  основы создания бизнес- плана</w:t>
        <w:tab/>
      </w:r>
      <w:r>
        <w:rPr/>
        <w:fldChar w:fldCharType="begin" w:fldLock="0"/>
      </w:r>
      <w:r>
        <w:instrText xml:space="preserve"> PAGEREF _Toc1 \h </w:instrText>
      </w:r>
      <w:r>
        <w:rPr/>
        <w:fldChar w:fldCharType="separate" w:fldLock="0"/>
      </w:r>
      <w:r>
        <w:rPr>
          <w:rtl w:val="0"/>
        </w:rPr>
        <w:t>5</w:t>
      </w:r>
      <w:r>
        <w:rPr/>
        <w:fldChar w:fldCharType="end" w:fldLock="0"/>
      </w:r>
    </w:p>
    <w:p>
      <w:pPr>
        <w:pStyle w:val="TOC 2"/>
      </w:pPr>
      <w:r>
        <w:rPr>
          <w:rFonts w:cs="Arial Unicode MS" w:eastAsia="Arial Unicode MS" w:hint="default"/>
          <w:rtl w:val="0"/>
        </w:rPr>
        <w:t>1.1. Понятие и характеристики бизнес- плана</w:t>
        <w:tab/>
      </w:r>
      <w:r>
        <w:rPr/>
        <w:fldChar w:fldCharType="begin" w:fldLock="0"/>
      </w:r>
      <w:r>
        <w:instrText xml:space="preserve"> PAGEREF _Toc2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5</w:t>
      </w:r>
      <w:r>
        <w:rPr/>
        <w:fldChar w:fldCharType="end" w:fldLock="0"/>
      </w:r>
    </w:p>
    <w:p>
      <w:pPr>
        <w:pStyle w:val="TOC 2"/>
      </w:pPr>
      <w:r>
        <w:rPr>
          <w:rFonts w:cs="Arial Unicode MS" w:eastAsia="Arial Unicode MS" w:hint="default"/>
          <w:rtl w:val="0"/>
        </w:rPr>
        <w:t>1.2. Этапы создания бизнес- плана</w:t>
        <w:tab/>
      </w:r>
      <w:r>
        <w:rPr/>
        <w:fldChar w:fldCharType="begin" w:fldLock="0"/>
      </w:r>
      <w:r>
        <w:instrText xml:space="preserve"> PAGEREF _Toc3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9</w:t>
      </w:r>
      <w:r>
        <w:rPr/>
        <w:fldChar w:fldCharType="end" w:fldLock="0"/>
      </w:r>
    </w:p>
    <w:p>
      <w:pPr>
        <w:pStyle w:val="TOC 2"/>
      </w:pPr>
      <w:r>
        <w:rPr>
          <w:rFonts w:cs="Arial Unicode MS" w:eastAsia="Arial Unicode MS" w:hint="default"/>
          <w:rtl w:val="0"/>
        </w:rPr>
        <w:t>1.3. Характеристика объекта исследования – ООО «Перспектива»</w:t>
        <w:tab/>
      </w:r>
      <w:r>
        <w:rPr/>
        <w:fldChar w:fldCharType="begin" w:fldLock="0"/>
      </w:r>
      <w:r>
        <w:instrText xml:space="preserve"> PAGEREF _Toc4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13</w:t>
      </w:r>
      <w:r>
        <w:rPr/>
        <w:fldChar w:fldCharType="end" w:fldLock="0"/>
      </w:r>
    </w:p>
    <w:p>
      <w:pPr>
        <w:pStyle w:val="TOC 1"/>
      </w:pPr>
      <w:r>
        <w:rPr>
          <w:rtl w:val="0"/>
        </w:rPr>
        <w:t>2. Бизнес-план развития предприятия</w:t>
        <w:tab/>
      </w:r>
      <w:r>
        <w:rPr/>
        <w:fldChar w:fldCharType="begin" w:fldLock="0"/>
      </w:r>
      <w:r>
        <w:instrText xml:space="preserve"> PAGEREF _Toc5 \h </w:instrText>
      </w:r>
      <w:r>
        <w:rPr/>
        <w:fldChar w:fldCharType="separate" w:fldLock="0"/>
      </w:r>
      <w:r>
        <w:rPr>
          <w:rtl w:val="0"/>
        </w:rPr>
        <w:t>16</w:t>
      </w:r>
      <w:r>
        <w:rPr/>
        <w:fldChar w:fldCharType="end" w:fldLock="0"/>
      </w:r>
    </w:p>
    <w:p>
      <w:pPr>
        <w:pStyle w:val="TOC 2"/>
      </w:pPr>
      <w:r>
        <w:rPr>
          <w:rFonts w:cs="Arial Unicode MS" w:eastAsia="Arial Unicode MS" w:hint="default"/>
          <w:rtl w:val="0"/>
        </w:rPr>
        <w:t>2.1. Резюме</w:t>
        <w:tab/>
      </w:r>
      <w:r>
        <w:rPr/>
        <w:fldChar w:fldCharType="begin" w:fldLock="0"/>
      </w:r>
      <w:r>
        <w:instrText xml:space="preserve"> PAGEREF _Toc6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16</w:t>
      </w:r>
      <w:r>
        <w:rPr/>
        <w:fldChar w:fldCharType="end" w:fldLock="0"/>
      </w:r>
    </w:p>
    <w:p>
      <w:pPr>
        <w:pStyle w:val="TOC 2"/>
      </w:pPr>
      <w:r>
        <w:rPr>
          <w:rFonts w:cs="Arial Unicode MS" w:eastAsia="Arial Unicode MS" w:hint="default"/>
          <w:rtl w:val="0"/>
        </w:rPr>
        <w:t>2.2. Описание продукта и анализ рынка</w:t>
        <w:tab/>
      </w:r>
      <w:r>
        <w:rPr/>
        <w:fldChar w:fldCharType="begin" w:fldLock="0"/>
      </w:r>
      <w:r>
        <w:instrText xml:space="preserve"> PAGEREF _Toc7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17</w:t>
      </w:r>
      <w:r>
        <w:rPr/>
        <w:fldChar w:fldCharType="end" w:fldLock="0"/>
      </w:r>
    </w:p>
    <w:p>
      <w:pPr>
        <w:pStyle w:val="TOC 2"/>
      </w:pPr>
      <w:r>
        <w:rPr>
          <w:rFonts w:cs="Arial Unicode MS" w:eastAsia="Arial Unicode MS" w:hint="default"/>
          <w:rtl w:val="0"/>
        </w:rPr>
        <w:t>2.3. Производственный план</w:t>
        <w:tab/>
      </w:r>
      <w:r>
        <w:rPr/>
        <w:fldChar w:fldCharType="begin" w:fldLock="0"/>
      </w:r>
      <w:r>
        <w:instrText xml:space="preserve"> PAGEREF _Toc8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18</w:t>
      </w:r>
      <w:r>
        <w:rPr/>
        <w:fldChar w:fldCharType="end" w:fldLock="0"/>
      </w:r>
    </w:p>
    <w:p>
      <w:pPr>
        <w:pStyle w:val="TOC 2"/>
      </w:pPr>
      <w:r>
        <w:rPr>
          <w:rFonts w:cs="Arial Unicode MS" w:eastAsia="Arial Unicode MS" w:hint="default"/>
          <w:rtl w:val="0"/>
        </w:rPr>
        <w:t>2.4. Организационный план</w:t>
        <w:tab/>
      </w:r>
      <w:r>
        <w:rPr/>
        <w:fldChar w:fldCharType="begin" w:fldLock="0"/>
      </w:r>
      <w:r>
        <w:instrText xml:space="preserve"> PAGEREF _Toc9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20</w:t>
      </w:r>
      <w:r>
        <w:rPr/>
        <w:fldChar w:fldCharType="end" w:fldLock="0"/>
      </w:r>
    </w:p>
    <w:p>
      <w:pPr>
        <w:pStyle w:val="TOC 2"/>
      </w:pPr>
      <w:r>
        <w:rPr>
          <w:rFonts w:cs="Arial Unicode MS" w:eastAsia="Arial Unicode MS" w:hint="default"/>
          <w:rtl w:val="0"/>
        </w:rPr>
        <w:t>2.5. План маркетинга</w:t>
        <w:tab/>
      </w:r>
      <w:r>
        <w:rPr/>
        <w:fldChar w:fldCharType="begin" w:fldLock="0"/>
      </w:r>
      <w:r>
        <w:instrText xml:space="preserve"> PAGEREF _Toc10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21</w:t>
      </w:r>
      <w:r>
        <w:rPr/>
        <w:fldChar w:fldCharType="end" w:fldLock="0"/>
      </w:r>
    </w:p>
    <w:p>
      <w:pPr>
        <w:pStyle w:val="TOC 2"/>
      </w:pPr>
      <w:r>
        <w:rPr>
          <w:rFonts w:cs="Arial Unicode MS" w:eastAsia="Arial Unicode MS" w:hint="default"/>
          <w:rtl w:val="0"/>
        </w:rPr>
        <w:t>2.6. Финансовый план</w:t>
        <w:tab/>
      </w:r>
      <w:r>
        <w:rPr/>
        <w:fldChar w:fldCharType="begin" w:fldLock="0"/>
      </w:r>
      <w:r>
        <w:instrText xml:space="preserve"> PAGEREF _Toc11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22</w:t>
      </w:r>
      <w:r>
        <w:rPr/>
        <w:fldChar w:fldCharType="end" w:fldLock="0"/>
      </w:r>
    </w:p>
    <w:p>
      <w:pPr>
        <w:pStyle w:val="TOC 2"/>
      </w:pPr>
      <w:r>
        <w:rPr>
          <w:rFonts w:cs="Arial Unicode MS" w:eastAsia="Arial Unicode MS" w:hint="default"/>
          <w:rtl w:val="0"/>
        </w:rPr>
        <w:t>2.7. Стратегия финансирования</w:t>
        <w:tab/>
      </w:r>
      <w:r>
        <w:rPr/>
        <w:fldChar w:fldCharType="begin" w:fldLock="0"/>
      </w:r>
      <w:r>
        <w:instrText xml:space="preserve"> PAGEREF _Toc12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24</w:t>
      </w:r>
      <w:r>
        <w:rPr/>
        <w:fldChar w:fldCharType="end" w:fldLock="0"/>
      </w:r>
    </w:p>
    <w:p>
      <w:pPr>
        <w:pStyle w:val="TOC 2"/>
      </w:pPr>
      <w:r>
        <w:rPr>
          <w:rFonts w:cs="Arial Unicode MS" w:eastAsia="Arial Unicode MS" w:hint="default"/>
          <w:rtl w:val="0"/>
        </w:rPr>
        <w:t>2.8. Анализ эффективности проекта по созданию ателье</w:t>
        <w:tab/>
      </w:r>
      <w:r>
        <w:rPr/>
        <w:fldChar w:fldCharType="begin" w:fldLock="0"/>
      </w:r>
      <w:r>
        <w:instrText xml:space="preserve"> PAGEREF _Toc13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46</w:t>
      </w:r>
      <w:r>
        <w:rPr/>
        <w:fldChar w:fldCharType="end" w:fldLock="0"/>
      </w:r>
    </w:p>
    <w:p>
      <w:pPr>
        <w:pStyle w:val="TOC 2"/>
      </w:pPr>
      <w:r>
        <w:rPr>
          <w:rFonts w:cs="Arial Unicode MS" w:eastAsia="Arial Unicode MS" w:hint="default"/>
          <w:rtl w:val="0"/>
        </w:rPr>
        <w:t>2.9. Риски проекта</w:t>
        <w:tab/>
      </w:r>
      <w:r>
        <w:rPr/>
        <w:fldChar w:fldCharType="begin" w:fldLock="0"/>
      </w:r>
      <w:r>
        <w:instrText xml:space="preserve"> PAGEREF _Toc14 \h </w:instrText>
      </w:r>
      <w:r>
        <w:rPr/>
        <w:fldChar w:fldCharType="separate" w:fldLock="0"/>
      </w:r>
      <w:r>
        <w:rPr>
          <w:rFonts w:cs="Arial Unicode MS" w:eastAsia="Arial Unicode MS"/>
          <w:rtl w:val="0"/>
        </w:rPr>
        <w:t>31</w:t>
      </w:r>
      <w:r>
        <w:rPr/>
        <w:fldChar w:fldCharType="end" w:fldLock="0"/>
      </w:r>
    </w:p>
    <w:p>
      <w:pPr>
        <w:pStyle w:val="TOC 1"/>
      </w:pPr>
      <w:r>
        <w:rPr>
          <w:rtl w:val="0"/>
        </w:rPr>
        <w:t>Заключение</w:t>
        <w:tab/>
      </w:r>
      <w:r>
        <w:rPr/>
        <w:fldChar w:fldCharType="begin" w:fldLock="0"/>
      </w:r>
      <w:r>
        <w:instrText xml:space="preserve"> PAGEREF _Toc15 \h </w:instrText>
      </w:r>
      <w:r>
        <w:rPr/>
        <w:fldChar w:fldCharType="separate" w:fldLock="0"/>
      </w:r>
      <w:r>
        <w:rPr>
          <w:rtl w:val="0"/>
        </w:rPr>
        <w:t>33</w:t>
      </w:r>
      <w:r>
        <w:rPr/>
        <w:fldChar w:fldCharType="end" w:fldLock="0"/>
      </w:r>
    </w:p>
    <w:p>
      <w:pPr>
        <w:pStyle w:val="TOC 1"/>
      </w:pPr>
      <w:r>
        <w:rPr>
          <w:rtl w:val="0"/>
        </w:rPr>
        <w:t>Список использованной литературы</w:t>
        <w:tab/>
      </w:r>
      <w:r>
        <w:rPr/>
        <w:fldChar w:fldCharType="begin" w:fldLock="0"/>
      </w:r>
      <w:r>
        <w:instrText xml:space="preserve"> PAGEREF _Toc16 \h </w:instrText>
      </w:r>
      <w:r>
        <w:rPr/>
        <w:fldChar w:fldCharType="separate" w:fldLock="0"/>
      </w:r>
      <w:r>
        <w:rPr>
          <w:rtl w:val="0"/>
        </w:rPr>
        <w:t>35</w:t>
      </w:r>
      <w:r>
        <w:rPr/>
        <w:fldChar w:fldCharType="end" w:fldLock="0"/>
      </w:r>
    </w:p>
    <w:p>
      <w:pPr>
        <w:pStyle w:val="TOC 1"/>
      </w:pPr>
      <w:r>
        <w:rPr>
          <w:rtl w:val="0"/>
        </w:rPr>
        <w:t>Приложения</w:t>
        <w:tab/>
      </w:r>
      <w:r>
        <w:rPr/>
        <w:fldChar w:fldCharType="begin" w:fldLock="0"/>
      </w:r>
      <w:r>
        <w:instrText xml:space="preserve"> PAGEREF _Toc17 \h </w:instrText>
      </w:r>
      <w:r>
        <w:rPr/>
        <w:fldChar w:fldCharType="separate" w:fldLock="0"/>
      </w:r>
      <w:r>
        <w:rPr>
          <w:rtl w:val="0"/>
        </w:rPr>
        <w:t>37</w:t>
      </w:r>
      <w:r>
        <w:rPr/>
        <w:fldChar w:fldCharType="end" w:fldLock="0"/>
      </w:r>
    </w:p>
    <w:p>
      <w:pPr>
        <w:pStyle w:val="Normal.0"/>
        <w:tabs>
          <w:tab w:val="right" w:pos="10179" w:leader="dot"/>
        </w:tabs>
        <w:spacing w:after="0" w:line="360" w:lineRule="auto"/>
        <w:jc w:val="both"/>
      </w:pPr>
      <w:r>
        <w:rPr>
          <w:rFonts w:ascii="Times New Roman" w:cs="Times New Roman" w:hAnsi="Times New Roman" w:eastAsia="Times New Roman"/>
          <w:sz w:val="28"/>
          <w:szCs w:val="28"/>
        </w:rPr>
        <w:fldChar w:fldCharType="end" w:fldLock="0"/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8"/>
          <w:szCs w:val="28"/>
        </w:rPr>
        <w:br w:type="page"/>
      </w:r>
    </w:p>
    <w:p>
      <w:pPr>
        <w:pStyle w:val="heading 1"/>
        <w:jc w:val="center"/>
        <w:rPr>
          <w:caps w:val="1"/>
          <w:color w:val="000000"/>
          <w:u w:color="000000"/>
        </w:rPr>
      </w:pPr>
      <w:bookmarkStart w:name="_Toc" w:id="0"/>
      <w:r>
        <w:rPr>
          <w:caps w:val="1"/>
          <w:color w:val="000000"/>
          <w:u w:color="000000"/>
          <w:rtl w:val="0"/>
          <w:lang w:val="ru-RU"/>
        </w:rPr>
        <w:t>Введение</w:t>
      </w:r>
      <w:bookmarkEnd w:id="0"/>
    </w:p>
    <w:p>
      <w:pPr>
        <w:pStyle w:val="Normal.0"/>
        <w:spacing w:after="0" w:line="36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России в период экономической и особенно финансовой нестабильности главенствуют вопросы планирования деятельности фирмы в условиях неопределенности перспектив развития экономики страны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Это требует и особого подхода к принятию управленческих решений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выбору инструментов их реализации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Финансовая нестабильность выражается в неплатежах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низкой рентабельности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ликвидности и платежеспособности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отсутствии соответствующей законодательной базы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отработанных механизмов регулирования финансовых потоков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низкой эффективности функционирования банковской и налоговой системы и пр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Поэтому чрезвычайно важно построить такую схему управления фирмой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которая тем не менее даже в этих условиях могла бы действовать более или менее эффективно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Все эти факторы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влияющие на функционирование компании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должны найти отражение при оценке инвестиционных проектов любой компании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Инвестиционный проект компании должен прежде всего способствовать решению задач улучшения его финансового состояния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Именно поэтому вопросы экономической оценки эффективности инвестиционного проекта особенно актуальны в настоящее время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Основой успешного инвестиционного проекта является его подготовка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включающая в себя различные аспекты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Все большее значение в наши дни приобретает уровень информированности заинтересованных сторон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 прочих равных условиях в более выигрышной позиции оказывается сторона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обладающая более достоверной информацией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 умеющая интерпретировать ее в свою пользу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Целью курсовой работы является разработать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 для предприятия в сфере текстильного  производства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.</w:t>
      </w:r>
    </w:p>
    <w:p>
      <w:pPr>
        <w:pStyle w:val="Normal.0"/>
        <w:spacing w:after="0" w:line="36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Для достижения поставленной цели необходимо решить следующие  задачи</w:t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2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Изучить теоретико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методологические основы создания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2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Разработать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 и оценить экономическую эффективность создаваемого бизнеса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Объектом исследования по выбранной теме является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 как план действий собственника по организации бизнеса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Предметом исследования по выбранной теме является оценка экономической эффективности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плана собственника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720"/>
        </w:tabs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 выполнении работы были использованы различные методы  исследования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анализ научной литературы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методы статистического анализа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методы прогнозирования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Информационной базой при выполнении работы служили нормативные и законодательные акты в области гражданского права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налогообложения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учебники и статьи из периодической литературы по теме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планирования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материалы из  сети Интернет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851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Структурно работа состоит из введения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двух глав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заключения и списка использованной литературы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8"/>
          <w:szCs w:val="28"/>
        </w:rPr>
        <w:br w:type="page"/>
      </w:r>
    </w:p>
    <w:p>
      <w:pPr>
        <w:pStyle w:val="heading 1"/>
        <w:spacing w:before="0" w:line="360" w:lineRule="auto"/>
        <w:jc w:val="center"/>
        <w:rPr>
          <w:caps w:val="1"/>
          <w:color w:val="000000"/>
          <w:u w:color="000000"/>
        </w:rPr>
      </w:pPr>
      <w:bookmarkStart w:name="_Toc1" w:id="1"/>
      <w:r>
        <w:rPr>
          <w:caps w:val="1"/>
          <w:color w:val="000000"/>
          <w:u w:color="000000"/>
          <w:rtl w:val="0"/>
          <w:lang w:val="ru-RU"/>
        </w:rPr>
        <w:t>1.</w:t>
      </w:r>
      <w:r>
        <w:rPr>
          <w:caps w:val="1"/>
          <w:color w:val="000000"/>
          <w:u w:color="000000"/>
          <w:rtl w:val="0"/>
          <w:lang w:val="ru-RU"/>
        </w:rPr>
        <w:t>Теоретические  основы создания бизнес</w:t>
      </w:r>
      <w:r>
        <w:rPr>
          <w:caps w:val="1"/>
          <w:color w:val="000000"/>
          <w:u w:color="000000"/>
          <w:rtl w:val="0"/>
          <w:lang w:val="ru-RU"/>
        </w:rPr>
        <w:t xml:space="preserve">- </w:t>
      </w:r>
      <w:r>
        <w:rPr>
          <w:caps w:val="1"/>
          <w:color w:val="000000"/>
          <w:u w:color="000000"/>
          <w:rtl w:val="0"/>
          <w:lang w:val="ru-RU"/>
        </w:rPr>
        <w:t>плана</w:t>
      </w:r>
      <w:bookmarkEnd w:id="1"/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heading 3"/>
        <w:ind w:firstLine="709"/>
        <w:rPr>
          <w:color w:val="000000"/>
          <w:u w:color="000000"/>
        </w:rPr>
      </w:pPr>
      <w:bookmarkStart w:name="_Toc2" w:id="2"/>
      <w:r>
        <w:rPr>
          <w:color w:val="000000"/>
          <w:u w:color="000000"/>
          <w:rtl w:val="0"/>
          <w:lang w:val="ru-RU"/>
        </w:rPr>
        <w:t xml:space="preserve">1.1. </w:t>
      </w:r>
      <w:r>
        <w:rPr>
          <w:color w:val="000000"/>
          <w:u w:color="000000"/>
          <w:rtl w:val="0"/>
          <w:lang w:val="ru-RU"/>
        </w:rPr>
        <w:t>Понятие и характеристики бизнес</w:t>
      </w:r>
      <w:r>
        <w:rPr>
          <w:color w:val="000000"/>
          <w:u w:color="000000"/>
          <w:rtl w:val="0"/>
          <w:lang w:val="ru-RU"/>
        </w:rPr>
        <w:t xml:space="preserve">- </w:t>
      </w:r>
      <w:r>
        <w:rPr>
          <w:color w:val="000000"/>
          <w:u w:color="000000"/>
          <w:rtl w:val="0"/>
          <w:lang w:val="ru-RU"/>
        </w:rPr>
        <w:t>плана</w:t>
      </w:r>
      <w:bookmarkEnd w:id="2"/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Одним из значимых аспектов хозяйственной деятельности любого хозяйствующего субъекта выступает процесс инвестирования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настоящее время особую актуальность приобретает процесс реального инвестирования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именно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привлечение инвестиций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их оценка в рыночных условиях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которые сложились в России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Реальное инвестирование обычно осуществляется в виде реализации инвестиционного проекта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целом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инвестиционный проект представляет собой план по вложению капитала в определенную коммерческую деятельность для получения прибыли в будущем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размер которой будет достаточен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чтобы удовлетворить требования инвесторов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Содержание данного плана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как правило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включается технико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технологические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организационные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расчетно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финансовые и правовые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целенаправленно подготовленные материалы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необходимые для формирования и последующего функционирования объекта инвестирования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Инвестиционный проект помогает решить важную задачу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направленную на выяснение и обоснование технических возможностей и экономической необходимости создания данного объекта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Осознание принятия решения инвестирования в конкретные объекты принимается обычно с помощью разработанного инвестиционного проекта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Бизнес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</w:t>
      </w:r>
      <w:r>
        <w:rPr>
          <w:rFonts w:ascii="Times New Roman" w:hAnsi="Times New Roman"/>
          <w:b w:val="1"/>
          <w:bCs w:val="1"/>
          <w:color w:val="000000"/>
          <w:sz w:val="28"/>
          <w:szCs w:val="28"/>
          <w:u w:color="000000"/>
          <w:rtl w:val="0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(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перевод с английского «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en-US"/>
        </w:rPr>
        <w:t>Business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en-US"/>
        </w:rPr>
        <w:t>plan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»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– представляет собой документ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 котором инициатор описывает все основные аспекты будущей предпринимательской деятельности организации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анализирует потенциальные проблемы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 которыми есть вероятность столкнуться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и определяет альтернативные способы решения этих проблем</w:t>
      </w:r>
      <w:r>
        <w:rPr>
          <w:rFonts w:ascii="Times New Roman" w:cs="Times New Roman" w:hAnsi="Times New Roman" w:eastAsia="Times New Roman"/>
          <w:color w:val="000000"/>
          <w:sz w:val="28"/>
          <w:szCs w:val="28"/>
          <w:u w:color="000000"/>
          <w:vertAlign w:val="superscript"/>
          <w:lang w:val="ru-RU"/>
        </w:rPr>
        <w:footnoteReference w:id="1"/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На основании бизнес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плана партнеры и инвесторы предоставляют денежные средства инициатору проекта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 настоящее время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бизнес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 является необходимым инструментом экономического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технического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финансового и управленческого обоснования проекта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Каждый  бизнес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 имеет два принципиальных направления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внешнее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 рамках которого бизнес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 призван информировать заинтересованных лиц о технических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юридических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организационно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экономических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финансовых и прочих преимуществах проекта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внутреннее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 рамках которого бизнес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 призван подготовить заказчику информационное досье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программу реализации проекта с оценкой результатов на каждом этапе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Бизнес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 чаще всего разрабатывается с целью обоснования выпуска новой продукции или улучшения существующей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внедрения инноваций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реорганизации предприятия и т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д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Неотъемлемой частью в ходе разработки инвестиционного проекта выступает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Данный документ является рабочим инструментом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помогающим осуществлять контроль и управление бизнесом при условии надлежащего его использования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Правильно составленный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 дает общую идею нового направления в бизнесе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представляет информацию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необходимую для принятий решений инвесторами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банкирами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партнерами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Кроме того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хороший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 позволяет принять решение о целесообразности инвестирования финансовых ресурсов в новый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показывает предполагаемые доходы и расходы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 также будущую прибыль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Основной целью написания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плана – спланировать хозяйственную деятельность экономического субъекта в настоящем и в будущем исходя из условий и перспектив рыночной экономики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целом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цели написания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плана можно назвать различные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современной практике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план выполняет четыре функции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рис</w:t>
      </w:r>
      <w:r>
        <w:rPr>
          <w:rFonts w:ascii="Times New Roman" w:hAnsi="Times New Roman"/>
          <w:sz w:val="28"/>
          <w:szCs w:val="28"/>
          <w:rtl w:val="0"/>
          <w:lang w:val="ru-RU"/>
        </w:rPr>
        <w:t>.1.1)</w:t>
      </w:r>
      <w:r>
        <w:rPr>
          <w:rFonts w:ascii="Times New Roman" w:cs="Times New Roman" w:hAnsi="Times New Roman" w:eastAsia="Times New Roman"/>
          <w:sz w:val="28"/>
          <w:szCs w:val="28"/>
          <w:vertAlign w:val="superscript"/>
        </w:rPr>
        <w:footnoteReference w:id="2"/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cs="Times New Roman" w:hAnsi="Times New Roman" w:eastAsia="Times New Roman"/>
          <w:sz w:val="28"/>
          <w:szCs w:val="28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margin">
                  <wp:posOffset>869596</wp:posOffset>
                </wp:positionH>
                <wp:positionV relativeFrom="line">
                  <wp:posOffset>304797</wp:posOffset>
                </wp:positionV>
                <wp:extent cx="4888865" cy="2073909"/>
                <wp:effectExtent l="0" t="0" r="0" b="0"/>
                <wp:wrapNone/>
                <wp:docPr id="1073741845" name="officeArt object" descr="Группа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88865" cy="2073909"/>
                          <a:chOff x="0" y="0"/>
                          <a:chExt cx="4888864" cy="2073908"/>
                        </a:xfrm>
                      </wpg:grpSpPr>
                      <wpg:grpSp>
                        <wpg:cNvPr id="1073741827" name="Поле 54"/>
                        <wpg:cNvGrpSpPr/>
                        <wpg:grpSpPr>
                          <a:xfrm>
                            <a:off x="0" y="-1"/>
                            <a:ext cx="2400839" cy="317971"/>
                            <a:chOff x="0" y="0"/>
                            <a:chExt cx="2400838" cy="317970"/>
                          </a:xfrm>
                        </wpg:grpSpPr>
                        <wps:wsp>
                          <wps:cNvPr id="1073741825" name="Shape 1073741825"/>
                          <wps:cNvSpPr/>
                          <wps:spPr>
                            <a:xfrm>
                              <a:off x="0" y="-1"/>
                              <a:ext cx="2400839" cy="3179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26" name="Shape 1073741826"/>
                          <wps:cNvSpPr txBox="1"/>
                          <wps:spPr>
                            <a:xfrm>
                              <a:off x="0" y="-1"/>
                              <a:ext cx="2400839" cy="317972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Normal.0"/>
                                  <w:jc w:val="center"/>
                                </w:pPr>
                                <w:r>
                                  <w:rPr>
                                    <w:rFonts w:ascii="Times New Roman" w:hAnsi="Times New Roman" w:hint="default"/>
                                    <w:sz w:val="24"/>
                                    <w:szCs w:val="24"/>
                                    <w:rtl w:val="0"/>
                                    <w:lang w:val="ru-RU"/>
                                  </w:rPr>
                                  <w:t>Функции бизнес</w:t>
                                </w:r>
                                <w:r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rtl w:val="0"/>
                                    <w:lang w:val="ru-RU"/>
                                  </w:rPr>
                                  <w:t>-</w:t>
                                </w:r>
                                <w:r>
                                  <w:rPr>
                                    <w:rFonts w:ascii="Times New Roman" w:hAnsi="Times New Roman" w:hint="default"/>
                                    <w:sz w:val="24"/>
                                    <w:szCs w:val="24"/>
                                    <w:rtl w:val="0"/>
                                    <w:lang w:val="ru-RU"/>
                                  </w:rPr>
                                  <w:t>плана</w:t>
                                </w:r>
                              </w:p>
                            </w:txbxContent>
                          </wps:txbx>
                          <wps:bodyPr wrap="square" lIns="45719" tIns="45719" rIns="45719" bIns="45719" numCol="1" anchor="t">
                            <a:noAutofit/>
                          </wps:bodyPr>
                        </wps:wsp>
                      </wpg:grpSp>
                      <wpg:grpSp>
                        <wpg:cNvPr id="1073741830" name="Поле 55"/>
                        <wpg:cNvGrpSpPr/>
                        <wpg:grpSpPr>
                          <a:xfrm>
                            <a:off x="563215" y="437159"/>
                            <a:ext cx="4325650" cy="286374"/>
                            <a:chOff x="0" y="0"/>
                            <a:chExt cx="4325649" cy="286372"/>
                          </a:xfrm>
                        </wpg:grpSpPr>
                        <wps:wsp>
                          <wps:cNvPr id="1073741828" name="Shape 1073741828"/>
                          <wps:cNvSpPr/>
                          <wps:spPr>
                            <a:xfrm>
                              <a:off x="-1" y="0"/>
                              <a:ext cx="4325651" cy="28637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29" name="Shape 1073741829"/>
                          <wps:cNvSpPr txBox="1"/>
                          <wps:spPr>
                            <a:xfrm>
                              <a:off x="-1" y="0"/>
                              <a:ext cx="4325651" cy="286373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Normal.0"/>
                                  <w:spacing w:line="240" w:lineRule="auto"/>
                                </w:pPr>
                                <w:r>
                                  <w:rPr>
                                    <w:rFonts w:ascii="Times New Roman" w:hAnsi="Times New Roman" w:hint="default"/>
                                    <w:sz w:val="24"/>
                                    <w:szCs w:val="24"/>
                                    <w:rtl w:val="0"/>
                                    <w:lang w:val="ru-RU"/>
                                  </w:rPr>
                                  <w:t>Возможность использования для разработки стратегии бизнеса</w:t>
                                </w:r>
                              </w:p>
                            </w:txbxContent>
                          </wps:txbx>
                          <wps:bodyPr wrap="square" lIns="45719" tIns="45719" rIns="45719" bIns="45719" numCol="1" anchor="t">
                            <a:noAutofit/>
                          </wps:bodyPr>
                        </wps:wsp>
                      </wpg:grpSp>
                      <wpg:grpSp>
                        <wpg:cNvPr id="1073741833" name="Поле 56"/>
                        <wpg:cNvGrpSpPr/>
                        <wpg:grpSpPr>
                          <a:xfrm>
                            <a:off x="563115" y="857721"/>
                            <a:ext cx="4325250" cy="318071"/>
                            <a:chOff x="0" y="0"/>
                            <a:chExt cx="4325249" cy="318069"/>
                          </a:xfrm>
                        </wpg:grpSpPr>
                        <wps:wsp>
                          <wps:cNvPr id="1073741831" name="Shape 1073741831"/>
                          <wps:cNvSpPr/>
                          <wps:spPr>
                            <a:xfrm>
                              <a:off x="-1" y="0"/>
                              <a:ext cx="4325251" cy="3180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32" name="Shape 1073741832"/>
                          <wps:cNvSpPr txBox="1"/>
                          <wps:spPr>
                            <a:xfrm>
                              <a:off x="-1" y="0"/>
                              <a:ext cx="4325251" cy="318070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Normal.0"/>
                                </w:pPr>
                                <w:r>
                                  <w:rPr>
                                    <w:rFonts w:ascii="Times New Roman" w:hAnsi="Times New Roman" w:hint="default"/>
                                    <w:sz w:val="24"/>
                                    <w:szCs w:val="24"/>
                                    <w:rtl w:val="0"/>
                                    <w:lang w:val="ru-RU"/>
                                  </w:rPr>
                                  <w:t xml:space="preserve">Планирование </w:t>
                                </w:r>
                              </w:p>
                            </w:txbxContent>
                          </wps:txbx>
                          <wps:bodyPr wrap="square" lIns="45719" tIns="45719" rIns="45719" bIns="45719" numCol="1" anchor="t">
                            <a:noAutofit/>
                          </wps:bodyPr>
                        </wps:wsp>
                      </wpg:grpSp>
                      <wpg:grpSp>
                        <wpg:cNvPr id="1073741836" name="Поле 57"/>
                        <wpg:cNvGrpSpPr/>
                        <wpg:grpSpPr>
                          <a:xfrm>
                            <a:off x="563315" y="1287081"/>
                            <a:ext cx="4324550" cy="317972"/>
                            <a:chOff x="0" y="0"/>
                            <a:chExt cx="4324549" cy="317970"/>
                          </a:xfrm>
                        </wpg:grpSpPr>
                        <wps:wsp>
                          <wps:cNvPr id="1073741834" name="Shape 1073741834"/>
                          <wps:cNvSpPr/>
                          <wps:spPr>
                            <a:xfrm>
                              <a:off x="-1" y="-1"/>
                              <a:ext cx="4324551" cy="31797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35" name="Shape 1073741835"/>
                          <wps:cNvSpPr txBox="1"/>
                          <wps:spPr>
                            <a:xfrm>
                              <a:off x="-1" y="-1"/>
                              <a:ext cx="4324551" cy="317972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Normal.0"/>
                                </w:pPr>
                                <w:r>
                                  <w:rPr>
                                    <w:rFonts w:ascii="Times New Roman" w:hAnsi="Times New Roman" w:hint="default"/>
                                    <w:sz w:val="24"/>
                                    <w:szCs w:val="24"/>
                                    <w:rtl w:val="0"/>
                                    <w:lang w:val="ru-RU"/>
                                  </w:rPr>
                                  <w:t>Привлечение заемного капитала</w:t>
                                </w:r>
                              </w:p>
                            </w:txbxContent>
                          </wps:txbx>
                          <wps:bodyPr wrap="square" lIns="45719" tIns="45719" rIns="45719" bIns="45719" numCol="1" anchor="t">
                            <a:noAutofit/>
                          </wps:bodyPr>
                        </wps:wsp>
                      </wpg:grpSp>
                      <wpg:grpSp>
                        <wpg:cNvPr id="1073741839" name="Поле 58"/>
                        <wpg:cNvGrpSpPr/>
                        <wpg:grpSpPr>
                          <a:xfrm>
                            <a:off x="564814" y="1755838"/>
                            <a:ext cx="4324051" cy="318071"/>
                            <a:chOff x="0" y="0"/>
                            <a:chExt cx="4324050" cy="318069"/>
                          </a:xfrm>
                        </wpg:grpSpPr>
                        <wps:wsp>
                          <wps:cNvPr id="1073741837" name="Shape 1073741837"/>
                          <wps:cNvSpPr/>
                          <wps:spPr>
                            <a:xfrm>
                              <a:off x="-1" y="0"/>
                              <a:ext cx="4324052" cy="3180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 cap="flat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38" name="Shape 1073741838"/>
                          <wps:cNvSpPr txBox="1"/>
                          <wps:spPr>
                            <a:xfrm>
                              <a:off x="-1" y="0"/>
                              <a:ext cx="4324052" cy="318070"/>
                            </a:xfrm>
                            <a:prstGeom prst="rect">
                              <a:avLst/>
                            </a:prstGeom>
                            <a:noFill/>
                            <a:ln w="12700" cap="flat">
                              <a:noFill/>
                              <a:miter lim="400000"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pStyle w:val="Normal.0"/>
                                </w:pPr>
                                <w:r>
                                  <w:rPr>
                                    <w:rFonts w:ascii="Times New Roman" w:hAnsi="Times New Roman" w:hint="default"/>
                                    <w:sz w:val="24"/>
                                    <w:szCs w:val="24"/>
                                    <w:rtl w:val="0"/>
                                    <w:lang w:val="ru-RU"/>
                                  </w:rPr>
                                  <w:t>Привлечение инвесторов</w:t>
                                </w:r>
                              </w:p>
                            </w:txbxContent>
                          </wps:txbx>
                          <wps:bodyPr wrap="square" lIns="45719" tIns="45719" rIns="45719" bIns="45719" numCol="1" anchor="t">
                            <a:noAutofit/>
                          </wps:bodyPr>
                        </wps:wsp>
                      </wpg:grpSp>
                      <wps:wsp>
                        <wps:cNvPr id="1073741840" name="Прямая соединительная линия 59"/>
                        <wps:cNvSpPr/>
                        <wps:spPr>
                          <a:xfrm flipH="1">
                            <a:off x="197470" y="317770"/>
                            <a:ext cx="1201" cy="1573256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073741841" name="Прямая со стрелкой 60"/>
                        <wps:cNvSpPr/>
                        <wps:spPr>
                          <a:xfrm>
                            <a:off x="197470" y="596145"/>
                            <a:ext cx="365746" cy="1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073741842" name="Прямая со стрелкой 61"/>
                        <wps:cNvSpPr/>
                        <wps:spPr>
                          <a:xfrm>
                            <a:off x="197470" y="1000808"/>
                            <a:ext cx="365646" cy="1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073741843" name="Прямая со стрелкой 62"/>
                        <wps:cNvSpPr/>
                        <wps:spPr>
                          <a:xfrm>
                            <a:off x="197670" y="1446367"/>
                            <a:ext cx="365746" cy="1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1073741844" name="Прямая со стрелкой 63"/>
                        <wps:cNvSpPr/>
                        <wps:spPr>
                          <a:xfrm>
                            <a:off x="197670" y="1891526"/>
                            <a:ext cx="365746" cy="1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68.5pt;margin-top:24.0pt;width:384.9pt;height:163.3pt;z-index:251659264;mso-position-horizontal:absolute;mso-position-horizontal-relative:margin;mso-position-vertical:absolute;mso-position-vertical-relative:line;mso-wrap-distance-left:0.0pt;mso-wrap-distance-top:0.0pt;mso-wrap-distance-right:0.0pt;mso-wrap-distance-bottom:0.0pt;" coordorigin="0,0" coordsize="4888865,2073909">
                <w10:wrap type="none" side="bothSides" anchorx="margin"/>
                <v:group id="_x0000_s1027" style="position:absolute;left:0;top:0;width:2400839;height:317970;" coordorigin="0,0" coordsize="2400839,317970">
                  <v:rect id="_x0000_s1028" style="position:absolute;left:0;top:0;width:2400839;height:317970;">
                    <v:fill color="#FFFFFF" opacity="100.0%" type="solid"/>
    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  </v:rect>
                  <v:shape id="_x0000_s1029" type="#_x0000_t202" style="position:absolute;left:0;top:0;width:2400839;height:317970;">
                    <v:fill on="f"/>
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<v:textbox>
                      <w:txbxContent>
                        <w:p>
                          <w:pPr>
                            <w:pStyle w:val="Normal.0"/>
                            <w:jc w:val="center"/>
                          </w:pPr>
                          <w:r>
                            <w:rPr>
                              <w:rFonts w:ascii="Times New Roman" w:hAnsi="Times New Roman" w:hint="default"/>
                              <w:sz w:val="24"/>
                              <w:szCs w:val="24"/>
                              <w:rtl w:val="0"/>
                              <w:lang w:val="ru-RU"/>
                            </w:rPr>
                            <w:t>Функции бизнес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  <w:rtl w:val="0"/>
                              <w:lang w:val="ru-RU"/>
                            </w:rPr>
                            <w:t>-</w:t>
                          </w:r>
                          <w:r>
                            <w:rPr>
                              <w:rFonts w:ascii="Times New Roman" w:hAnsi="Times New Roman" w:hint="default"/>
                              <w:sz w:val="24"/>
                              <w:szCs w:val="24"/>
                              <w:rtl w:val="0"/>
                              <w:lang w:val="ru-RU"/>
                            </w:rPr>
                            <w:t>плана</w:t>
                          </w:r>
                        </w:p>
                      </w:txbxContent>
                    </v:textbox>
                  </v:shape>
                </v:group>
                <v:group id="_x0000_s1030" style="position:absolute;left:563215;top:437160;width:4325649;height:286373;" coordorigin="0,0" coordsize="4325649,286373">
                  <v:rect id="_x0000_s1031" style="position:absolute;left:0;top:0;width:4325649;height:286373;">
                    <v:fill color="#FFFFFF" opacity="100.0%" type="solid"/>
    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  </v:rect>
                  <v:shape id="_x0000_s1032" type="#_x0000_t202" style="position:absolute;left:0;top:0;width:4325649;height:286373;">
                    <v:fill on="f"/>
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<v:textbox>
                      <w:txbxContent>
                        <w:p>
                          <w:pPr>
                            <w:pStyle w:val="Normal.0"/>
                            <w:spacing w:line="240" w:lineRule="auto"/>
                          </w:pPr>
                          <w:r>
                            <w:rPr>
                              <w:rFonts w:ascii="Times New Roman" w:hAnsi="Times New Roman" w:hint="default"/>
                              <w:sz w:val="24"/>
                              <w:szCs w:val="24"/>
                              <w:rtl w:val="0"/>
                              <w:lang w:val="ru-RU"/>
                            </w:rPr>
                            <w:t>Возможность использования для разработки стратегии бизнеса</w:t>
                          </w:r>
                        </w:p>
                      </w:txbxContent>
                    </v:textbox>
                  </v:shape>
                </v:group>
                <v:group id="_x0000_s1033" style="position:absolute;left:563115;top:857721;width:4325249;height:318070;" coordorigin="0,0" coordsize="4325249,318070">
                  <v:rect id="_x0000_s1034" style="position:absolute;left:0;top:0;width:4325249;height:318070;">
                    <v:fill color="#FFFFFF" opacity="100.0%" type="solid"/>
    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  </v:rect>
                  <v:shape id="_x0000_s1035" type="#_x0000_t202" style="position:absolute;left:0;top:0;width:4325249;height:318070;">
                    <v:fill on="f"/>
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<v:textbox>
                      <w:txbxContent>
                        <w:p>
                          <w:pPr>
                            <w:pStyle w:val="Normal.0"/>
                          </w:pPr>
                          <w:r>
                            <w:rPr>
                              <w:rFonts w:ascii="Times New Roman" w:hAnsi="Times New Roman" w:hint="default"/>
                              <w:sz w:val="24"/>
                              <w:szCs w:val="24"/>
                              <w:rtl w:val="0"/>
                              <w:lang w:val="ru-RU"/>
                            </w:rPr>
                            <w:t xml:space="preserve">Планирование </w:t>
                          </w:r>
                        </w:p>
                      </w:txbxContent>
                    </v:textbox>
                  </v:shape>
                </v:group>
                <v:group id="_x0000_s1036" style="position:absolute;left:563315;top:1287082;width:4324549;height:317970;" coordorigin="0,0" coordsize="4324549,317970">
                  <v:rect id="_x0000_s1037" style="position:absolute;left:0;top:0;width:4324549;height:317970;">
                    <v:fill color="#FFFFFF" opacity="100.0%" type="solid"/>
    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  </v:rect>
                  <v:shape id="_x0000_s1038" type="#_x0000_t202" style="position:absolute;left:0;top:0;width:4324549;height:317970;">
                    <v:fill on="f"/>
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<v:textbox>
                      <w:txbxContent>
                        <w:p>
                          <w:pPr>
                            <w:pStyle w:val="Normal.0"/>
                          </w:pPr>
                          <w:r>
                            <w:rPr>
                              <w:rFonts w:ascii="Times New Roman" w:hAnsi="Times New Roman" w:hint="default"/>
                              <w:sz w:val="24"/>
                              <w:szCs w:val="24"/>
                              <w:rtl w:val="0"/>
                              <w:lang w:val="ru-RU"/>
                            </w:rPr>
                            <w:t>Привлечение заемного капитала</w:t>
                          </w:r>
                        </w:p>
                      </w:txbxContent>
                    </v:textbox>
                  </v:shape>
                </v:group>
                <v:group id="_x0000_s1039" style="position:absolute;left:564815;top:1755839;width:4324050;height:318070;" coordorigin="0,0" coordsize="4324050,318070">
                  <v:rect id="_x0000_s1040" style="position:absolute;left:0;top:0;width:4324050;height:318070;">
                    <v:fill color="#FFFFFF" opacity="100.0%" type="solid"/>
      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    </v:rect>
                  <v:shape id="_x0000_s1041" type="#_x0000_t202" style="position:absolute;left:0;top:0;width:4324050;height:318070;">
                    <v:fill on="f"/>
    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    <v:textbox>
                      <w:txbxContent>
                        <w:p>
                          <w:pPr>
                            <w:pStyle w:val="Normal.0"/>
                          </w:pPr>
                          <w:r>
                            <w:rPr>
                              <w:rFonts w:ascii="Times New Roman" w:hAnsi="Times New Roman" w:hint="default"/>
                              <w:sz w:val="24"/>
                              <w:szCs w:val="24"/>
                              <w:rtl w:val="0"/>
                              <w:lang w:val="ru-RU"/>
                            </w:rPr>
                            <w:t>Привлечение инвесторов</w:t>
                          </w:r>
                        </w:p>
                      </w:txbxContent>
                    </v:textbox>
                  </v:shape>
                </v:group>
                <v:line id="_x0000_s1042" style="position:absolute;left:197471;top:317771;width:1199;height:1573255;flip:x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</v:line>
                <v:line id="_x0000_s1043" style="position:absolute;left:197470;top:596145;width:365745;height: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block" endarrowwidth="medium" endarrowlength="medium"/>
                </v:line>
                <v:line id="_x0000_s1044" style="position:absolute;left:197470;top:1000808;width:365645;height: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block" endarrowwidth="medium" endarrowlength="medium"/>
                </v:line>
                <v:line id="_x0000_s1045" style="position:absolute;left:197670;top:1446367;width:365745;height: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block" endarrowwidth="medium" endarrowlength="medium"/>
                </v:line>
                <v:line id="_x0000_s1046" style="position:absolute;left:197670;top:1891527;width:365745;height: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block" endarrowwidth="medium" endarrowlength="medium"/>
                </v:line>
              </v:group>
            </w:pict>
          </mc:Fallback>
        </mc:AlternateConten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48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480" w:lineRule="auto"/>
        <w:jc w:val="center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Рис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.1.1 -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Функции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плана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Задачи разработки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плана состоят в следующем</w:t>
      </w:r>
      <w:r>
        <w:rPr>
          <w:rFonts w:ascii="Times New Roman" w:cs="Times New Roman" w:hAnsi="Times New Roman" w:eastAsia="Times New Roman"/>
          <w:sz w:val="28"/>
          <w:szCs w:val="28"/>
          <w:vertAlign w:val="superscript"/>
        </w:rPr>
        <w:footnoteReference w:id="3"/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– определение конкретных направлений хозяйственной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перспективных рынков сбыта и места предприятия в этих нишах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– оценка затрат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необходимых для производства и реализации готовой продукции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работ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услуг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соизмерение ее с продажными ценами с целью определения будущей прибыльности инвестиционного проекта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– выявление соответствия персонала предприятия новому направлению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оценка действующей системы мотивации персонала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– анализ материального и финансового состояния предприятия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– оценка рисков инвестиционного проекта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Цель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плана заключается в том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чтобы убедить инвесторов в эффективности проекта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частности представить экономическую целесообразность вложений финансовых и иных ресурсов с целью получения большей прибыли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Инвестору необходимо знать эффективность предлагаемого ему проекта еще до капитальных вложений с его стороны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Как показывает практика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созданию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плана способствует необходимость привлечения капитальных вложений со стороны для осуществления новых направлений хозяйственной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Минимальное количество гарантий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которые даются инвестору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может состоять из следующих положений</w:t>
      </w:r>
      <w:r>
        <w:rPr>
          <w:rFonts w:ascii="Times New Roman" w:cs="Times New Roman" w:hAnsi="Times New Roman" w:eastAsia="Times New Roman"/>
          <w:sz w:val="28"/>
          <w:szCs w:val="28"/>
          <w:vertAlign w:val="superscript"/>
        </w:rPr>
        <w:footnoteReference w:id="4"/>
      </w:r>
      <w:r>
        <w:rPr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– эффективное направление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которое по итогам реализации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плана сможет развиваться дальше и получать более высокие результаты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– наличие управленческой команды для реализации проекта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– наличие имущественных гарантий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стоимость заложенного имущества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акции предприятия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). 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Таким образом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план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это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 сути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представленная в определенном стандарте система доказательств успешности предлагаемого дела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Различие между западными методиками вытекает из того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что в каждом из них считается наиболее важным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Целью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плана развития предприятия является совсем иное — построение траектории развития предприятия на достаточно продолжительный период времени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(3-5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лет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Следовательно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использование вышеприведенных методик для разработки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планов инвестиционных проектов связано с большими трудностями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план – это продукт внутренней управленческой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который потребляется в основном внешними контрагентами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кредиторами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деловыми партнерами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инвесторами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709"/>
        <w:jc w:val="both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Для того чтобы инвестор мог принять наилучшее решение об инвестировании в тот или иной проект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необходимо оценить его эффективность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Увеличение объемов инвестиций в основной капитал и приумножение количества реализуемых инвестиционных проектов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говорят о необходимости и актуальности разработки и совершенствования инструментария оценки эффективности инвестиционных проектов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При создании бизнес</w:t>
      </w:r>
      <w:r>
        <w:rPr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плана необходимо произвести взаимный учет и увязку интересов  всех заинтересованных сторон</w:t>
      </w:r>
      <w:r>
        <w:rPr>
          <w:rFonts w:ascii="Times New Roman" w:cs="Times New Roman" w:hAnsi="Times New Roman" w:eastAsia="Times New Roman"/>
          <w:color w:val="000000"/>
          <w:sz w:val="28"/>
          <w:szCs w:val="28"/>
          <w:u w:color="000000"/>
          <w:vertAlign w:val="superscript"/>
        </w:rPr>
        <w:footnoteReference w:id="5"/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заказчика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который является инвестором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муниципальных органов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которые определяют  потребности общества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планируют поступления налогов в бюджет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принимают участие в надзоре за внедрением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субподрядных и подрядных фирм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,</w:t>
      </w:r>
      <w:r>
        <w:rPr>
          <w:rStyle w:val="Нет"/>
          <w:rFonts w:ascii="Times New Roman" w:hAnsi="Times New Roman"/>
          <w:i w:val="1"/>
          <w:iCs w:val="1"/>
          <w:color w:val="000000"/>
          <w:sz w:val="28"/>
          <w:szCs w:val="28"/>
          <w:u w:color="000000"/>
          <w:rtl w:val="0"/>
          <w:lang w:val="ru-RU"/>
        </w:rPr>
        <w:t xml:space="preserve">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которые детализируют концепции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осуществляют составление сметной документации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проектирование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технические изыскания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авторский надзор и т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д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клиента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,</w:t>
      </w:r>
      <w:r>
        <w:rPr>
          <w:rStyle w:val="Нет"/>
          <w:rFonts w:ascii="Times New Roman" w:hAnsi="Times New Roman"/>
          <w:i w:val="1"/>
          <w:iCs w:val="1"/>
          <w:color w:val="000000"/>
          <w:sz w:val="28"/>
          <w:szCs w:val="28"/>
          <w:u w:color="000000"/>
          <w:rtl w:val="0"/>
          <w:lang w:val="ru-RU"/>
        </w:rPr>
        <w:t xml:space="preserve">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использующего продукцию или услуги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 решает четыре важные задачи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1)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анализ перспектив развития рынка с целью производить востребованный товар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работу или услугу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2)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оценка потенциальных затрат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необходимых для изготовления и реализации проектируемой продукции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и их соотношения ценами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по которым планируется осуществлять сбыт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чтобы обеспечить прибыльность проекта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3)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обнаружить всевозможные проблемы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которые могут иметь место в первые годы его реализации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и разработать различные превентивные мероприятия по минимизации потенциальных рисков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4)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определить критерии и показатели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по которым проект будет оценен после реализации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Еще одним из целей разработки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плана</w:t>
      </w:r>
      <w:r>
        <w:rPr>
          <w:rStyle w:val="Нет"/>
          <w:rFonts w:ascii="Times New Roman" w:hAnsi="Times New Roman"/>
          <w:b w:val="1"/>
          <w:bCs w:val="1"/>
          <w:color w:val="000000"/>
          <w:sz w:val="28"/>
          <w:szCs w:val="28"/>
          <w:u w:color="000000"/>
          <w:rtl w:val="0"/>
          <w:lang w:val="ru-RU"/>
        </w:rPr>
        <w:t xml:space="preserve">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может быть получение кредита в банке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или привлечение инвестиций для уже существующего предприятия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 также формулировка и оцифровка стратегических ориентиров в мире бизнеса</w:t>
      </w:r>
      <w:r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  <w:vertAlign w:val="superscript"/>
        </w:rPr>
        <w:footnoteReference w:id="6"/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Следовательно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 при решении многофакторных задач в процессе разработки и реализации позволяет достичь следующих результатов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расчета прогнозных финансовых результатов деятельности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объемов продаж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прибыли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доходов на вложенные средства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);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обоснования экономической целесообразности выбранного направления развития организации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определения оптимальных источников финансирования реализации выбранной стратегии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подбора персонала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который способен реализовать данный план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0"/>
          <w:szCs w:val="20"/>
          <w:u w:color="000000"/>
        </w:rPr>
      </w:pPr>
    </w:p>
    <w:p>
      <w:pPr>
        <w:pStyle w:val="heading 3"/>
        <w:ind w:firstLine="709"/>
        <w:rPr>
          <w:rStyle w:val="Нет"/>
          <w:color w:val="000000"/>
          <w:u w:color="000000"/>
        </w:rPr>
      </w:pPr>
      <w:bookmarkStart w:name="_Toc3" w:id="3"/>
      <w:r>
        <w:rPr>
          <w:rStyle w:val="Нет"/>
          <w:color w:val="000000"/>
          <w:u w:color="000000"/>
          <w:rtl w:val="0"/>
          <w:lang w:val="ru-RU"/>
        </w:rPr>
        <w:t xml:space="preserve">1.2. </w:t>
      </w:r>
      <w:r>
        <w:rPr>
          <w:rStyle w:val="Нет"/>
          <w:color w:val="000000"/>
          <w:u w:color="000000"/>
          <w:rtl w:val="0"/>
          <w:lang w:val="ru-RU"/>
        </w:rPr>
        <w:t>Этапы создания бизнес</w:t>
      </w:r>
      <w:r>
        <w:rPr>
          <w:rStyle w:val="Нет"/>
          <w:color w:val="000000"/>
          <w:u w:color="000000"/>
          <w:rtl w:val="0"/>
          <w:lang w:val="ru-RU"/>
        </w:rPr>
        <w:t xml:space="preserve">- </w:t>
      </w:r>
      <w:r>
        <w:rPr>
          <w:rStyle w:val="Нет"/>
          <w:color w:val="000000"/>
          <w:u w:color="000000"/>
          <w:rtl w:val="0"/>
          <w:lang w:val="ru-RU"/>
        </w:rPr>
        <w:t>плана</w:t>
      </w:r>
      <w:bookmarkEnd w:id="3"/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Процесс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планирования представляет собой последовательное и систематизированное изложение этапов реализации проекта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По объему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полноте изложения фактов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документально подтвержденных и обоснованных аргументов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 может быть трех видов</w:t>
      </w:r>
      <w:r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  <w:vertAlign w:val="superscript"/>
        </w:rPr>
        <w:footnoteReference w:id="7"/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1.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Полный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содержащий все расчеты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справки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свидетельства и другие материалы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Такой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план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 вариантами и поисковыми рассуждениями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как правило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хранится у руководителя организации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2.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Достаточный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содержащий все необходимые разделы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плана по предлагаемому к реализации варианту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Такой вариант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как правило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не включает подробные расчеты по альтернативным вариантам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 носит доказательный характер для возможных вариантов перспектив реализации проекта и развития предприятия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3.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Резюме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 котором содержаться основные выводы по каждому из разделов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Такой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содержит от одной до четырех страниц текста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все расчеты исключаются из текста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и является «визитной карточкой» проекта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Основными моментами в содержании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плана являются</w:t>
      </w:r>
      <w:r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  <w:vertAlign w:val="superscript"/>
        </w:rPr>
        <w:footnoteReference w:id="8"/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widowControl w:val="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обоснование производственной и рыночной  необходимости выпуска предлагаемой продукции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услуг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);</w:t>
      </w:r>
    </w:p>
    <w:p>
      <w:pPr>
        <w:pStyle w:val="Normal.0"/>
        <w:widowControl w:val="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обоснование технический и финансовых возможностей производства предлагаемой продукции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услуг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);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определение круга потенциальных потребителей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оценка конкурентоспособности предлагаемого продукта как на внутренних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так и на внешних рынках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описание  и оценка своего сегмента рынка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контроль над достижением запланированных показателей  эффективности проекта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оценка достаточности имеющегося капитала у инвестора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поиск и оценка потенциальных источников финансирования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Более подробное содержание разделов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плана приведено ниже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1.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Введение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наименование компании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ее адрес и телефон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контактные лица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разработчики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информация о компании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отрасль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сектор рынка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имеющееся в наличии обеспечение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недвижимость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ценные бумаги  и т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д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д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сроки и цель привлечения кредитных средств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2.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Резюме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описание проекта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его конкурентоспособность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краткое обоснование эффективности инвестиционного проекта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3.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Содержание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4.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Описание отрасли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widowControl w:val="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описание отрасли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ее перспективы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;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источники информации о состоянии отрасли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widowControl w:val="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оценка размера потенциального рынка и прогноз объема продаж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widowControl w:val="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оценка конкурентной ситуации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планируемая доля рынка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особенности спроса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региональные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национальные и экономические тенденции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5.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Оценка делового риска</w:t>
      </w:r>
      <w:r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  <w:vertAlign w:val="superscript"/>
        </w:rPr>
        <w:footnoteReference w:id="9"/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статус бизнеса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определение характера бизнеса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;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прогноз среднего дохода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возможные отклонения от прогнозируемой величины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отличие предлагаемой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концепции от организаций конкурентов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уникальность проекта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местонахождение бизнеса с точки зрения удобства  для клиентов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д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кадровые и материальные потребности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оценка потребности в  оборудовании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;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оценка количества создаваемых рабочих мест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6.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Цели бизнеса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7.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Маркетинговый план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стратегия продаж с описанием инструментов продаж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методы ценообразования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мероприятия по продвижению товаров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работ и услуг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политика обслуживания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8.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Прогноз объема продаж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9.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 производства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описание  процесса производства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потребности производства в помещениях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склады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строения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);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потребности в оборудовании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способы его приобретения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потребность в комплектующих материалах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10.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Операционный план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планы закупа по видам ресурсов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необходимые площади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потребность в кадрах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11.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Структура компании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организационно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правовая форма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;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договоры и соглашения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;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топ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менеджмент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;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порядок и периодичность отчетности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12.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Программа развития и исследования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возможности улучшения продукта или услуги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организация системы анализа и контроля над реализацией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13.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Оценка риска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: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возможные критические внешние факторы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;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вероятные критические внутренние факторы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14.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Финансовый прогноз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: 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прогноз доходов и расходов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прибыли и убытков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); 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прогноз денежного потока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; 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анализ рентабельности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15.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Финансирование и превращение в капитал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: 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условия займа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сумма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сроки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дата выдачи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; 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цель займа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Необходимо отметить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что не существует жестко регламентированной формы и структуры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Составление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плана для различных отраслей имеет свою специфику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но в целом его структура не будет существенно различаться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за исключением некоторых особенностей отрасли и соответственно продукции или услуг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Таким образом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 по своей сути предполагает последовательное изложение аргументов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призванных убедить инвестора в прибыльности и эффективности предлагаемого проекта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pacing w:after="0" w:line="360" w:lineRule="auto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heading 3"/>
        <w:spacing w:before="0" w:line="360" w:lineRule="auto"/>
        <w:ind w:firstLine="709"/>
        <w:rPr>
          <w:rStyle w:val="Нет"/>
          <w:color w:val="000000"/>
          <w:u w:color="000000"/>
        </w:rPr>
      </w:pPr>
      <w:bookmarkStart w:name="_Toc4" w:id="4"/>
      <w:r>
        <w:rPr>
          <w:rStyle w:val="Нет"/>
          <w:color w:val="000000"/>
          <w:u w:color="000000"/>
          <w:rtl w:val="0"/>
          <w:lang w:val="ru-RU"/>
        </w:rPr>
        <w:t xml:space="preserve">1.3. </w:t>
      </w:r>
      <w:r>
        <w:rPr>
          <w:rStyle w:val="Нет"/>
          <w:color w:val="000000"/>
          <w:u w:color="000000"/>
          <w:rtl w:val="0"/>
          <w:lang w:val="ru-RU"/>
        </w:rPr>
        <w:t>Характеристика объекта исследования – ООО «Перспектива»</w:t>
      </w:r>
      <w:bookmarkEnd w:id="4"/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Общество с ограниченной ответственностью «Перспектива» осуществляет свою деятельность на основании Устава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зарегистрированного МИФНС России №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15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 СПб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05.10.2010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г Свидетельство о постановке на учет серия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№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003036660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Место нахождения Общества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Ленинградская область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Сланцы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ул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Северная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.1.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Форма собственности предприятия – частная собственность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ООО «Перспектива» является малым предприятием и филиалом компании ООО «Афина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СПб»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Численность работников по итогам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2016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года составила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68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человек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что на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7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человек больше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чем 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 2014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году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Управление деятельностью ООО «Перспектива» осуществляет генеральный директор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уполномоченный организовывать работу предприятия на основе принципа единоначалия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действовать от имени общества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представлять его во всех организациях и учреждениях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распоряжаться в пределах установленных законом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имуществом и средствами общества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заключать договора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издавать приказы по предприятию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 соответствии с трудовым законодательством принимать и увольнять работников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применять меры поощрения и налагать взыскания на работников предприятия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открывать в банке расчётные и другие счета акционерного общества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Зафиксированной организационной структуры ООО «Перспектива» не имеет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На предприятии имеются следующие производственные подразделения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швейный цех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раскройный цех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клеевой цех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склад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shd w:val="clear" w:color="auto" w:fill="ffffff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Анализ производственно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хозяйственной деятельности организации характеризуется показателями состава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структуры и изменениями за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2014-2016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гг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основных экономических показателей работы организации по данным бухгалтерской отчётности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Приложения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и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2).</w:t>
      </w:r>
    </w:p>
    <w:p>
      <w:pPr>
        <w:pStyle w:val="Normal.0"/>
        <w:tabs>
          <w:tab w:val="left" w:pos="9214"/>
          <w:tab w:val="left" w:pos="9639"/>
        </w:tabs>
        <w:spacing w:after="0" w:line="360" w:lineRule="auto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Таблица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1.1</w:t>
      </w:r>
    </w:p>
    <w:p>
      <w:pPr>
        <w:pStyle w:val="Normal.0"/>
        <w:tabs>
          <w:tab w:val="left" w:pos="9214"/>
          <w:tab w:val="left" w:pos="9639"/>
        </w:tabs>
        <w:spacing w:after="0" w:line="240" w:lineRule="auto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Основные экономические показатели ООО «Перспектива» </w:t>
      </w:r>
    </w:p>
    <w:p>
      <w:pPr>
        <w:pStyle w:val="Normal.0"/>
        <w:tabs>
          <w:tab w:val="left" w:pos="9214"/>
          <w:tab w:val="left" w:pos="9639"/>
        </w:tabs>
        <w:spacing w:after="0" w:line="240" w:lineRule="auto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за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2014-2016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гг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tabs>
          <w:tab w:val="left" w:pos="9639"/>
          <w:tab w:val="left" w:pos="9699"/>
        </w:tabs>
        <w:spacing w:after="0" w:line="192" w:lineRule="auto"/>
        <w:jc w:val="both"/>
        <w:rPr>
          <w:rStyle w:val="Hyperlink.0"/>
          <w:rFonts w:ascii="Times New Roman" w:cs="Times New Roman" w:hAnsi="Times New Roman" w:eastAsia="Times New Roman"/>
          <w:sz w:val="20"/>
          <w:szCs w:val="20"/>
        </w:rPr>
      </w:pPr>
    </w:p>
    <w:tbl>
      <w:tblPr>
        <w:tblW w:w="9437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153"/>
        <w:gridCol w:w="845"/>
        <w:gridCol w:w="882"/>
        <w:gridCol w:w="1223"/>
        <w:gridCol w:w="1123"/>
        <w:gridCol w:w="1059"/>
        <w:gridCol w:w="1076"/>
        <w:gridCol w:w="1076"/>
      </w:tblGrid>
      <w:tr>
        <w:tblPrEx>
          <w:shd w:val="clear" w:color="auto" w:fill="4f81bd"/>
        </w:tblPrEx>
        <w:trPr>
          <w:trHeight w:val="300" w:hRule="atLeast"/>
          <w:tblHeader/>
        </w:trPr>
        <w:tc>
          <w:tcPr>
            <w:tcW w:type="dxa" w:w="2153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Показатели</w:t>
            </w:r>
          </w:p>
        </w:tc>
        <w:tc>
          <w:tcPr>
            <w:tcW w:type="dxa" w:w="2950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Годы</w:t>
            </w:r>
          </w:p>
        </w:tc>
        <w:tc>
          <w:tcPr>
            <w:tcW w:type="dxa" w:w="2181"/>
            <w:gridSpan w:val="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Отклонение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,(+;-)</w:t>
            </w:r>
          </w:p>
        </w:tc>
        <w:tc>
          <w:tcPr>
            <w:tcW w:type="dxa" w:w="2152"/>
            <w:gridSpan w:val="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  <w:rPr>
                <w:rStyle w:val="Нет"/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Темп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изменения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, %</w:t>
            </w:r>
          </w:p>
        </w:tc>
      </w:tr>
      <w:tr>
        <w:tblPrEx>
          <w:shd w:val="clear" w:color="auto" w:fill="4f81bd"/>
        </w:tblPrEx>
        <w:trPr>
          <w:trHeight w:val="170" w:hRule="atLeast"/>
          <w:tblHeader/>
        </w:trPr>
        <w:tc>
          <w:tcPr>
            <w:tcW w:type="dxa" w:w="2153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45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2014</w:t>
            </w:r>
          </w:p>
        </w:tc>
        <w:tc>
          <w:tcPr>
            <w:tcW w:type="dxa" w:w="88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2015</w:t>
            </w:r>
          </w:p>
        </w:tc>
        <w:tc>
          <w:tcPr>
            <w:tcW w:type="dxa" w:w="1222"/>
            <w:vMerge w:val="restart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2016</w:t>
            </w:r>
          </w:p>
        </w:tc>
        <w:tc>
          <w:tcPr>
            <w:tcW w:type="dxa" w:w="2181"/>
            <w:gridSpan w:val="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2152"/>
            <w:gridSpan w:val="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4f81bd"/>
        </w:tblPrEx>
        <w:trPr>
          <w:trHeight w:val="900" w:hRule="atLeast"/>
          <w:tblHeader/>
        </w:trPr>
        <w:tc>
          <w:tcPr>
            <w:tcW w:type="dxa" w:w="2153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45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88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222"/>
            <w:vMerge w:val="continue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  <w:rPr>
                <w:rStyle w:val="Нет"/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2015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от 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2014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0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  <w:rPr>
                <w:rStyle w:val="Нет"/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2016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от 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2015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  <w:rPr>
                <w:rStyle w:val="Нет"/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2015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к 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2014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  <w:rPr>
                <w:rStyle w:val="Нет"/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2016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к 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2015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1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Выручка</w:t>
            </w:r>
          </w:p>
        </w:tc>
        <w:tc>
          <w:tcPr>
            <w:tcW w:type="dxa" w:w="8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6 872</w:t>
            </w:r>
          </w:p>
        </w:tc>
        <w:tc>
          <w:tcPr>
            <w:tcW w:type="dxa" w:w="8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7 530</w:t>
            </w:r>
          </w:p>
        </w:tc>
        <w:tc>
          <w:tcPr>
            <w:tcW w:type="dxa" w:w="12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10 797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658</w:t>
            </w:r>
          </w:p>
        </w:tc>
        <w:tc>
          <w:tcPr>
            <w:tcW w:type="dxa" w:w="10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3 267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110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143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1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Себестоимость продаж</w:t>
            </w:r>
          </w:p>
        </w:tc>
        <w:tc>
          <w:tcPr>
            <w:tcW w:type="dxa" w:w="8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6 289</w:t>
            </w:r>
          </w:p>
        </w:tc>
        <w:tc>
          <w:tcPr>
            <w:tcW w:type="dxa" w:w="8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7 354</w:t>
            </w:r>
          </w:p>
        </w:tc>
        <w:tc>
          <w:tcPr>
            <w:tcW w:type="dxa" w:w="12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7 427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1 065</w:t>
            </w:r>
          </w:p>
        </w:tc>
        <w:tc>
          <w:tcPr>
            <w:tcW w:type="dxa" w:w="10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73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117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101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1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Валовая прибыль</w:t>
            </w:r>
          </w:p>
        </w:tc>
        <w:tc>
          <w:tcPr>
            <w:tcW w:type="dxa" w:w="8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583</w:t>
            </w:r>
          </w:p>
        </w:tc>
        <w:tc>
          <w:tcPr>
            <w:tcW w:type="dxa" w:w="8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176</w:t>
            </w:r>
          </w:p>
        </w:tc>
        <w:tc>
          <w:tcPr>
            <w:tcW w:type="dxa" w:w="12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3 370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-407</w:t>
            </w:r>
          </w:p>
        </w:tc>
        <w:tc>
          <w:tcPr>
            <w:tcW w:type="dxa" w:w="10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3 194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1 915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21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Расходы по обычной деятельности</w:t>
            </w:r>
          </w:p>
        </w:tc>
        <w:tc>
          <w:tcPr>
            <w:tcW w:type="dxa" w:w="8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-6 289</w:t>
            </w:r>
          </w:p>
        </w:tc>
        <w:tc>
          <w:tcPr>
            <w:tcW w:type="dxa" w:w="8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-7 354</w:t>
            </w:r>
          </w:p>
        </w:tc>
        <w:tc>
          <w:tcPr>
            <w:tcW w:type="dxa" w:w="12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-7 427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-1 065</w:t>
            </w:r>
          </w:p>
        </w:tc>
        <w:tc>
          <w:tcPr>
            <w:tcW w:type="dxa" w:w="10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-73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117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101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1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Прочие доходы</w:t>
            </w:r>
          </w:p>
        </w:tc>
        <w:tc>
          <w:tcPr>
            <w:tcW w:type="dxa" w:w="8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</w:t>
            </w:r>
          </w:p>
        </w:tc>
        <w:tc>
          <w:tcPr>
            <w:tcW w:type="dxa" w:w="8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</w:t>
            </w:r>
          </w:p>
        </w:tc>
        <w:tc>
          <w:tcPr>
            <w:tcW w:type="dxa" w:w="12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461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</w:t>
            </w:r>
          </w:p>
        </w:tc>
        <w:tc>
          <w:tcPr>
            <w:tcW w:type="dxa" w:w="10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461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1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Прочие расходы</w:t>
            </w:r>
          </w:p>
        </w:tc>
        <w:tc>
          <w:tcPr>
            <w:tcW w:type="dxa" w:w="8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-279</w:t>
            </w:r>
          </w:p>
        </w:tc>
        <w:tc>
          <w:tcPr>
            <w:tcW w:type="dxa" w:w="8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-110</w:t>
            </w:r>
          </w:p>
        </w:tc>
        <w:tc>
          <w:tcPr>
            <w:tcW w:type="dxa" w:w="12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-80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169</w:t>
            </w:r>
          </w:p>
        </w:tc>
        <w:tc>
          <w:tcPr>
            <w:tcW w:type="dxa" w:w="10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39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73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1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Текущий налог на прибыль</w:t>
            </w:r>
          </w:p>
        </w:tc>
        <w:tc>
          <w:tcPr>
            <w:tcW w:type="dxa" w:w="8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</w:t>
            </w:r>
          </w:p>
        </w:tc>
        <w:tc>
          <w:tcPr>
            <w:tcW w:type="dxa" w:w="8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-76</w:t>
            </w:r>
          </w:p>
        </w:tc>
        <w:tc>
          <w:tcPr>
            <w:tcW w:type="dxa" w:w="12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-88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-76</w:t>
            </w:r>
          </w:p>
        </w:tc>
        <w:tc>
          <w:tcPr>
            <w:tcW w:type="dxa" w:w="10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-12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1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Чистая прибыль 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убыток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8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304</w:t>
            </w:r>
          </w:p>
        </w:tc>
        <w:tc>
          <w:tcPr>
            <w:tcW w:type="dxa" w:w="8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-10</w:t>
            </w:r>
          </w:p>
        </w:tc>
        <w:tc>
          <w:tcPr>
            <w:tcW w:type="dxa" w:w="12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3 663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-314</w:t>
            </w:r>
          </w:p>
        </w:tc>
        <w:tc>
          <w:tcPr>
            <w:tcW w:type="dxa" w:w="10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3 673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-3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-36 630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1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Рентабельность продаж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, %</w:t>
            </w:r>
          </w:p>
        </w:tc>
        <w:tc>
          <w:tcPr>
            <w:tcW w:type="dxa" w:w="8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0,08</w:t>
            </w:r>
          </w:p>
        </w:tc>
        <w:tc>
          <w:tcPr>
            <w:tcW w:type="dxa" w:w="88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0,02</w:t>
            </w:r>
          </w:p>
        </w:tc>
        <w:tc>
          <w:tcPr>
            <w:tcW w:type="dxa" w:w="12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0,31</w:t>
            </w:r>
          </w:p>
        </w:tc>
        <w:tc>
          <w:tcPr>
            <w:tcW w:type="dxa" w:w="11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-0,06</w:t>
            </w:r>
          </w:p>
        </w:tc>
        <w:tc>
          <w:tcPr>
            <w:tcW w:type="dxa" w:w="105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0,29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28</w:t>
            </w:r>
          </w:p>
        </w:tc>
        <w:tc>
          <w:tcPr>
            <w:tcW w:type="dxa" w:w="10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1 335</w:t>
            </w:r>
          </w:p>
        </w:tc>
      </w:tr>
    </w:tbl>
    <w:p>
      <w:pPr>
        <w:pStyle w:val="Normal.0"/>
        <w:widowControl w:val="0"/>
        <w:tabs>
          <w:tab w:val="left" w:pos="9639"/>
          <w:tab w:val="left" w:pos="9699"/>
        </w:tabs>
        <w:spacing w:after="0" w:line="240" w:lineRule="auto"/>
        <w:jc w:val="center"/>
        <w:rPr>
          <w:rStyle w:val="Hyperlink.0"/>
          <w:rFonts w:ascii="Times New Roman" w:cs="Times New Roman" w:hAnsi="Times New Roman" w:eastAsia="Times New Roman"/>
          <w:sz w:val="20"/>
          <w:szCs w:val="20"/>
        </w:rPr>
      </w:pPr>
    </w:p>
    <w:p>
      <w:pPr>
        <w:pStyle w:val="Normal.0"/>
        <w:widowControl w:val="0"/>
        <w:shd w:val="clear" w:color="auto" w:fill="ffffff"/>
        <w:tabs>
          <w:tab w:val="left" w:pos="6795"/>
        </w:tabs>
        <w:spacing w:after="0" w:line="24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cs="Times New Roman" w:hAnsi="Times New Roman" w:eastAsia="Times New Roman"/>
          <w:sz w:val="28"/>
          <w:szCs w:val="28"/>
        </w:rPr>
        <w:tab/>
      </w:r>
    </w:p>
    <w:p>
      <w:pPr>
        <w:pStyle w:val="Normal.0"/>
        <w:widowControl w:val="0"/>
        <w:shd w:val="clear" w:color="auto" w:fill="ffffff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Проанализировав основные экономические показатели за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2014-2016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можно отметить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что выручка от продажи с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2015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по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2016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возросла на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3267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тыс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руб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в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2015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по сравнению с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2014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выросла на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658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тыс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руб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Себестоимость в ООО «Перспектива» увеличилась в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2016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на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73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тыс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руб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по сравнению с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2015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В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2015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увеличилась против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2014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на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1065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тыс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руб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</w:p>
    <w:p>
      <w:pPr>
        <w:pStyle w:val="Normal.0"/>
        <w:widowControl w:val="0"/>
        <w:shd w:val="clear" w:color="auto" w:fill="ffffff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Валовая прибыль общества увеличилась в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2016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на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3194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тыс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руб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В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2015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валовая прибыль сократилась на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407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тыс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руб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по сравнению с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2014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показав за исследуемый период рост 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 5,8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раза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widowControl w:val="0"/>
        <w:shd w:val="clear" w:color="auto" w:fill="ffffff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Чистая прибыль организации составила в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2016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 3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 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663 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тыс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руб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что больше результата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2015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на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3673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и на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3359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больше результата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2014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shd w:val="clear" w:color="auto" w:fill="ffffff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 анализируемых периодах основной доход получен от основной деятельности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Выручка ООО «Перспектива» за период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2014-2016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показывает рост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на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10%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в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2015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к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2014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и на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43%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в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2016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к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 2015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при инфляции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11,36%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и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12,91%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соответственно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widowControl w:val="0"/>
        <w:shd w:val="clear" w:color="auto" w:fill="ffffff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Следует отметить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что установление цены имеет своей целью не получение максимального объёма прибыли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а получение стабильной прибыли в долгосрочной перспективе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Ценообразование в ООО «Перспектива» основано на спросе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Цена реализуемой ООО «Перспектива» продукции в зависимости от спроса может корректироваться путём проведения акций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распродаж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скидок на определённый товар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скидок для держателей карт лояльности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widowControl w:val="0"/>
        <w:shd w:val="clear" w:color="auto" w:fill="ffffff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На сегодняшний день главной целью ценовой политики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проводимой ООО «Перспектива»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является сохранение и наращивание достигнутой доли рынка на фоне общего его уменьшения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widowControl w:val="0"/>
        <w:shd w:val="clear" w:color="auto" w:fill="ffffff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Себестоимость продукции за исследуемый период росла неравномерно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на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17%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в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2015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году к уровню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2014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года и на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1%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в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2016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году к уровню 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2015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 xml:space="preserve"> года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Её рост связан с двумя факторами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увеличение количества штук произведенного товара и увеличение оплаты труда работников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Так как ООО «Перспектива» работает лишь на давальческом сырье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Анализ финансово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хозяйственной деятельности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проведенный в предыдущих разделах позволил сделать следующие выводы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numPr>
          <w:ilvl w:val="0"/>
          <w:numId w:val="4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на предприятии отсутствует официально закрепленная организационная структура</w:t>
      </w:r>
      <w:r>
        <w:rPr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numPr>
          <w:ilvl w:val="0"/>
          <w:numId w:val="4"/>
        </w:numPr>
        <w:bidi w:val="0"/>
        <w:spacing w:after="0" w:line="360" w:lineRule="auto"/>
        <w:ind w:right="0"/>
        <w:jc w:val="both"/>
        <w:rPr>
          <w:rFonts w:ascii="Times New Roman" w:hAnsi="Times New Roman"/>
          <w:sz w:val="28"/>
          <w:szCs w:val="28"/>
          <w:rtl w:val="0"/>
          <w:lang w:val="ru-RU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2016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год характеризовался высокими показателями эффективности и в настоящее время для предприятия актуально сохранить долю рынка в условиях сокращения уровня платежеспособного спроса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Таим образом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для исследуемого предприятия актуально разработать бизнес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 развития предприятия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</w:p>
    <w:p>
      <w:pPr>
        <w:pStyle w:val="heading 1"/>
        <w:spacing w:before="0" w:line="360" w:lineRule="auto"/>
        <w:jc w:val="center"/>
        <w:rPr>
          <w:rStyle w:val="Нет"/>
          <w:caps w:val="1"/>
          <w:color w:val="000000"/>
          <w:u w:color="000000"/>
        </w:rPr>
      </w:pPr>
      <w:bookmarkStart w:name="_Toc5" w:id="5"/>
      <w:r>
        <w:rPr>
          <w:rStyle w:val="Нет"/>
          <w:caps w:val="1"/>
          <w:color w:val="000000"/>
          <w:u w:color="000000"/>
          <w:rtl w:val="0"/>
          <w:lang w:val="ru-RU"/>
        </w:rPr>
        <w:t xml:space="preserve">2. </w:t>
      </w:r>
      <w:r>
        <w:rPr>
          <w:rStyle w:val="Нет"/>
          <w:caps w:val="1"/>
          <w:color w:val="000000"/>
          <w:u w:color="000000"/>
          <w:rtl w:val="0"/>
          <w:lang w:val="ru-RU"/>
        </w:rPr>
        <w:t>Бизнес</w:t>
      </w:r>
      <w:r>
        <w:rPr>
          <w:rStyle w:val="Нет"/>
          <w:caps w:val="1"/>
          <w:color w:val="000000"/>
          <w:u w:color="000000"/>
          <w:rtl w:val="0"/>
          <w:lang w:val="ru-RU"/>
        </w:rPr>
        <w:t>-</w:t>
      </w:r>
      <w:r>
        <w:rPr>
          <w:rStyle w:val="Нет"/>
          <w:caps w:val="1"/>
          <w:color w:val="000000"/>
          <w:u w:color="000000"/>
          <w:rtl w:val="0"/>
          <w:lang w:val="ru-RU"/>
        </w:rPr>
        <w:t>план развития предприятия</w:t>
      </w:r>
      <w:bookmarkEnd w:id="5"/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heading 3"/>
        <w:spacing w:before="0" w:line="360" w:lineRule="auto"/>
        <w:ind w:firstLine="709"/>
        <w:rPr>
          <w:rStyle w:val="Нет"/>
          <w:color w:val="000000"/>
          <w:u w:color="000000"/>
        </w:rPr>
      </w:pPr>
      <w:bookmarkStart w:name="_Toc6" w:id="6"/>
      <w:r>
        <w:rPr>
          <w:rStyle w:val="Нет"/>
          <w:color w:val="000000"/>
          <w:u w:color="000000"/>
          <w:rtl w:val="0"/>
          <w:lang w:val="ru-RU"/>
        </w:rPr>
        <w:t xml:space="preserve">2.1. </w:t>
      </w:r>
      <w:r>
        <w:rPr>
          <w:rStyle w:val="Нет"/>
          <w:color w:val="000000"/>
          <w:u w:color="000000"/>
          <w:rtl w:val="0"/>
          <w:lang w:val="ru-RU"/>
        </w:rPr>
        <w:t>Резюме</w:t>
      </w:r>
      <w:bookmarkEnd w:id="6"/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На российском рынке галантереи большая доля отводилась европейским товарам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 настоящее время в связи с актуальностью реализации программы импортозамещения целесообразно рассмотреть потенциальные ниши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которые может занять ООО «Перспектива»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Для развития ООО «Перспектива» выбрано направление – создание структурного подразделения по пошиву сумок по собственным эскизам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На выбор данного направления оказали влияние следующие факторы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уровень доходов населения постепенно снижается и предполагается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что спрос на отечественную галантерею будет в перспективе расти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 настоящее время предприятие характеризуется высоким уровнем кредитных обязательств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Успешная реализация проекта гарантирует постоянный приток денежных средств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Создаваемое подразделение в финансовой структуре ООО «Перспектива» будет выступать центром прибыли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Его доходы и расходы будут учитываться раздельно от основного вида деятельности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пошива сумок на давальческом сырье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).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Цель создания подразделения – получение прибыли посредством удовлетворения потребительского рынка в качественных сумках отечественного производства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Финансирование проекта будет осуществляться путем внесения собственных средств ООО «Перспектива» в размере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300,0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Создание производственного цеха предполагает создание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9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ти рабочих мест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 течение первого года работы ателье выручка составит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11151,4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чистая прибыль проекта за первый год работы –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1284,7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Рентабельность продаж в первый год составляет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11,5%.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 течение первого года работы проект  создает накопленный дисконтированный денежный поток в сумме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737,2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Срок окупаемости инвестиций составляет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мес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heading 3"/>
        <w:spacing w:before="0" w:line="360" w:lineRule="auto"/>
        <w:ind w:firstLine="709"/>
        <w:rPr>
          <w:rStyle w:val="Нет"/>
          <w:color w:val="000000"/>
          <w:u w:color="000000"/>
        </w:rPr>
      </w:pPr>
      <w:bookmarkStart w:name="_Toc7" w:id="7"/>
      <w:r>
        <w:rPr>
          <w:rStyle w:val="Нет"/>
          <w:color w:val="000000"/>
          <w:u w:color="000000"/>
          <w:rtl w:val="0"/>
          <w:lang w:val="ru-RU"/>
        </w:rPr>
        <w:t xml:space="preserve">2.2. </w:t>
      </w:r>
      <w:r>
        <w:rPr>
          <w:rStyle w:val="Нет"/>
          <w:color w:val="000000"/>
          <w:u w:color="000000"/>
          <w:rtl w:val="0"/>
          <w:lang w:val="ru-RU"/>
        </w:rPr>
        <w:t>Описание продукта и анализ рынка</w:t>
      </w:r>
      <w:bookmarkEnd w:id="7"/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ООО «Перспектива» в рамках рассматриваемого проекта планирует разрабатывать собственные модели сумок и изготавливать их для реализации оптом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Сумки будут производится из экокожи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Материалы и комплектующие для производства будут приобретаться у оптовых поставщиков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Потенциальные потребители производимой продукции – оптовые базы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интернет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магазины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торговые точки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Прежде чем начать рассматривать конкурентную среду рассмотрим текущее состояние потребительского рынка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 настоящее время вновь нарастающие тенденции международного кризиса диктуют свои условия жизнедеятельности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как граждан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так и предприятий в целом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Статистика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 оценкам экспертов показывает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что с каждым годом новых производств открывается в два раза больше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чем закрывается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 поскольку спрос с каждым годом растет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такая тенденция должна сохраниться и далее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Рассмотрим потенциальные плюсы и минусы создаваемого производственного цеха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табл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 2.1).</w:t>
      </w:r>
    </w:p>
    <w:p>
      <w:pPr>
        <w:pStyle w:val="Normal.0"/>
        <w:spacing w:after="0" w:line="360" w:lineRule="auto"/>
        <w:ind w:left="1077" w:firstLine="0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Таблица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2.1</w:t>
      </w:r>
    </w:p>
    <w:p>
      <w:pPr>
        <w:pStyle w:val="Normal.0"/>
        <w:spacing w:after="0" w:line="360" w:lineRule="auto"/>
        <w:ind w:left="1077" w:firstLine="0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Плюсы и минусы создаваемого ателье</w:t>
      </w:r>
    </w:p>
    <w:tbl>
      <w:tblPr>
        <w:tblW w:w="10206" w:type="dxa"/>
        <w:jc w:val="center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5245"/>
        <w:gridCol w:w="4961"/>
      </w:tblGrid>
      <w:tr>
        <w:tblPrEx>
          <w:shd w:val="clear" w:color="auto" w:fill="ced7e7"/>
        </w:tblPrEx>
        <w:trPr>
          <w:trHeight w:val="304" w:hRule="atLeast"/>
        </w:trPr>
        <w:tc>
          <w:tcPr>
            <w:tcW w:type="dxa" w:w="5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Плюсы</w:t>
            </w:r>
          </w:p>
        </w:tc>
        <w:tc>
          <w:tcPr>
            <w:tcW w:type="dxa" w:w="49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Минусы</w:t>
            </w:r>
          </w:p>
        </w:tc>
      </w:tr>
      <w:tr>
        <w:tblPrEx>
          <w:shd w:val="clear" w:color="auto" w:fill="ced7e7"/>
        </w:tblPrEx>
        <w:trPr>
          <w:trHeight w:val="1500" w:hRule="atLeast"/>
        </w:trPr>
        <w:tc>
          <w:tcPr>
            <w:tcW w:type="dxa" w:w="524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  <w:rPr>
                <w:rStyle w:val="Нет"/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Современный дизайн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Style w:val="Нет"/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Высокое качество продукции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Индивидуальный и внимательный подход к каждому контрагенту</w:t>
            </w:r>
            <w:r>
              <w:rPr>
                <w:rStyle w:val="Нет"/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r>
          </w:p>
        </w:tc>
        <w:tc>
          <w:tcPr>
            <w:tcW w:type="dxa" w:w="49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jc w:val="center"/>
              <w:rPr>
                <w:rStyle w:val="Нет"/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</w:rPr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Ограниченные возможности по объемам вследствие малой численности персонала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Style w:val="Нет"/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</w:rPr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Ограниченный ассортимент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Отсутствие опыта самостоятельного поиска клиентов </w:t>
            </w:r>
          </w:p>
        </w:tc>
      </w:tr>
    </w:tbl>
    <w:p>
      <w:pPr>
        <w:pStyle w:val="Normal.0"/>
        <w:widowControl w:val="0"/>
        <w:spacing w:after="0" w:line="240" w:lineRule="auto"/>
        <w:ind w:left="108" w:hanging="108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Вывод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Анализ текущего состояния экономического положения в стране  и отрасли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показал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что создаваемый бизнес имеет  перспективы к развитию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Этому способствуют рост спроса на отечественные товары по приемлемым ценам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heading 3"/>
        <w:ind w:firstLine="709"/>
        <w:rPr>
          <w:rStyle w:val="Нет"/>
          <w:color w:val="000000"/>
          <w:u w:color="000000"/>
        </w:rPr>
      </w:pPr>
      <w:bookmarkStart w:name="_Toc8" w:id="8"/>
      <w:r>
        <w:rPr>
          <w:rStyle w:val="Нет"/>
          <w:color w:val="000000"/>
          <w:u w:color="000000"/>
          <w:rtl w:val="0"/>
          <w:lang w:val="ru-RU"/>
        </w:rPr>
        <w:t xml:space="preserve">2.3. </w:t>
      </w:r>
      <w:r>
        <w:rPr>
          <w:rStyle w:val="Нет"/>
          <w:color w:val="000000"/>
          <w:u w:color="000000"/>
          <w:rtl w:val="0"/>
          <w:lang w:val="ru-RU"/>
        </w:rPr>
        <w:t>Производственный план</w:t>
      </w:r>
      <w:bookmarkEnd w:id="8"/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Помещение для производственного цеха будет арендовано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площадь арендуемой территории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150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из которых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50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 – производственный цех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100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– склад для материалов и готовой продукции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Также при организации производственного цеха необходимо приобрести  высокотехнологичное оборудование для организации технологического процесса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мебель и оргтехнику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Перечень инвестиционных затрат приведен в таблице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2.2.</w:t>
      </w:r>
    </w:p>
    <w:p>
      <w:pPr>
        <w:pStyle w:val="Normal.0"/>
        <w:spacing w:after="0" w:line="360" w:lineRule="auto"/>
        <w:ind w:firstLine="709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Таблица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2.2</w:t>
      </w:r>
    </w:p>
    <w:p>
      <w:pPr>
        <w:pStyle w:val="Normal.0"/>
        <w:spacing w:after="0" w:line="360" w:lineRule="auto"/>
        <w:ind w:firstLine="709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Инвестиционные затраты</w:t>
      </w:r>
    </w:p>
    <w:tbl>
      <w:tblPr>
        <w:tblW w:w="10288" w:type="dxa"/>
        <w:jc w:val="center"/>
        <w:tblInd w:w="201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134"/>
        <w:gridCol w:w="1734"/>
        <w:gridCol w:w="2443"/>
        <w:gridCol w:w="2977"/>
      </w:tblGrid>
      <w:tr>
        <w:tblPrEx>
          <w:shd w:val="clear" w:color="auto" w:fill="4f81bd"/>
        </w:tblPrEx>
        <w:trPr>
          <w:trHeight w:val="314" w:hRule="atLeast"/>
          <w:tblHeader/>
        </w:trPr>
        <w:tc>
          <w:tcPr>
            <w:tcW w:type="dxa" w:w="31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Наименование</w:t>
            </w:r>
          </w:p>
        </w:tc>
        <w:tc>
          <w:tcPr>
            <w:tcW w:type="dxa" w:w="17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Количество</w:t>
            </w:r>
          </w:p>
        </w:tc>
        <w:tc>
          <w:tcPr>
            <w:tcW w:type="dxa" w:w="2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Цена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./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ед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297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Сумма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1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Оверлок</w:t>
            </w:r>
          </w:p>
        </w:tc>
        <w:tc>
          <w:tcPr>
            <w:tcW w:type="dxa" w:w="17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</w:t>
            </w:r>
          </w:p>
        </w:tc>
        <w:tc>
          <w:tcPr>
            <w:tcW w:type="dxa" w:w="2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25 000,00</w:t>
            </w:r>
          </w:p>
        </w:tc>
        <w:tc>
          <w:tcPr>
            <w:tcW w:type="dxa" w:w="297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1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Швейная машина</w:t>
            </w:r>
          </w:p>
        </w:tc>
        <w:tc>
          <w:tcPr>
            <w:tcW w:type="dxa" w:w="17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</w:t>
            </w:r>
          </w:p>
        </w:tc>
        <w:tc>
          <w:tcPr>
            <w:tcW w:type="dxa" w:w="2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35 000,00</w:t>
            </w:r>
          </w:p>
        </w:tc>
        <w:tc>
          <w:tcPr>
            <w:tcW w:type="dxa" w:w="297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105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1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Закройный стол</w:t>
            </w:r>
          </w:p>
        </w:tc>
        <w:tc>
          <w:tcPr>
            <w:tcW w:type="dxa" w:w="17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</w:t>
            </w:r>
          </w:p>
        </w:tc>
        <w:tc>
          <w:tcPr>
            <w:tcW w:type="dxa" w:w="2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8 000,00</w:t>
            </w:r>
          </w:p>
        </w:tc>
        <w:tc>
          <w:tcPr>
            <w:tcW w:type="dxa" w:w="297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24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1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Лекала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инструменты</w:t>
            </w:r>
          </w:p>
        </w:tc>
        <w:tc>
          <w:tcPr>
            <w:tcW w:type="dxa" w:w="17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2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297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55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1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Гладильная доска</w:t>
            </w:r>
          </w:p>
        </w:tc>
        <w:tc>
          <w:tcPr>
            <w:tcW w:type="dxa" w:w="17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</w:t>
            </w:r>
          </w:p>
        </w:tc>
        <w:tc>
          <w:tcPr>
            <w:tcW w:type="dxa" w:w="2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2 000,00</w:t>
            </w:r>
          </w:p>
        </w:tc>
        <w:tc>
          <w:tcPr>
            <w:tcW w:type="dxa" w:w="297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1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Утюг с парогенератором</w:t>
            </w:r>
          </w:p>
        </w:tc>
        <w:tc>
          <w:tcPr>
            <w:tcW w:type="dxa" w:w="17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</w:t>
            </w:r>
          </w:p>
        </w:tc>
        <w:tc>
          <w:tcPr>
            <w:tcW w:type="dxa" w:w="2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4 000,00</w:t>
            </w:r>
          </w:p>
        </w:tc>
        <w:tc>
          <w:tcPr>
            <w:tcW w:type="dxa" w:w="297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1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Кресло</w:t>
            </w:r>
          </w:p>
        </w:tc>
        <w:tc>
          <w:tcPr>
            <w:tcW w:type="dxa" w:w="17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</w:t>
            </w:r>
          </w:p>
        </w:tc>
        <w:tc>
          <w:tcPr>
            <w:tcW w:type="dxa" w:w="2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3 000,00</w:t>
            </w:r>
          </w:p>
        </w:tc>
        <w:tc>
          <w:tcPr>
            <w:tcW w:type="dxa" w:w="297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1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Стол письменный</w:t>
            </w:r>
          </w:p>
        </w:tc>
        <w:tc>
          <w:tcPr>
            <w:tcW w:type="dxa" w:w="17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</w:t>
            </w:r>
          </w:p>
        </w:tc>
        <w:tc>
          <w:tcPr>
            <w:tcW w:type="dxa" w:w="2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3 000,00</w:t>
            </w:r>
          </w:p>
        </w:tc>
        <w:tc>
          <w:tcPr>
            <w:tcW w:type="dxa" w:w="297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1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МФУ</w:t>
            </w:r>
          </w:p>
        </w:tc>
        <w:tc>
          <w:tcPr>
            <w:tcW w:type="dxa" w:w="17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</w:t>
            </w:r>
          </w:p>
        </w:tc>
        <w:tc>
          <w:tcPr>
            <w:tcW w:type="dxa" w:w="2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4 500,00</w:t>
            </w:r>
          </w:p>
        </w:tc>
        <w:tc>
          <w:tcPr>
            <w:tcW w:type="dxa" w:w="297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4,5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1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Компьютер</w:t>
            </w:r>
          </w:p>
        </w:tc>
        <w:tc>
          <w:tcPr>
            <w:tcW w:type="dxa" w:w="17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</w:t>
            </w:r>
          </w:p>
        </w:tc>
        <w:tc>
          <w:tcPr>
            <w:tcW w:type="dxa" w:w="2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25 000,00</w:t>
            </w:r>
          </w:p>
        </w:tc>
        <w:tc>
          <w:tcPr>
            <w:tcW w:type="dxa" w:w="297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1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Телефон</w:t>
            </w:r>
          </w:p>
        </w:tc>
        <w:tc>
          <w:tcPr>
            <w:tcW w:type="dxa" w:w="17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</w:t>
            </w:r>
          </w:p>
        </w:tc>
        <w:tc>
          <w:tcPr>
            <w:tcW w:type="dxa" w:w="2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1 500,00</w:t>
            </w:r>
          </w:p>
        </w:tc>
        <w:tc>
          <w:tcPr>
            <w:tcW w:type="dxa" w:w="297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1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Стеллажи для склада</w:t>
            </w:r>
          </w:p>
        </w:tc>
        <w:tc>
          <w:tcPr>
            <w:tcW w:type="dxa" w:w="17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2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297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1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Ремонт помещений</w:t>
            </w:r>
          </w:p>
        </w:tc>
        <w:tc>
          <w:tcPr>
            <w:tcW w:type="dxa" w:w="17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2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297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31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Итого</w:t>
            </w:r>
          </w:p>
        </w:tc>
        <w:tc>
          <w:tcPr>
            <w:tcW w:type="dxa" w:w="173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244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297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410,5</w:t>
            </w:r>
          </w:p>
        </w:tc>
      </w:tr>
    </w:tbl>
    <w:p>
      <w:pPr>
        <w:pStyle w:val="Normal.0"/>
        <w:widowControl w:val="0"/>
        <w:spacing w:after="0" w:line="240" w:lineRule="auto"/>
        <w:ind w:left="93" w:hanging="93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Общая сумма инвестиционных затрат для организации ателье составляет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410,5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Наибольшая сумма инвестиций необходима для приобретения швейных машин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(105,0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.), 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компьютеров  для дизайнера и менеджера по продажам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(50,0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.) 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и инструментов и лекал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(55,0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.).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Структура инвестиционных затрат представлена на рисунке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2.1.</w:t>
      </w:r>
    </w:p>
    <w:p>
      <w:pPr>
        <w:pStyle w:val="Normal.0"/>
        <w:spacing w:after="0" w:line="360" w:lineRule="auto"/>
        <w:ind w:firstLine="709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drawing>
          <wp:inline distT="0" distB="0" distL="0" distR="0">
            <wp:extent cx="6122810" cy="6122810"/>
            <wp:effectExtent l="0" t="0" r="0" b="0"/>
            <wp:docPr id="1073741846" name="officeArt object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r:id="rId4"/>
              </a:graphicData>
            </a:graphic>
          </wp:inline>
        </w:drawing>
      </w:r>
    </w:p>
    <w:p>
      <w:pPr>
        <w:pStyle w:val="Normal.0"/>
        <w:spacing w:after="0" w:line="360" w:lineRule="auto"/>
        <w:ind w:firstLine="709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Рис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.2.1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Структура инвестиционных затрат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Из рисунка видно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что в структуре инвестиционных затрат наибольшая доля принадлежит производственному оборудованию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швейные машинки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утюг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оверлок и 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.).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На долю этой группы приходится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33%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от всех инвестиционных затрат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Вторая по величине группа – ремонт и подготовка помещений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установка стеллажей на складе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).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На организацию офиса и склада  потребуется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29%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от всех инвестиционных затрат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На приобретение инструментов и инвентаря потребуется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13%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от всех инвестиционных затрат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Финансирование инвестиций полностью в размере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410,5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производится за счет накоплений  собственника бизнеса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heading 3"/>
        <w:ind w:firstLine="709"/>
        <w:rPr>
          <w:rStyle w:val="Нет"/>
          <w:color w:val="000000"/>
          <w:u w:color="000000"/>
        </w:rPr>
      </w:pPr>
      <w:bookmarkStart w:name="_Toc9" w:id="9"/>
      <w:r>
        <w:rPr>
          <w:rStyle w:val="Нет"/>
          <w:color w:val="000000"/>
          <w:u w:color="000000"/>
          <w:rtl w:val="0"/>
          <w:lang w:val="ru-RU"/>
        </w:rPr>
        <w:t xml:space="preserve">2.4. </w:t>
      </w:r>
      <w:r>
        <w:rPr>
          <w:rStyle w:val="Нет"/>
          <w:color w:val="000000"/>
          <w:u w:color="000000"/>
          <w:rtl w:val="0"/>
          <w:lang w:val="ru-RU"/>
        </w:rPr>
        <w:t>Организационный план</w:t>
      </w:r>
      <w:bookmarkEnd w:id="9"/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Режим работы производственного цеха –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40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часовая рабочая неделя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Структура создаваемого производственного цеха предполагает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что руководством цеха будет заниматься мастер цеха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который непосредственно будет подчиняться директору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Кроме того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для самостоятельного производства и реализации продукции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кроме производственных рабочих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необходимо привлечь дизайнера и менеджера по продажам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Руководитель будет выполнять функции администратора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Данные по оплате труда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оклады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представлены в таблице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2.3.</w:t>
      </w:r>
    </w:p>
    <w:p>
      <w:pPr>
        <w:pStyle w:val="Normal.0"/>
        <w:spacing w:after="0" w:line="360" w:lineRule="auto"/>
        <w:ind w:firstLine="709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Таблица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2.3</w:t>
      </w:r>
    </w:p>
    <w:p>
      <w:pPr>
        <w:pStyle w:val="Normal.0"/>
        <w:spacing w:after="0" w:line="360" w:lineRule="auto"/>
        <w:ind w:firstLine="709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Фонд оплаты труда работников ателье</w:t>
      </w:r>
    </w:p>
    <w:tbl>
      <w:tblPr>
        <w:tblW w:w="10312" w:type="dxa"/>
        <w:jc w:val="center"/>
        <w:tblInd w:w="201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126"/>
        <w:gridCol w:w="1417"/>
        <w:gridCol w:w="2552"/>
        <w:gridCol w:w="2217"/>
      </w:tblGrid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41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Наименование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Количество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Оклад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./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мес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22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Фонд оплаты труда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./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мес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1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Дизайнер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20000</w:t>
            </w:r>
          </w:p>
        </w:tc>
        <w:tc>
          <w:tcPr>
            <w:tcW w:type="dxa" w:w="22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1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Менеджер по продажам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22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1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Мастер цеха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25000</w:t>
            </w:r>
          </w:p>
        </w:tc>
        <w:tc>
          <w:tcPr>
            <w:tcW w:type="dxa" w:w="22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25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1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Швея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20000</w:t>
            </w:r>
          </w:p>
        </w:tc>
        <w:tc>
          <w:tcPr>
            <w:tcW w:type="dxa" w:w="22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1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Кладовщик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16000</w:t>
            </w:r>
          </w:p>
        </w:tc>
        <w:tc>
          <w:tcPr>
            <w:tcW w:type="dxa" w:w="22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16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1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Подсобный рабочий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14000</w:t>
            </w:r>
          </w:p>
        </w:tc>
        <w:tc>
          <w:tcPr>
            <w:tcW w:type="dxa" w:w="22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28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12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Итого</w:t>
            </w:r>
          </w:p>
        </w:tc>
        <w:tc>
          <w:tcPr>
            <w:tcW w:type="dxa" w:w="14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221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174</w:t>
            </w:r>
          </w:p>
        </w:tc>
      </w:tr>
    </w:tbl>
    <w:p>
      <w:pPr>
        <w:pStyle w:val="Normal.0"/>
        <w:widowControl w:val="0"/>
        <w:spacing w:after="0" w:line="240" w:lineRule="auto"/>
        <w:ind w:left="93" w:hanging="93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Таким образом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численность персонала составит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9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человек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Фонд оплаты труда составит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174,0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рублей в месяц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Это часть фонда оплаты труда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которую планируется начислять по окладной системе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 качестве стимулирующего фактора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для менеджера по продажам предусмотрен премиальный фонд в размере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3%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от выручки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Суммы затрат по премиальной части оплаты труда являются переменными затратами и будут рассмотрены в плане доходов и расходов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heading 3"/>
        <w:ind w:firstLine="709"/>
        <w:rPr>
          <w:rStyle w:val="Нет"/>
          <w:color w:val="000000"/>
          <w:u w:color="000000"/>
        </w:rPr>
      </w:pPr>
      <w:bookmarkStart w:name="_Toc10" w:id="10"/>
      <w:r>
        <w:rPr>
          <w:rStyle w:val="Нет"/>
          <w:color w:val="000000"/>
          <w:u w:color="000000"/>
          <w:rtl w:val="0"/>
          <w:lang w:val="ru-RU"/>
        </w:rPr>
        <w:t xml:space="preserve">2.5. </w:t>
      </w:r>
      <w:r>
        <w:rPr>
          <w:rStyle w:val="Нет"/>
          <w:color w:val="000000"/>
          <w:u w:color="000000"/>
          <w:rtl w:val="0"/>
          <w:lang w:val="ru-RU"/>
        </w:rPr>
        <w:t>План маркетинга</w:t>
      </w:r>
      <w:bookmarkEnd w:id="10"/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Для обеспечения постоянного спроса на производимую продукцию необходима реклама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Затраты на рекламу составят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3,2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 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таблица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2.4).</w:t>
      </w:r>
    </w:p>
    <w:p>
      <w:pPr>
        <w:pStyle w:val="Normal.0"/>
        <w:spacing w:after="0" w:line="360" w:lineRule="auto"/>
        <w:ind w:firstLine="709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Таблица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2.4</w:t>
      </w:r>
    </w:p>
    <w:p>
      <w:pPr>
        <w:pStyle w:val="Normal.0"/>
        <w:spacing w:after="0" w:line="360" w:lineRule="auto"/>
        <w:ind w:firstLine="709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Ежемесячные затраты на рекламу</w:t>
      </w:r>
    </w:p>
    <w:tbl>
      <w:tblPr>
        <w:tblW w:w="10221" w:type="dxa"/>
        <w:jc w:val="center"/>
        <w:tblInd w:w="201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835"/>
        <w:gridCol w:w="1660"/>
        <w:gridCol w:w="1742"/>
        <w:gridCol w:w="1984"/>
      </w:tblGrid>
      <w:tr>
        <w:tblPrEx>
          <w:shd w:val="clear" w:color="auto" w:fill="4f81bd"/>
        </w:tblPrEx>
        <w:trPr>
          <w:trHeight w:val="600" w:hRule="atLeast"/>
          <w:tblHeader/>
        </w:trPr>
        <w:tc>
          <w:tcPr>
            <w:tcW w:type="dxa" w:w="4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Наименование</w:t>
            </w:r>
          </w:p>
        </w:tc>
        <w:tc>
          <w:tcPr>
            <w:tcW w:type="dxa" w:w="1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Количество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ед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./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мес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7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Цена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./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ед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19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Сумма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Размещение в социальных сетях</w:t>
            </w:r>
          </w:p>
        </w:tc>
        <w:tc>
          <w:tcPr>
            <w:tcW w:type="dxa" w:w="1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17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19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0,00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Реклама на радио</w:t>
            </w:r>
          </w:p>
        </w:tc>
        <w:tc>
          <w:tcPr>
            <w:tcW w:type="dxa" w:w="1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150</w:t>
            </w:r>
          </w:p>
        </w:tc>
        <w:tc>
          <w:tcPr>
            <w:tcW w:type="dxa" w:w="17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</w:t>
            </w:r>
          </w:p>
        </w:tc>
        <w:tc>
          <w:tcPr>
            <w:tcW w:type="dxa" w:w="19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3,00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Печать визиток</w:t>
            </w:r>
          </w:p>
        </w:tc>
        <w:tc>
          <w:tcPr>
            <w:tcW w:type="dxa" w:w="1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100</w:t>
            </w:r>
          </w:p>
        </w:tc>
        <w:tc>
          <w:tcPr>
            <w:tcW w:type="dxa" w:w="17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</w:t>
            </w:r>
          </w:p>
        </w:tc>
        <w:tc>
          <w:tcPr>
            <w:tcW w:type="dxa" w:w="19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0,20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483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Итого</w:t>
            </w:r>
          </w:p>
        </w:tc>
        <w:tc>
          <w:tcPr>
            <w:tcW w:type="dxa" w:w="16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17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198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3,2</w:t>
            </w:r>
          </w:p>
        </w:tc>
      </w:tr>
    </w:tbl>
    <w:p>
      <w:pPr>
        <w:pStyle w:val="Normal.0"/>
        <w:widowControl w:val="0"/>
        <w:spacing w:after="0" w:line="240" w:lineRule="auto"/>
        <w:ind w:left="93" w:hanging="93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Для размещения информации в социальных сетях бюджет не предусмотрен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так как эти работы будут выполняться собственником бизнеса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 продаж на первый год рассчитан исходя из прогнозных цен и плана продаж в натуральном выражении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План продаж представлен  в таблице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2.5.</w:t>
      </w:r>
    </w:p>
    <w:p>
      <w:pPr>
        <w:pStyle w:val="Normal.0"/>
        <w:spacing w:after="0" w:line="360" w:lineRule="auto"/>
        <w:ind w:firstLine="709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Таблица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2.5</w:t>
      </w:r>
    </w:p>
    <w:p>
      <w:pPr>
        <w:pStyle w:val="Normal.0"/>
        <w:spacing w:after="0" w:line="360" w:lineRule="auto"/>
        <w:ind w:firstLine="709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 продаж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tbl>
      <w:tblPr>
        <w:tblW w:w="9840" w:type="dxa"/>
        <w:jc w:val="center"/>
        <w:tblInd w:w="201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960"/>
        <w:gridCol w:w="820"/>
        <w:gridCol w:w="160"/>
        <w:gridCol w:w="820"/>
        <w:gridCol w:w="160"/>
        <w:gridCol w:w="820"/>
        <w:gridCol w:w="160"/>
        <w:gridCol w:w="820"/>
        <w:gridCol w:w="160"/>
        <w:gridCol w:w="820"/>
        <w:gridCol w:w="160"/>
        <w:gridCol w:w="820"/>
        <w:gridCol w:w="160"/>
        <w:gridCol w:w="1000"/>
      </w:tblGrid>
      <w:tr>
        <w:tblPrEx>
          <w:shd w:val="clear" w:color="auto" w:fill="ced7e7"/>
        </w:tblPrEx>
        <w:trPr>
          <w:trHeight w:val="304" w:hRule="atLeast"/>
        </w:trPr>
        <w:tc>
          <w:tcPr>
            <w:tcW w:type="dxa" w:w="2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Наименование</w:t>
            </w:r>
          </w:p>
        </w:tc>
        <w:tc>
          <w:tcPr>
            <w:tcW w:type="dxa" w:w="8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дек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.17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янв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фев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мар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апр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май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1160"/>
            <w:gridSpan w:val="2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Пошив сумок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шт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8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528</w:t>
            </w:r>
          </w:p>
        </w:tc>
        <w:tc>
          <w:tcPr>
            <w:tcW w:type="dxa" w:w="1160"/>
            <w:gridSpan w:val="2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Планируемая цена за единицу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8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1600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1720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1720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1720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1720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1720</w:t>
            </w:r>
          </w:p>
        </w:tc>
        <w:tc>
          <w:tcPr>
            <w:tcW w:type="dxa" w:w="1160"/>
            <w:gridSpan w:val="2"/>
            <w:tcBorders>
              <w:top w:val="nil"/>
              <w:left w:val="single" w:color="000000" w:sz="4" w:space="0" w:shadow="0" w:frame="0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Выручка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8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844,8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1160"/>
            <w:gridSpan w:val="2"/>
            <w:tcBorders>
              <w:top w:val="nil"/>
              <w:left w:val="single" w:color="000000" w:sz="4" w:space="0" w:shadow="0" w:frame="0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304" w:hRule="atLeast"/>
        </w:trPr>
        <w:tc>
          <w:tcPr>
            <w:tcW w:type="dxa" w:w="2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Наименование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июн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июл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авг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сен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окт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ноя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год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Пошив сумок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шт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528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528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6336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Планируемая цена за единицу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1720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1840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1840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1840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1840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1840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1760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Выручка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,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971,5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971,5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971,5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971,5</w:t>
            </w:r>
          </w:p>
        </w:tc>
        <w:tc>
          <w:tcPr>
            <w:tcW w:type="dxa" w:w="98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971,5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11151,4</w:t>
            </w:r>
          </w:p>
        </w:tc>
      </w:tr>
    </w:tbl>
    <w:p>
      <w:pPr>
        <w:pStyle w:val="Normal.0"/>
        <w:widowControl w:val="0"/>
        <w:spacing w:after="0" w:line="240" w:lineRule="auto"/>
        <w:ind w:left="93" w:hanging="93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Годовой план продаж составляет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11151,4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heading 3"/>
        <w:ind w:firstLine="709"/>
        <w:rPr>
          <w:rStyle w:val="Нет"/>
          <w:color w:val="000000"/>
          <w:u w:color="000000"/>
        </w:rPr>
      </w:pPr>
      <w:bookmarkStart w:name="_Toc11" w:id="11"/>
      <w:r>
        <w:rPr>
          <w:rStyle w:val="Нет"/>
          <w:color w:val="000000"/>
          <w:u w:color="000000"/>
          <w:rtl w:val="0"/>
          <w:lang w:val="ru-RU"/>
        </w:rPr>
        <w:t xml:space="preserve">2.6. </w:t>
      </w:r>
      <w:r>
        <w:rPr>
          <w:rStyle w:val="Нет"/>
          <w:color w:val="000000"/>
          <w:u w:color="000000"/>
          <w:rtl w:val="0"/>
          <w:lang w:val="ru-RU"/>
        </w:rPr>
        <w:t>Финансовый план</w:t>
      </w:r>
      <w:bookmarkEnd w:id="11"/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План доходов и расходов представлен в таблице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2.6.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Годовая выручка  запланирована в размере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11151,4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Переменные расходы формируются за счет расходных материалов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экокожа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нитки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иголки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дублерин и 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 премиальной части фонда оплаты труда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Расходные материалы на год запланированы в сумме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6133,2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а премиальный фонд оплаты труда –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111,5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Кроме того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согласно законодательству с премиального фонда оплаты труда  ателье будет производить отчисления в социальные фонды по ставке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30%.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Общая сумма отчислений с премиального фонда составит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33,5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Годовая сумма постоянных затрат цеха запланирована на уровне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1264,8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Прибыль цеха до налогообложения за первый год работы составит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3608,3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 плане предусмотрено применение упрощенной системы налогообложения с базой «доходы минус расходы»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Налог на доход рассчитан в размере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15%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от налогооблагаемой базы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 суммовом выражении это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559,3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 течение первого года работы организация получит прибыль в размере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1284,7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Рентабельность продаж составит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11,5% (1284,7/11151,4=11,5%).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right"/>
        <w:sectPr>
          <w:headerReference w:type="default" r:id="rId5"/>
          <w:headerReference w:type="first" r:id="rId6"/>
          <w:footerReference w:type="default" r:id="rId7"/>
          <w:footerReference w:type="first" r:id="rId8"/>
          <w:pgSz w:w="11900" w:h="16840" w:orient="portrait"/>
          <w:pgMar w:top="1134" w:right="567" w:bottom="1134" w:left="1134" w:header="708" w:footer="708"/>
          <w:titlePg w:val="1"/>
          <w:bidi w:val="0"/>
        </w:sectPr>
      </w:pPr>
    </w:p>
    <w:p>
      <w:pPr>
        <w:pStyle w:val="Normal.0"/>
        <w:spacing w:after="0" w:line="360" w:lineRule="auto"/>
        <w:ind w:firstLine="709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Таблица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2.6</w:t>
      </w:r>
    </w:p>
    <w:p>
      <w:pPr>
        <w:pStyle w:val="Normal.0"/>
        <w:spacing w:after="0" w:line="360" w:lineRule="auto"/>
        <w:ind w:left="720" w:firstLine="0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 доходов и расходов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tbl>
      <w:tblPr>
        <w:tblW w:w="15154" w:type="dxa"/>
        <w:jc w:val="center"/>
        <w:tblInd w:w="201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567"/>
        <w:gridCol w:w="960"/>
        <w:gridCol w:w="915"/>
        <w:gridCol w:w="892"/>
        <w:gridCol w:w="980"/>
        <w:gridCol w:w="980"/>
        <w:gridCol w:w="980"/>
        <w:gridCol w:w="980"/>
        <w:gridCol w:w="980"/>
        <w:gridCol w:w="980"/>
        <w:gridCol w:w="980"/>
        <w:gridCol w:w="980"/>
        <w:gridCol w:w="980"/>
        <w:gridCol w:w="1000"/>
      </w:tblGrid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Наименование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дек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.17</w:t>
            </w:r>
          </w:p>
        </w:tc>
        <w:tc>
          <w:tcPr>
            <w:tcW w:type="dxa" w:w="9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янв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8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фев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мар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апр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май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июн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июл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авг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сен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окт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ноя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год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Выручка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844,8</w:t>
            </w:r>
          </w:p>
        </w:tc>
        <w:tc>
          <w:tcPr>
            <w:tcW w:type="dxa" w:w="9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8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971,5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971,5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971,5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971,5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971,5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11151,4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Переменные затраты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475,6</w:t>
            </w:r>
          </w:p>
        </w:tc>
        <w:tc>
          <w:tcPr>
            <w:tcW w:type="dxa" w:w="9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511,3</w:t>
            </w:r>
          </w:p>
        </w:tc>
        <w:tc>
          <w:tcPr>
            <w:tcW w:type="dxa" w:w="8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511,3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511,3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511,3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511,3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511,3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547,0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547,0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547,0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547,0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547,0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6278,2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2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ind w:firstLine="480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Материалы для производства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464,6</w:t>
            </w:r>
          </w:p>
        </w:tc>
        <w:tc>
          <w:tcPr>
            <w:tcW w:type="dxa" w:w="9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499,5</w:t>
            </w:r>
          </w:p>
        </w:tc>
        <w:tc>
          <w:tcPr>
            <w:tcW w:type="dxa" w:w="8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499,5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499,5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499,5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499,5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499,5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534,3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534,3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534,3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534,3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534,3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6133,2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2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ind w:firstLine="480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Фонд оплаты труда 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(1%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от выручки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)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8,4</w:t>
            </w:r>
          </w:p>
        </w:tc>
        <w:tc>
          <w:tcPr>
            <w:tcW w:type="dxa" w:w="9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9,1</w:t>
            </w:r>
          </w:p>
        </w:tc>
        <w:tc>
          <w:tcPr>
            <w:tcW w:type="dxa" w:w="8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9,1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9,1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9,1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9,1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9,1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9,7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9,7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9,7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9,7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9,7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111,5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2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ind w:firstLine="480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Отчисления в социальные фонды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2,5</w:t>
            </w:r>
          </w:p>
        </w:tc>
        <w:tc>
          <w:tcPr>
            <w:tcW w:type="dxa" w:w="9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2,7</w:t>
            </w:r>
          </w:p>
        </w:tc>
        <w:tc>
          <w:tcPr>
            <w:tcW w:type="dxa" w:w="8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2,7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2,7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2,7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2,7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2,7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2,9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2,9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2,9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2,9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2,9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2"/>
                <w:szCs w:val="22"/>
                <w:u w:val="none" w:color="000000"/>
                <w:vertAlign w:val="baseline"/>
                <w:rtl w:val="0"/>
                <w:lang w:val="ru-RU"/>
              </w:rPr>
              <w:t>33,5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Постоянные затраты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8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1264,8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ind w:firstLine="480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Фонд оплаты труда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174,0</w:t>
            </w:r>
          </w:p>
        </w:tc>
        <w:tc>
          <w:tcPr>
            <w:tcW w:type="dxa" w:w="9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174,0</w:t>
            </w:r>
          </w:p>
        </w:tc>
        <w:tc>
          <w:tcPr>
            <w:tcW w:type="dxa" w:w="8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174,0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174,0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174,0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174,0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174,0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174,0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174,0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174,0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174,0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174,0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</w:tr>
      <w:tr>
        <w:tblPrEx>
          <w:shd w:val="clear" w:color="auto" w:fill="ced7e7"/>
        </w:tblPrEx>
        <w:trPr>
          <w:trHeight w:val="1200" w:hRule="atLeast"/>
        </w:trPr>
        <w:tc>
          <w:tcPr>
            <w:tcW w:type="dxa" w:w="2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ind w:firstLine="480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Отчисления в социальные фонды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52,2</w:t>
            </w:r>
          </w:p>
        </w:tc>
        <w:tc>
          <w:tcPr>
            <w:tcW w:type="dxa" w:w="9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52,2</w:t>
            </w:r>
          </w:p>
        </w:tc>
        <w:tc>
          <w:tcPr>
            <w:tcW w:type="dxa" w:w="8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52,2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626,4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2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ind w:firstLine="480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Реклама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3,2</w:t>
            </w:r>
          </w:p>
        </w:tc>
        <w:tc>
          <w:tcPr>
            <w:tcW w:type="dxa" w:w="9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3,2</w:t>
            </w:r>
          </w:p>
        </w:tc>
        <w:tc>
          <w:tcPr>
            <w:tcW w:type="dxa" w:w="8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3,2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38,4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ind w:firstLine="480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Аренда помещений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50,0</w:t>
            </w:r>
          </w:p>
        </w:tc>
        <w:tc>
          <w:tcPr>
            <w:tcW w:type="dxa" w:w="9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50,0</w:t>
            </w:r>
          </w:p>
        </w:tc>
        <w:tc>
          <w:tcPr>
            <w:tcW w:type="dxa" w:w="8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50,0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50,0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600,0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2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Прибыль до налогообложения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89,8</w:t>
            </w:r>
          </w:p>
        </w:tc>
        <w:tc>
          <w:tcPr>
            <w:tcW w:type="dxa" w:w="9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117,5</w:t>
            </w:r>
          </w:p>
        </w:tc>
        <w:tc>
          <w:tcPr>
            <w:tcW w:type="dxa" w:w="8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117,5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117,5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117,5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117,5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117,5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145,2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145,2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145,2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145,2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145,2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3608,3</w:t>
            </w:r>
          </w:p>
        </w:tc>
      </w:tr>
      <w:tr>
        <w:tblPrEx>
          <w:shd w:val="clear" w:color="auto" w:fill="ced7e7"/>
        </w:tblPrEx>
        <w:trPr>
          <w:trHeight w:val="900" w:hRule="atLeast"/>
        </w:trPr>
        <w:tc>
          <w:tcPr>
            <w:tcW w:type="dxa" w:w="2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Налог на доход 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(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усн 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15%)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13,9</w:t>
            </w:r>
          </w:p>
        </w:tc>
        <w:tc>
          <w:tcPr>
            <w:tcW w:type="dxa" w:w="9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18,2</w:t>
            </w:r>
          </w:p>
        </w:tc>
        <w:tc>
          <w:tcPr>
            <w:tcW w:type="dxa" w:w="8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18,2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22,5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22,5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559,3</w:t>
            </w:r>
          </w:p>
        </w:tc>
      </w:tr>
      <w:tr>
        <w:tblPrEx>
          <w:shd w:val="clear" w:color="auto" w:fill="ced7e7"/>
        </w:tblPrEx>
        <w:trPr>
          <w:trHeight w:val="600" w:hRule="atLeast"/>
        </w:trPr>
        <w:tc>
          <w:tcPr>
            <w:tcW w:type="dxa" w:w="25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Чистая прибыль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75,9</w:t>
            </w:r>
          </w:p>
        </w:tc>
        <w:tc>
          <w:tcPr>
            <w:tcW w:type="dxa" w:w="9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89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9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10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1284,7</w:t>
            </w:r>
          </w:p>
        </w:tc>
      </w:tr>
    </w:tbl>
    <w:p>
      <w:pPr>
        <w:pStyle w:val="Normal.0"/>
        <w:widowControl w:val="0"/>
        <w:spacing w:after="0" w:line="240" w:lineRule="auto"/>
        <w:ind w:left="93" w:hanging="93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240" w:lineRule="auto"/>
        <w:ind w:left="1080" w:firstLine="0"/>
        <w:jc w:val="center"/>
        <w:sectPr>
          <w:headerReference w:type="default" r:id="rId9"/>
          <w:headerReference w:type="first" r:id="rId10"/>
          <w:pgSz w:w="11900" w:h="16840" w:orient="portrait"/>
          <w:pgMar w:top="851" w:right="1134" w:bottom="1701" w:left="1134" w:header="708" w:footer="708"/>
          <w:titlePg w:val="1"/>
          <w:bidi w:val="0"/>
        </w:sectPr>
      </w:pPr>
    </w:p>
    <w:p>
      <w:pPr>
        <w:pStyle w:val="heading 3"/>
        <w:ind w:firstLine="709"/>
        <w:rPr>
          <w:rStyle w:val="Нет"/>
          <w:color w:val="000000"/>
          <w:u w:color="000000"/>
        </w:rPr>
      </w:pPr>
      <w:bookmarkStart w:name="_Toc12" w:id="12"/>
      <w:r>
        <w:rPr>
          <w:rStyle w:val="Нет"/>
          <w:color w:val="000000"/>
          <w:u w:color="000000"/>
          <w:rtl w:val="0"/>
          <w:lang w:val="ru-RU"/>
        </w:rPr>
        <w:t xml:space="preserve">2.7. </w:t>
      </w:r>
      <w:r>
        <w:rPr>
          <w:rStyle w:val="Нет"/>
          <w:color w:val="000000"/>
          <w:u w:color="000000"/>
          <w:rtl w:val="0"/>
          <w:lang w:val="ru-RU"/>
        </w:rPr>
        <w:t>Стратегия финансирования</w:t>
      </w:r>
      <w:bookmarkEnd w:id="12"/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Итоговая сумма денег для организации цеха в 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410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 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500 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рублей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будет внесено ООО «Перспектива»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поэтому использоваться привлеченные и заемные средства не будут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План движения денежных средств представлен в таблице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2.7.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Денежный поток проекта формируется за счет трех составляющих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денежного потока от операционной деятельности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выручка выступает в качестве притока денежных средств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отток денежных средств выражается в уплате налога на прибыль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переменных и постоянных затрат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);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денежного потока от инвестиционной деятельности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отток денежных средств формируется за счет инвестиционных затрат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);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денежного потока от финансовой деятельности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приток денежных средств формируется за счет получения средств предпринимателя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).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Из таблицы видно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что имеющихся у предпринимателя денежных средств достаточно для организации бизнеса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 течение года не наблюдается кассовых разрывов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 течение первого года работы организация накопит денежных средств в размере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874,2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jc w:val="both"/>
        <w:sectPr>
          <w:headerReference w:type="default" r:id="rId11"/>
          <w:headerReference w:type="first" r:id="rId12"/>
          <w:pgSz w:w="11900" w:h="16840" w:orient="portrait"/>
          <w:pgMar w:top="1134" w:right="850" w:bottom="1134" w:left="1701" w:header="708" w:footer="708"/>
          <w:titlePg w:val="1"/>
          <w:bidi w:val="0"/>
        </w:sect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Таблица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2.7</w:t>
      </w:r>
    </w:p>
    <w:p>
      <w:pPr>
        <w:pStyle w:val="Normal.0"/>
        <w:spacing w:after="0" w:line="360" w:lineRule="auto"/>
        <w:ind w:firstLine="709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 движения денежных средств</w:t>
      </w:r>
    </w:p>
    <w:tbl>
      <w:tblPr>
        <w:tblW w:w="15338" w:type="dxa"/>
        <w:jc w:val="center"/>
        <w:tblInd w:w="201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915"/>
        <w:gridCol w:w="960"/>
        <w:gridCol w:w="1025"/>
        <w:gridCol w:w="869"/>
        <w:gridCol w:w="980"/>
        <w:gridCol w:w="895"/>
        <w:gridCol w:w="871"/>
        <w:gridCol w:w="903"/>
        <w:gridCol w:w="980"/>
        <w:gridCol w:w="980"/>
        <w:gridCol w:w="980"/>
        <w:gridCol w:w="980"/>
        <w:gridCol w:w="980"/>
        <w:gridCol w:w="1014"/>
        <w:gridCol w:w="1006"/>
      </w:tblGrid>
      <w:tr>
        <w:tblPrEx>
          <w:shd w:val="clear" w:color="auto" w:fill="4f81bd"/>
        </w:tblPrEx>
        <w:trPr>
          <w:trHeight w:val="910" w:hRule="atLeast"/>
          <w:tblHeader/>
        </w:trPr>
        <w:tc>
          <w:tcPr>
            <w:tcW w:type="dxa" w:w="19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Наименование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ноя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.17</w:t>
            </w:r>
          </w:p>
        </w:tc>
        <w:tc>
          <w:tcPr>
            <w:tcW w:type="dxa" w:w="102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дек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.17</w:t>
            </w:r>
          </w:p>
        </w:tc>
        <w:tc>
          <w:tcPr>
            <w:tcW w:type="dxa" w:w="86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янв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фев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мар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87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апр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май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июн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июл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авг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сен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окт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10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ноя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10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год</w:t>
            </w:r>
          </w:p>
        </w:tc>
      </w:tr>
      <w:tr>
        <w:tblPrEx>
          <w:shd w:val="clear" w:color="auto" w:fill="ced7e7"/>
        </w:tblPrEx>
        <w:trPr>
          <w:trHeight w:val="1510" w:hRule="atLeast"/>
        </w:trPr>
        <w:tc>
          <w:tcPr>
            <w:tcW w:type="dxa" w:w="19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Наличие денежных средств  на начало периода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102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86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75,9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75,1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74,4</w:t>
            </w:r>
          </w:p>
        </w:tc>
        <w:tc>
          <w:tcPr>
            <w:tcW w:type="dxa" w:w="87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73,6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62,4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161,7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260,9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383,6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506,2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628,9</w:t>
            </w:r>
          </w:p>
        </w:tc>
        <w:tc>
          <w:tcPr>
            <w:tcW w:type="dxa" w:w="10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751,5</w:t>
            </w:r>
          </w:p>
        </w:tc>
        <w:tc>
          <w:tcPr>
            <w:tcW w:type="dxa" w:w="10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</w:tr>
      <w:tr>
        <w:tblPrEx>
          <w:shd w:val="clear" w:color="auto" w:fill="ced7e7"/>
        </w:tblPrEx>
        <w:trPr>
          <w:trHeight w:val="314" w:hRule="atLeast"/>
        </w:trPr>
        <w:tc>
          <w:tcPr>
            <w:tcW w:type="dxa" w:w="15338"/>
            <w:gridSpan w:val="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Операционная деятельность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19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Выручка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102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844,8</w:t>
            </w:r>
          </w:p>
        </w:tc>
        <w:tc>
          <w:tcPr>
            <w:tcW w:type="dxa" w:w="86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87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908,2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971,5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971,5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971,5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971,5</w:t>
            </w:r>
          </w:p>
        </w:tc>
        <w:tc>
          <w:tcPr>
            <w:tcW w:type="dxa" w:w="10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971,5</w:t>
            </w:r>
          </w:p>
        </w:tc>
        <w:tc>
          <w:tcPr>
            <w:tcW w:type="dxa" w:w="10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11151,4</w:t>
            </w:r>
          </w:p>
        </w:tc>
      </w:tr>
      <w:tr>
        <w:tblPrEx>
          <w:shd w:val="clear" w:color="auto" w:fill="ced7e7"/>
        </w:tblPrEx>
        <w:trPr>
          <w:trHeight w:val="910" w:hRule="atLeast"/>
        </w:trPr>
        <w:tc>
          <w:tcPr>
            <w:tcW w:type="dxa" w:w="19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Переменные затраты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102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475,6</w:t>
            </w:r>
          </w:p>
        </w:tc>
        <w:tc>
          <w:tcPr>
            <w:tcW w:type="dxa" w:w="86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511,3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511,3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511,3</w:t>
            </w:r>
          </w:p>
        </w:tc>
        <w:tc>
          <w:tcPr>
            <w:tcW w:type="dxa" w:w="87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511,3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511,3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511,3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547,0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547,0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547,0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547,0</w:t>
            </w:r>
          </w:p>
        </w:tc>
        <w:tc>
          <w:tcPr>
            <w:tcW w:type="dxa" w:w="10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547,0</w:t>
            </w:r>
          </w:p>
        </w:tc>
        <w:tc>
          <w:tcPr>
            <w:tcW w:type="dxa" w:w="10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6278,2</w:t>
            </w:r>
          </w:p>
        </w:tc>
      </w:tr>
      <w:tr>
        <w:tblPrEx>
          <w:shd w:val="clear" w:color="auto" w:fill="ced7e7"/>
        </w:tblPrEx>
        <w:trPr>
          <w:trHeight w:val="910" w:hRule="atLeast"/>
        </w:trPr>
        <w:tc>
          <w:tcPr>
            <w:tcW w:type="dxa" w:w="19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Постоянные затраты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102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86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87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10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279,4</w:t>
            </w:r>
          </w:p>
        </w:tc>
        <w:tc>
          <w:tcPr>
            <w:tcW w:type="dxa" w:w="10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3352,8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19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Налоги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102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13,9</w:t>
            </w:r>
          </w:p>
        </w:tc>
        <w:tc>
          <w:tcPr>
            <w:tcW w:type="dxa" w:w="86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18,2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18,2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18,2</w:t>
            </w:r>
          </w:p>
        </w:tc>
        <w:tc>
          <w:tcPr>
            <w:tcW w:type="dxa" w:w="87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18,2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18,2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18,2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22,5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22,5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22,5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22,5</w:t>
            </w:r>
          </w:p>
        </w:tc>
        <w:tc>
          <w:tcPr>
            <w:tcW w:type="dxa" w:w="10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22,5</w:t>
            </w:r>
          </w:p>
        </w:tc>
        <w:tc>
          <w:tcPr>
            <w:tcW w:type="dxa" w:w="10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235,7</w:t>
            </w:r>
          </w:p>
        </w:tc>
      </w:tr>
      <w:tr>
        <w:tblPrEx>
          <w:shd w:val="clear" w:color="auto" w:fill="ced7e7"/>
        </w:tblPrEx>
        <w:trPr>
          <w:trHeight w:val="2410" w:hRule="atLeast"/>
        </w:trPr>
        <w:tc>
          <w:tcPr>
            <w:tcW w:type="dxa" w:w="19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Сальдо денежного потока по операционной деятельности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102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75,9</w:t>
            </w:r>
          </w:p>
        </w:tc>
        <w:tc>
          <w:tcPr>
            <w:tcW w:type="dxa" w:w="86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87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10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10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1284,7</w:t>
            </w:r>
          </w:p>
        </w:tc>
      </w:tr>
      <w:tr>
        <w:tblPrEx>
          <w:shd w:val="clear" w:color="auto" w:fill="ced7e7"/>
        </w:tblPrEx>
        <w:trPr>
          <w:trHeight w:val="314" w:hRule="atLeast"/>
        </w:trPr>
        <w:tc>
          <w:tcPr>
            <w:tcW w:type="dxa" w:w="15338"/>
            <w:gridSpan w:val="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Инвестиционная деятельность </w:t>
            </w:r>
          </w:p>
        </w:tc>
      </w:tr>
      <w:tr>
        <w:tblPrEx>
          <w:shd w:val="clear" w:color="auto" w:fill="ced7e7"/>
        </w:tblPrEx>
        <w:trPr>
          <w:trHeight w:val="610" w:hRule="atLeast"/>
        </w:trPr>
        <w:tc>
          <w:tcPr>
            <w:tcW w:type="dxa" w:w="19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Инвестиции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410,5</w:t>
            </w:r>
          </w:p>
        </w:tc>
        <w:tc>
          <w:tcPr>
            <w:tcW w:type="dxa" w:w="102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86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87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10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10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410,5</w:t>
            </w:r>
          </w:p>
        </w:tc>
      </w:tr>
      <w:tr>
        <w:tblPrEx>
          <w:shd w:val="clear" w:color="auto" w:fill="ced7e7"/>
        </w:tblPrEx>
        <w:trPr>
          <w:trHeight w:val="2410" w:hRule="atLeast"/>
        </w:trPr>
        <w:tc>
          <w:tcPr>
            <w:tcW w:type="dxa" w:w="19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Сальдо денежного потока по инвестиционной деятельности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-410,5</w:t>
            </w:r>
          </w:p>
        </w:tc>
        <w:tc>
          <w:tcPr>
            <w:tcW w:type="dxa" w:w="102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86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87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10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10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-410,5</w:t>
            </w:r>
          </w:p>
        </w:tc>
      </w:tr>
      <w:tr>
        <w:tblPrEx>
          <w:shd w:val="clear" w:color="auto" w:fill="ced7e7"/>
        </w:tblPrEx>
        <w:trPr>
          <w:trHeight w:val="314" w:hRule="atLeast"/>
        </w:trPr>
        <w:tc>
          <w:tcPr>
            <w:tcW w:type="dxa" w:w="15338"/>
            <w:gridSpan w:val="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Финансовая деятельность</w:t>
            </w:r>
          </w:p>
        </w:tc>
      </w:tr>
      <w:tr>
        <w:tblPrEx>
          <w:shd w:val="clear" w:color="auto" w:fill="ced7e7"/>
        </w:tblPrEx>
        <w:trPr>
          <w:trHeight w:val="1510" w:hRule="atLeast"/>
        </w:trPr>
        <w:tc>
          <w:tcPr>
            <w:tcW w:type="dxa" w:w="19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Собственные средства инвестора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410,5</w:t>
            </w:r>
          </w:p>
        </w:tc>
        <w:tc>
          <w:tcPr>
            <w:tcW w:type="dxa" w:w="102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86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87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10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10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410,5</w:t>
            </w:r>
          </w:p>
        </w:tc>
      </w:tr>
      <w:tr>
        <w:tblPrEx>
          <w:shd w:val="clear" w:color="auto" w:fill="ced7e7"/>
        </w:tblPrEx>
        <w:trPr>
          <w:trHeight w:val="1210" w:hRule="atLeast"/>
        </w:trPr>
        <w:tc>
          <w:tcPr>
            <w:tcW w:type="dxa" w:w="19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Изъятие средств инвестора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102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86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100,0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100,0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100,0</w:t>
            </w:r>
          </w:p>
        </w:tc>
        <w:tc>
          <w:tcPr>
            <w:tcW w:type="dxa" w:w="87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110,5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10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  <w:tc>
          <w:tcPr>
            <w:tcW w:type="dxa" w:w="10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410,5</w:t>
            </w:r>
          </w:p>
        </w:tc>
      </w:tr>
      <w:tr>
        <w:tblPrEx>
          <w:shd w:val="clear" w:color="auto" w:fill="ced7e7"/>
        </w:tblPrEx>
        <w:trPr>
          <w:trHeight w:val="2410" w:hRule="atLeast"/>
        </w:trPr>
        <w:tc>
          <w:tcPr>
            <w:tcW w:type="dxa" w:w="19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Сальдо денежного потока по финансовой деятельности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410,5</w:t>
            </w:r>
          </w:p>
        </w:tc>
        <w:tc>
          <w:tcPr>
            <w:tcW w:type="dxa" w:w="102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86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-100,0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-100,0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-100,0</w:t>
            </w:r>
          </w:p>
        </w:tc>
        <w:tc>
          <w:tcPr>
            <w:tcW w:type="dxa" w:w="87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-110,5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10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10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</w:tr>
      <w:tr>
        <w:tblPrEx>
          <w:shd w:val="clear" w:color="auto" w:fill="ced7e7"/>
        </w:tblPrEx>
        <w:trPr>
          <w:trHeight w:val="1210" w:hRule="atLeast"/>
        </w:trPr>
        <w:tc>
          <w:tcPr>
            <w:tcW w:type="dxa" w:w="19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Сальдо денежного потока проекта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102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75,9</w:t>
            </w:r>
          </w:p>
        </w:tc>
        <w:tc>
          <w:tcPr>
            <w:tcW w:type="dxa" w:w="86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-0,7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-0,7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-0,7</w:t>
            </w:r>
          </w:p>
        </w:tc>
        <w:tc>
          <w:tcPr>
            <w:tcW w:type="dxa" w:w="87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-11,2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10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10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874,2</w:t>
            </w:r>
          </w:p>
        </w:tc>
      </w:tr>
      <w:tr>
        <w:tblPrEx>
          <w:shd w:val="clear" w:color="auto" w:fill="ced7e7"/>
        </w:tblPrEx>
        <w:trPr>
          <w:trHeight w:val="1510" w:hRule="atLeast"/>
        </w:trPr>
        <w:tc>
          <w:tcPr>
            <w:tcW w:type="dxa" w:w="19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Наличие денежных средств  на конец периода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0,0</w:t>
            </w:r>
          </w:p>
        </w:tc>
        <w:tc>
          <w:tcPr>
            <w:tcW w:type="dxa" w:w="102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75,9</w:t>
            </w:r>
          </w:p>
        </w:tc>
        <w:tc>
          <w:tcPr>
            <w:tcW w:type="dxa" w:w="869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75,1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74,4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73,6</w:t>
            </w:r>
          </w:p>
        </w:tc>
        <w:tc>
          <w:tcPr>
            <w:tcW w:type="dxa" w:w="87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62,4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161,7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260,9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383,6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506,2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628,9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751,5</w:t>
            </w:r>
          </w:p>
        </w:tc>
        <w:tc>
          <w:tcPr>
            <w:tcW w:type="dxa" w:w="101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874,2</w:t>
            </w:r>
          </w:p>
        </w:tc>
        <w:tc>
          <w:tcPr>
            <w:tcW w:type="dxa" w:w="100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874,2</w:t>
            </w:r>
          </w:p>
        </w:tc>
      </w:tr>
    </w:tbl>
    <w:p>
      <w:pPr>
        <w:pStyle w:val="Normal.0"/>
        <w:widowControl w:val="0"/>
        <w:spacing w:after="0" w:line="240" w:lineRule="auto"/>
        <w:ind w:left="93" w:hanging="93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jc w:val="both"/>
        <w:sectPr>
          <w:headerReference w:type="default" r:id="rId13"/>
          <w:pgSz w:w="11900" w:h="16840" w:orient="portrait"/>
          <w:pgMar w:top="851" w:right="1134" w:bottom="1701" w:left="1134" w:header="708" w:footer="708"/>
          <w:bidi w:val="0"/>
        </w:sectPr>
      </w:pPr>
    </w:p>
    <w:p>
      <w:pPr>
        <w:pStyle w:val="heading 3"/>
        <w:ind w:firstLine="709"/>
        <w:rPr>
          <w:rStyle w:val="Нет"/>
          <w:color w:val="000000"/>
          <w:u w:color="000000"/>
        </w:rPr>
      </w:pPr>
      <w:bookmarkStart w:name="_Toc13" w:id="13"/>
      <w:r>
        <w:rPr>
          <w:rStyle w:val="Нет"/>
          <w:color w:val="000000"/>
          <w:u w:color="000000"/>
          <w:rtl w:val="0"/>
          <w:lang w:val="ru-RU"/>
        </w:rPr>
        <w:t xml:space="preserve">2.8. </w:t>
      </w:r>
      <w:r>
        <w:rPr>
          <w:rStyle w:val="Нет"/>
          <w:color w:val="000000"/>
          <w:u w:color="000000"/>
          <w:rtl w:val="0"/>
          <w:lang w:val="ru-RU"/>
        </w:rPr>
        <w:t>Анализ эффективности проекта по созданию ателье</w:t>
      </w:r>
      <w:bookmarkEnd w:id="13"/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Для дисконтирования денежного потока проекта по созданию производственного цеха используем ставку дисконтирования на уровне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20%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годовых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которая была рассчитана как сумма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13% 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средние ставки по инвестиционным кредитам в регионе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и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7% 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ставки за риск при реализации проекта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).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Для расчета коэффициента дисконтирования периода времени обозначены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Ноябрь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2017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0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период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Декабрь 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2017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период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Январь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2018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2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период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…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Ноябрь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2018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г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12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период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При расчете коэффициента дисконтирования ставка дисконта делиться на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12,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так как расчетным периодом при анализе является месяц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Расчет коэффициента дисконтирования приведен ниже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cs="Times New Roman" w:hAnsi="Times New Roman" w:eastAsia="Times New Roman"/>
          <w:sz w:val="28"/>
          <w:szCs w:val="28"/>
        </w:rPr>
        <w:drawing>
          <wp:inline distT="0" distB="0" distL="0" distR="0">
            <wp:extent cx="1876425" cy="1990725"/>
            <wp:effectExtent l="0" t="0" r="0" b="0"/>
            <wp:docPr id="1073741847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7" name="image1.pdf"/>
                    <pic:cNvPicPr>
                      <a:picLocks noChangeAspect="1"/>
                    </pic:cNvPicPr>
                  </pic:nvPicPr>
                  <pic:blipFill>
                    <a:blip r:embed="rId1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99072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Для расчета основных показателей эффективности проекта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представленных раньше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сформируем таблицу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2.8,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характеризующую денежный поток проекта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right"/>
        <w:sectPr>
          <w:headerReference w:type="default" r:id="rId15"/>
          <w:headerReference w:type="first" r:id="rId16"/>
          <w:footerReference w:type="default" r:id="rId17"/>
          <w:footerReference w:type="first" r:id="rId18"/>
          <w:pgSz w:w="11900" w:h="16840" w:orient="portrait"/>
          <w:pgMar w:top="1134" w:right="849" w:bottom="1134" w:left="1701" w:header="708" w:footer="708"/>
          <w:pgNumType w:start="46"/>
          <w:titlePg w:val="1"/>
          <w:bidi w:val="0"/>
        </w:sectPr>
      </w:pPr>
    </w:p>
    <w:p>
      <w:pPr>
        <w:pStyle w:val="Normal.0"/>
        <w:spacing w:after="0" w:line="360" w:lineRule="auto"/>
        <w:ind w:firstLine="709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Таблица 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2.8</w:t>
      </w:r>
    </w:p>
    <w:p>
      <w:pPr>
        <w:pStyle w:val="Normal.0"/>
        <w:spacing w:after="0" w:line="360" w:lineRule="auto"/>
        <w:ind w:firstLine="709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Расчет дисконтированного денежного потока проекта</w:t>
      </w:r>
    </w:p>
    <w:tbl>
      <w:tblPr>
        <w:tblW w:w="15104" w:type="dxa"/>
        <w:jc w:val="center"/>
        <w:tblInd w:w="201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567"/>
        <w:gridCol w:w="960"/>
        <w:gridCol w:w="862"/>
        <w:gridCol w:w="980"/>
        <w:gridCol w:w="892"/>
        <w:gridCol w:w="895"/>
        <w:gridCol w:w="871"/>
        <w:gridCol w:w="903"/>
        <w:gridCol w:w="953"/>
        <w:gridCol w:w="944"/>
        <w:gridCol w:w="835"/>
        <w:gridCol w:w="858"/>
        <w:gridCol w:w="858"/>
        <w:gridCol w:w="875"/>
        <w:gridCol w:w="851"/>
      </w:tblGrid>
      <w:tr>
        <w:tblPrEx>
          <w:shd w:val="clear" w:color="auto" w:fill="ced7e7"/>
        </w:tblPrEx>
        <w:trPr>
          <w:trHeight w:val="910" w:hRule="atLeast"/>
        </w:trPr>
        <w:tc>
          <w:tcPr>
            <w:tcW w:type="dxa" w:w="256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Наименование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ноя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.17</w:t>
            </w:r>
          </w:p>
        </w:tc>
        <w:tc>
          <w:tcPr>
            <w:tcW w:type="dxa" w:w="86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дек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.17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янв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89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фев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мар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87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апр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май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5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июн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94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июл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83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авг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сен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окт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87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ноя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.18</w:t>
            </w:r>
          </w:p>
        </w:tc>
        <w:tc>
          <w:tcPr>
            <w:tcW w:type="dxa" w:w="85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год</w:t>
            </w:r>
          </w:p>
        </w:tc>
      </w:tr>
      <w:tr>
        <w:tblPrEx>
          <w:shd w:val="clear" w:color="auto" w:fill="ced7e7"/>
        </w:tblPrEx>
        <w:trPr>
          <w:trHeight w:val="910" w:hRule="atLeast"/>
        </w:trPr>
        <w:tc>
          <w:tcPr>
            <w:tcW w:type="dxa" w:w="256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Денежный поток проекта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-410,5</w:t>
            </w:r>
          </w:p>
        </w:tc>
        <w:tc>
          <w:tcPr>
            <w:tcW w:type="dxa" w:w="86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75,9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89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87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95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99,3</w:t>
            </w:r>
          </w:p>
        </w:tc>
        <w:tc>
          <w:tcPr>
            <w:tcW w:type="dxa" w:w="94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83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87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122,7</w:t>
            </w:r>
          </w:p>
        </w:tc>
        <w:tc>
          <w:tcPr>
            <w:tcW w:type="dxa" w:w="85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874,2</w:t>
            </w:r>
          </w:p>
        </w:tc>
      </w:tr>
      <w:tr>
        <w:tblPrEx>
          <w:shd w:val="clear" w:color="auto" w:fill="ced7e7"/>
        </w:tblPrEx>
        <w:trPr>
          <w:trHeight w:val="1510" w:hRule="atLeast"/>
        </w:trPr>
        <w:tc>
          <w:tcPr>
            <w:tcW w:type="dxa" w:w="256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Денежный поток проекта нарастающим итогом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-410,5</w:t>
            </w:r>
          </w:p>
        </w:tc>
        <w:tc>
          <w:tcPr>
            <w:tcW w:type="dxa" w:w="86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-334,6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-235,4</w:t>
            </w:r>
          </w:p>
        </w:tc>
        <w:tc>
          <w:tcPr>
            <w:tcW w:type="dxa" w:w="89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-136,1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-36,9</w:t>
            </w:r>
          </w:p>
        </w:tc>
        <w:tc>
          <w:tcPr>
            <w:tcW w:type="dxa" w:w="87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62,4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161,7</w:t>
            </w:r>
          </w:p>
        </w:tc>
        <w:tc>
          <w:tcPr>
            <w:tcW w:type="dxa" w:w="95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260,9</w:t>
            </w:r>
          </w:p>
        </w:tc>
        <w:tc>
          <w:tcPr>
            <w:tcW w:type="dxa" w:w="94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383,6</w:t>
            </w:r>
          </w:p>
        </w:tc>
        <w:tc>
          <w:tcPr>
            <w:tcW w:type="dxa" w:w="83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506,2</w:t>
            </w:r>
          </w:p>
        </w:tc>
        <w:tc>
          <w:tcPr>
            <w:tcW w:type="dxa" w:w="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628,9</w:t>
            </w:r>
          </w:p>
        </w:tc>
        <w:tc>
          <w:tcPr>
            <w:tcW w:type="dxa" w:w="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751,5</w:t>
            </w:r>
          </w:p>
        </w:tc>
        <w:tc>
          <w:tcPr>
            <w:tcW w:type="dxa" w:w="87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874,2</w:t>
            </w:r>
          </w:p>
        </w:tc>
        <w:tc>
          <w:tcPr>
            <w:tcW w:type="dxa" w:w="85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910" w:hRule="atLeast"/>
        </w:trPr>
        <w:tc>
          <w:tcPr>
            <w:tcW w:type="dxa" w:w="256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Коэффициент дисконтирования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</w:t>
            </w:r>
          </w:p>
        </w:tc>
        <w:tc>
          <w:tcPr>
            <w:tcW w:type="dxa" w:w="86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0,984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0,967</w:t>
            </w:r>
          </w:p>
        </w:tc>
        <w:tc>
          <w:tcPr>
            <w:tcW w:type="dxa" w:w="89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0,952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0,936</w:t>
            </w:r>
          </w:p>
        </w:tc>
        <w:tc>
          <w:tcPr>
            <w:tcW w:type="dxa" w:w="87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0,921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0,906</w:t>
            </w:r>
          </w:p>
        </w:tc>
        <w:tc>
          <w:tcPr>
            <w:tcW w:type="dxa" w:w="95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0,891</w:t>
            </w:r>
          </w:p>
        </w:tc>
        <w:tc>
          <w:tcPr>
            <w:tcW w:type="dxa" w:w="94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0,876</w:t>
            </w:r>
          </w:p>
        </w:tc>
        <w:tc>
          <w:tcPr>
            <w:tcW w:type="dxa" w:w="83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0,862</w:t>
            </w:r>
          </w:p>
        </w:tc>
        <w:tc>
          <w:tcPr>
            <w:tcW w:type="dxa" w:w="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0,848</w:t>
            </w:r>
          </w:p>
        </w:tc>
        <w:tc>
          <w:tcPr>
            <w:tcW w:type="dxa" w:w="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0,834</w:t>
            </w:r>
          </w:p>
        </w:tc>
        <w:tc>
          <w:tcPr>
            <w:tcW w:type="dxa" w:w="87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0,82</w:t>
            </w:r>
          </w:p>
        </w:tc>
        <w:tc>
          <w:tcPr>
            <w:tcW w:type="dxa" w:w="85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</w:tr>
      <w:tr>
        <w:tblPrEx>
          <w:shd w:val="clear" w:color="auto" w:fill="ced7e7"/>
        </w:tblPrEx>
        <w:trPr>
          <w:trHeight w:val="1210" w:hRule="atLeast"/>
        </w:trPr>
        <w:tc>
          <w:tcPr>
            <w:tcW w:type="dxa" w:w="256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Дисконтированный денежный поток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-410,5</w:t>
            </w:r>
          </w:p>
        </w:tc>
        <w:tc>
          <w:tcPr>
            <w:tcW w:type="dxa" w:w="86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74,6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96,0</w:t>
            </w:r>
          </w:p>
        </w:tc>
        <w:tc>
          <w:tcPr>
            <w:tcW w:type="dxa" w:w="89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94,5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92,9</w:t>
            </w:r>
          </w:p>
        </w:tc>
        <w:tc>
          <w:tcPr>
            <w:tcW w:type="dxa" w:w="87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91,4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89,9</w:t>
            </w:r>
          </w:p>
        </w:tc>
        <w:tc>
          <w:tcPr>
            <w:tcW w:type="dxa" w:w="95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88,4</w:t>
            </w:r>
          </w:p>
        </w:tc>
        <w:tc>
          <w:tcPr>
            <w:tcW w:type="dxa" w:w="94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107,5</w:t>
            </w:r>
          </w:p>
        </w:tc>
        <w:tc>
          <w:tcPr>
            <w:tcW w:type="dxa" w:w="83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105,7</w:t>
            </w:r>
          </w:p>
        </w:tc>
        <w:tc>
          <w:tcPr>
            <w:tcW w:type="dxa" w:w="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104,0</w:t>
            </w:r>
          </w:p>
        </w:tc>
        <w:tc>
          <w:tcPr>
            <w:tcW w:type="dxa" w:w="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102,3</w:t>
            </w:r>
          </w:p>
        </w:tc>
        <w:tc>
          <w:tcPr>
            <w:tcW w:type="dxa" w:w="87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100,6</w:t>
            </w:r>
          </w:p>
        </w:tc>
        <w:tc>
          <w:tcPr>
            <w:tcW w:type="dxa" w:w="85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737,2</w:t>
            </w:r>
          </w:p>
        </w:tc>
      </w:tr>
      <w:tr>
        <w:tblPrEx>
          <w:shd w:val="clear" w:color="auto" w:fill="ced7e7"/>
        </w:tblPrEx>
        <w:trPr>
          <w:trHeight w:val="1810" w:hRule="atLeast"/>
        </w:trPr>
        <w:tc>
          <w:tcPr>
            <w:tcW w:type="dxa" w:w="2567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Дисконтированный денежный поток нарастающим итогом</w:t>
            </w:r>
          </w:p>
        </w:tc>
        <w:tc>
          <w:tcPr>
            <w:tcW w:type="dxa" w:w="9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-410,5</w:t>
            </w:r>
          </w:p>
        </w:tc>
        <w:tc>
          <w:tcPr>
            <w:tcW w:type="dxa" w:w="86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-335,9</w:t>
            </w:r>
          </w:p>
        </w:tc>
        <w:tc>
          <w:tcPr>
            <w:tcW w:type="dxa" w:w="9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-239,9</w:t>
            </w:r>
          </w:p>
        </w:tc>
        <w:tc>
          <w:tcPr>
            <w:tcW w:type="dxa" w:w="892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-145,4</w:t>
            </w:r>
          </w:p>
        </w:tc>
        <w:tc>
          <w:tcPr>
            <w:tcW w:type="dxa" w:w="8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-52,5</w:t>
            </w:r>
          </w:p>
        </w:tc>
        <w:tc>
          <w:tcPr>
            <w:tcW w:type="dxa" w:w="87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38,9</w:t>
            </w:r>
          </w:p>
        </w:tc>
        <w:tc>
          <w:tcPr>
            <w:tcW w:type="dxa" w:w="90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128,8</w:t>
            </w:r>
          </w:p>
        </w:tc>
        <w:tc>
          <w:tcPr>
            <w:tcW w:type="dxa" w:w="95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217,2</w:t>
            </w:r>
          </w:p>
        </w:tc>
        <w:tc>
          <w:tcPr>
            <w:tcW w:type="dxa" w:w="94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324,7</w:t>
            </w:r>
          </w:p>
        </w:tc>
        <w:tc>
          <w:tcPr>
            <w:tcW w:type="dxa" w:w="83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430,4</w:t>
            </w:r>
          </w:p>
        </w:tc>
        <w:tc>
          <w:tcPr>
            <w:tcW w:type="dxa" w:w="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534,3</w:t>
            </w:r>
          </w:p>
        </w:tc>
        <w:tc>
          <w:tcPr>
            <w:tcW w:type="dxa" w:w="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636,6</w:t>
            </w:r>
          </w:p>
        </w:tc>
        <w:tc>
          <w:tcPr>
            <w:tcW w:type="dxa" w:w="87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737,2</w:t>
            </w:r>
          </w:p>
        </w:tc>
        <w:tc>
          <w:tcPr>
            <w:tcW w:type="dxa" w:w="851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360" w:lineRule="auto"/>
              <w:jc w:val="right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</w:t>
            </w:r>
          </w:p>
        </w:tc>
      </w:tr>
    </w:tbl>
    <w:p>
      <w:pPr>
        <w:pStyle w:val="Normal.0"/>
        <w:widowControl w:val="0"/>
        <w:spacing w:after="0" w:line="240" w:lineRule="auto"/>
        <w:ind w:left="93" w:hanging="93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sectPr>
          <w:headerReference w:type="default" r:id="rId19"/>
          <w:headerReference w:type="first" r:id="rId20"/>
          <w:pgSz w:w="11900" w:h="16840" w:orient="portrait"/>
          <w:pgMar w:top="851" w:right="1134" w:bottom="1701" w:left="1134" w:header="708" w:footer="708"/>
          <w:pgNumType w:start="29"/>
          <w:titlePg w:val="1"/>
          <w:bidi w:val="0"/>
        </w:sect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Из таблицы видно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что проект по созданию цеха в течение анализируемого  периода формирует денежную массу в сумме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874,2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а с учетом дисконтирования –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737,2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Таким образом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чистая приведенная стоимость проекта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(NPV)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составляет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737,4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NPV&gt;0,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следовательно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проект эффективен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Рассчитаем индекс доходности для проекта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cs="Times New Roman" w:hAnsi="Times New Roman" w:eastAsia="Times New Roman"/>
          <w:sz w:val="28"/>
          <w:szCs w:val="28"/>
        </w:rPr>
        <w:drawing>
          <wp:inline distT="0" distB="0" distL="0" distR="0">
            <wp:extent cx="1266825" cy="419100"/>
            <wp:effectExtent l="0" t="0" r="0" b="0"/>
            <wp:docPr id="1073741848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8" name="image2.pdf"/>
                    <pic:cNvPicPr>
                      <a:picLocks noChangeAspect="1"/>
                    </pic:cNvPicPr>
                  </pic:nvPicPr>
                  <pic:blipFill>
                    <a:blip r:embed="rId21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4191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PI=2,8&gt;1,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следовательно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проект эффективен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Для расчета внутренней нормы доходности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(IRR),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воспользуемся вспомогательной таблицей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2.9.</w:t>
      </w:r>
    </w:p>
    <w:p>
      <w:pPr>
        <w:pStyle w:val="Normal.0"/>
        <w:spacing w:after="0" w:line="360" w:lineRule="auto"/>
        <w:ind w:firstLine="709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Таблица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2.9</w:t>
      </w:r>
    </w:p>
    <w:p>
      <w:pPr>
        <w:pStyle w:val="Normal.0"/>
        <w:spacing w:after="0" w:line="360" w:lineRule="auto"/>
        <w:ind w:firstLine="709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Данные для расчета внутренней нормы доходности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(IRR)</w:t>
      </w:r>
    </w:p>
    <w:tbl>
      <w:tblPr>
        <w:tblW w:w="9571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858"/>
        <w:gridCol w:w="4713"/>
      </w:tblGrid>
      <w:tr>
        <w:tblPrEx>
          <w:shd w:val="clear" w:color="auto" w:fill="ced7e7"/>
        </w:tblPrEx>
        <w:trPr>
          <w:trHeight w:val="314" w:hRule="atLeast"/>
        </w:trPr>
        <w:tc>
          <w:tcPr>
            <w:tcW w:type="dxa" w:w="4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Значение ставки дисконта</w:t>
            </w:r>
          </w:p>
        </w:tc>
        <w:tc>
          <w:tcPr>
            <w:tcW w:type="dxa" w:w="471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 xml:space="preserve">NPV, 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4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20%</w:t>
            </w:r>
          </w:p>
        </w:tc>
        <w:tc>
          <w:tcPr>
            <w:tcW w:type="dxa" w:w="471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737,2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4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40%</w:t>
            </w:r>
          </w:p>
        </w:tc>
        <w:tc>
          <w:tcPr>
            <w:tcW w:type="dxa" w:w="471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619,9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4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80%</w:t>
            </w:r>
          </w:p>
        </w:tc>
        <w:tc>
          <w:tcPr>
            <w:tcW w:type="dxa" w:w="471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431,8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4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200%</w:t>
            </w:r>
          </w:p>
        </w:tc>
        <w:tc>
          <w:tcPr>
            <w:tcW w:type="dxa" w:w="471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97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4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261,00%</w:t>
            </w:r>
          </w:p>
        </w:tc>
        <w:tc>
          <w:tcPr>
            <w:tcW w:type="dxa" w:w="471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0,6</w:t>
            </w:r>
          </w:p>
        </w:tc>
      </w:tr>
      <w:tr>
        <w:tblPrEx>
          <w:shd w:val="clear" w:color="auto" w:fill="ced7e7"/>
        </w:tblPrEx>
        <w:trPr>
          <w:trHeight w:val="310" w:hRule="atLeast"/>
        </w:trPr>
        <w:tc>
          <w:tcPr>
            <w:tcW w:type="dxa" w:w="4858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262,00%</w:t>
            </w:r>
          </w:p>
        </w:tc>
        <w:tc>
          <w:tcPr>
            <w:tcW w:type="dxa" w:w="4713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-0,7</w:t>
            </w:r>
          </w:p>
        </w:tc>
      </w:tr>
    </w:tbl>
    <w:p>
      <w:pPr>
        <w:pStyle w:val="Normal.0"/>
        <w:widowControl w:val="0"/>
        <w:spacing w:after="0" w:line="240" w:lineRule="auto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Внутренняя норма доходности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(IRR)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по проекту составляет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261.5%,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что является хорошим показателем при ставке дисконтирования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20%.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Срок окупаемости проекта – это период после которого проект начинает формировать положительную денежную массу накопленным итогом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как с учетом дисконтирования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так и без него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Без учета дисконтирования срок окупаемости проекта составляет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6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месяцев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Срок окупаемости проекта с учетом дисконтирования наступает в апреле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2018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года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Сводная таблица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2.10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показателей эффективности проекта представлена ниже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Таблица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2.10</w:t>
      </w:r>
    </w:p>
    <w:p>
      <w:pPr>
        <w:pStyle w:val="Normal.0"/>
        <w:spacing w:after="0" w:line="360" w:lineRule="auto"/>
        <w:ind w:firstLine="709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Показатели эффективности проекта</w:t>
      </w:r>
    </w:p>
    <w:tbl>
      <w:tblPr>
        <w:tblW w:w="9354" w:type="dxa"/>
        <w:jc w:val="center"/>
        <w:tblInd w:w="201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701"/>
        <w:gridCol w:w="3527"/>
        <w:gridCol w:w="2126"/>
      </w:tblGrid>
      <w:tr>
        <w:tblPrEx>
          <w:shd w:val="clear" w:color="auto" w:fill="4f81bd"/>
        </w:tblPrEx>
        <w:trPr>
          <w:trHeight w:val="304" w:hRule="atLeast"/>
          <w:tblHeader/>
        </w:trPr>
        <w:tc>
          <w:tcPr>
            <w:tcW w:type="dxa" w:w="3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Наименование</w:t>
            </w:r>
          </w:p>
        </w:tc>
        <w:tc>
          <w:tcPr>
            <w:tcW w:type="dxa" w:w="35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Значение</w:t>
            </w:r>
          </w:p>
        </w:tc>
        <w:tc>
          <w:tcPr>
            <w:tcW w:type="dxa" w:w="2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after="0" w:line="240" w:lineRule="auto"/>
              <w:jc w:val="center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Ед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изм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3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NPV</w:t>
            </w:r>
          </w:p>
        </w:tc>
        <w:tc>
          <w:tcPr>
            <w:tcW w:type="dxa" w:w="35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737,2</w:t>
            </w:r>
          </w:p>
        </w:tc>
        <w:tc>
          <w:tcPr>
            <w:tcW w:type="dxa" w:w="2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3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IP</w:t>
            </w:r>
          </w:p>
        </w:tc>
        <w:tc>
          <w:tcPr>
            <w:tcW w:type="dxa" w:w="35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2,8</w:t>
            </w:r>
          </w:p>
        </w:tc>
        <w:tc>
          <w:tcPr>
            <w:tcW w:type="dxa" w:w="2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 единиц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3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PP</w:t>
            </w:r>
          </w:p>
        </w:tc>
        <w:tc>
          <w:tcPr>
            <w:tcW w:type="dxa" w:w="35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</w:t>
            </w:r>
          </w:p>
        </w:tc>
        <w:tc>
          <w:tcPr>
            <w:tcW w:type="dxa" w:w="2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мес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3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DPP</w:t>
            </w:r>
          </w:p>
        </w:tc>
        <w:tc>
          <w:tcPr>
            <w:tcW w:type="dxa" w:w="35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6</w:t>
            </w:r>
          </w:p>
        </w:tc>
        <w:tc>
          <w:tcPr>
            <w:tcW w:type="dxa" w:w="2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мес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3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IRR</w:t>
            </w:r>
          </w:p>
        </w:tc>
        <w:tc>
          <w:tcPr>
            <w:tcW w:type="dxa" w:w="35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261,5</w:t>
            </w:r>
          </w:p>
        </w:tc>
        <w:tc>
          <w:tcPr>
            <w:tcW w:type="dxa" w:w="2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%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3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Инвестиции</w:t>
            </w:r>
          </w:p>
        </w:tc>
        <w:tc>
          <w:tcPr>
            <w:tcW w:type="dxa" w:w="35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410,5</w:t>
            </w:r>
          </w:p>
        </w:tc>
        <w:tc>
          <w:tcPr>
            <w:tcW w:type="dxa" w:w="2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3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Годовая чистая прибыль</w:t>
            </w:r>
          </w:p>
        </w:tc>
        <w:tc>
          <w:tcPr>
            <w:tcW w:type="dxa" w:w="35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874,2</w:t>
            </w:r>
          </w:p>
        </w:tc>
        <w:tc>
          <w:tcPr>
            <w:tcW w:type="dxa" w:w="2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тыс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руб</w:t>
            </w: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.</w:t>
            </w:r>
          </w:p>
        </w:tc>
      </w:tr>
      <w:tr>
        <w:tblPrEx>
          <w:shd w:val="clear" w:color="auto" w:fill="ced7e7"/>
        </w:tblPrEx>
        <w:trPr>
          <w:trHeight w:val="300" w:hRule="atLeast"/>
        </w:trPr>
        <w:tc>
          <w:tcPr>
            <w:tcW w:type="dxa" w:w="370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Рентабельность продаж</w:t>
            </w:r>
          </w:p>
        </w:tc>
        <w:tc>
          <w:tcPr>
            <w:tcW w:type="dxa" w:w="352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right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27,3</w:t>
            </w:r>
          </w:p>
        </w:tc>
        <w:tc>
          <w:tcPr>
            <w:tcW w:type="dxa" w:w="212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bottom"/>
          </w:tcPr>
          <w:p>
            <w:pPr>
              <w:pStyle w:val="Normal.0"/>
              <w:spacing w:after="0" w:line="240" w:lineRule="auto"/>
              <w:jc w:val="both"/>
            </w:pPr>
            <w:r>
              <w:rPr>
                <w:rStyle w:val="Нет"/>
                <w:rFonts w:ascii="Times New Roman" w:hAns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vertAlign w:val="baseline"/>
                <w:rtl w:val="0"/>
                <w:lang w:val="ru-RU"/>
              </w:rPr>
              <w:t>%</w:t>
            </w:r>
          </w:p>
        </w:tc>
      </w:tr>
    </w:tbl>
    <w:p>
      <w:pPr>
        <w:pStyle w:val="Normal.0"/>
        <w:widowControl w:val="0"/>
        <w:spacing w:after="0" w:line="240" w:lineRule="auto"/>
        <w:ind w:left="93" w:hanging="93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Полученные значения показателей эффективности проекта характеризуют его как рентабельный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heading 3"/>
        <w:ind w:firstLine="709"/>
        <w:rPr>
          <w:rStyle w:val="Нет"/>
          <w:color w:val="000000"/>
          <w:u w:color="000000"/>
        </w:rPr>
      </w:pPr>
      <w:bookmarkStart w:name="_Toc14" w:id="14"/>
      <w:r>
        <w:rPr>
          <w:rStyle w:val="Нет"/>
          <w:color w:val="000000"/>
          <w:u w:color="000000"/>
          <w:rtl w:val="0"/>
          <w:lang w:val="ru-RU"/>
        </w:rPr>
        <w:t xml:space="preserve">2.9. </w:t>
      </w:r>
      <w:r>
        <w:rPr>
          <w:rStyle w:val="Нет"/>
          <w:color w:val="000000"/>
          <w:u w:color="000000"/>
          <w:rtl w:val="0"/>
          <w:lang w:val="ru-RU"/>
        </w:rPr>
        <w:t>Риски проекта</w:t>
      </w:r>
      <w:bookmarkEnd w:id="14"/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Реализация любого проекта сопряжена с рисками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Риск трудно нейтрализовать полностью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но им можно руководить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Его нужно предварительно оценивать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планировать мероприятия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которые должны снизить достоверность нежелательных событий при реализации инвестиционного проекта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Поэтому важной составляющей является классификация факторов риска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Существует два типа факторов риска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: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внутренние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;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внешние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Внешние факторы след охватывают условия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которые инвестор и его менеджеры не в состоянии изменить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но должны их прогнозировать и учитывать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потому что они существенно влияют на состояние проекта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Внутренние риски связаны прежде всего с возможными ошибками в планировании и организации проекта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 выборе стратегии развития проекта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 организации управления проектом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 использовании ресурсов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 качестве продукта проекта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Риск увеличения стоимости инвестиционного проекта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может быть обусловлен как риском невыполнения обязательств поставщиками и подрядчиками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так и ошибками в проектировании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 оценке потребности в оборотном капитале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 также ростом цен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налогов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пошлин и прочих условий контракта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нестабильностью окружения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Минимизация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включение в бюджет проекта непредвиденных затрат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формирование резервов для финансирования роста потребности в оборотном капитале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Достаточно распространенным средством представляется страхование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 основе которого лежит распределение размера расходов между всеми участниками страхования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Необходима также подготовка и сертификация специалистов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Подготовка высококвалифицированных специалистов в разных отраслях экономики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которые владели бы не только экономико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математическими методами анализа экономики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но и экспертными системами оценивания риска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умели синтезировать всю доступную информацию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 также использовали бы системные методы анализа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Получение более полной информации относительно объекта выбора и результаты деятельности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прозрачность работы институтов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является методом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который уменьшает результат действия непредвиденных обстоятельств через информационный фактор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</w:pPr>
      <w:r>
        <w:rPr>
          <w:rStyle w:val="Нет"/>
          <w:rFonts w:ascii="Cambria" w:cs="Cambria" w:hAnsi="Cambria" w:eastAsia="Cambria"/>
          <w:b w:val="1"/>
          <w:bCs w:val="1"/>
          <w:sz w:val="28"/>
          <w:szCs w:val="28"/>
        </w:rPr>
        <w:br w:type="page"/>
      </w:r>
    </w:p>
    <w:p>
      <w:pPr>
        <w:pStyle w:val="heading 1"/>
        <w:jc w:val="center"/>
        <w:rPr>
          <w:rStyle w:val="Нет"/>
          <w:caps w:val="1"/>
          <w:color w:val="000000"/>
          <w:u w:color="000000"/>
        </w:rPr>
      </w:pPr>
      <w:bookmarkStart w:name="_Toc15" w:id="15"/>
      <w:r>
        <w:rPr>
          <w:rStyle w:val="Нет"/>
          <w:caps w:val="1"/>
          <w:color w:val="000000"/>
          <w:u w:color="000000"/>
          <w:rtl w:val="0"/>
          <w:lang w:val="ru-RU"/>
        </w:rPr>
        <w:t>Заключение</w:t>
      </w:r>
      <w:bookmarkEnd w:id="15"/>
    </w:p>
    <w:p>
      <w:pPr>
        <w:pStyle w:val="Normal.0"/>
      </w:pP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 по своей сути предполагает последовательное изложение аргументов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призванных убедить инвестора в прибыльности и эффективности предлагаемого проекта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 чаще всего разрабатывается с целью обоснования выпуска новой продукции или улучшения существующей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внедрения инноваций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реорганизации предприятия и т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д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shd w:val="clear" w:color="auto" w:fill="ffffff"/>
        <w:suppressAutoHyphens w:val="1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</w:rPr>
      </w:pP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В процессе разработки бизнес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color w:val="000000"/>
          <w:sz w:val="28"/>
          <w:szCs w:val="28"/>
          <w:u w:color="000000"/>
          <w:rtl w:val="0"/>
          <w:lang w:val="ru-RU"/>
        </w:rPr>
        <w:t>плана раскрыты все существенные моменты по организации и финансированию нового бизнеса</w:t>
      </w:r>
      <w:r>
        <w:rPr>
          <w:rStyle w:val="Нет"/>
          <w:rFonts w:ascii="Times New Roman" w:hAnsi="Times New Roman"/>
          <w:color w:val="000000"/>
          <w:sz w:val="28"/>
          <w:szCs w:val="28"/>
          <w:u w:color="000000"/>
          <w:rtl w:val="0"/>
          <w:lang w:val="ru-RU"/>
        </w:rPr>
        <w:t>.</w:t>
      </w:r>
    </w:p>
    <w:p>
      <w:pPr>
        <w:pStyle w:val="Normal.0"/>
        <w:widowControl w:val="0"/>
        <w:shd w:val="clear" w:color="auto" w:fill="ffffff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Численность работников по итогам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2016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года составила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68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человек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Анализ деятельности ООО «Перспектива» показал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что в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2016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году предприятие получило высокий финансовый результат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рентабельность продаж составила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31%. 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2016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году были произведены инвестиции в основные фонды за счет полученной прибыли и привлечения краткосрочного кредита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 настоящее время для ООО «Перспектива» является актуальным разработка бизнес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плана развития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Для развития ООО «Перспектива» выбрано направление –создание структурного подразделения по пошиву сумок по собственным эскизам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Финансирование проекта будет осуществляться путем внесения собственных средств ООО «Перспектива» в размере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410,5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 течение первого года работы ателье выручка составит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11151,4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чистая прибыль проекта за первый год работы –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1284,7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по созданию цеха в течение анализируемого  периода формирует денежную массу в сумме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874,2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а с учетом дисконтирования –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737,2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Чистая приведенная стоимость проекта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(NPV)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составляет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737,4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тыс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руб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NPV&gt;0,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следовательно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проект эффективен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Индекс доходности для проекта равен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2,8&gt;1,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следовательно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проект эффективен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Внутренняя норма доходности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(IRR)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по проекту составляет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261.5%,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что является хорошим показателем при ставке дисконтирования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20%.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Полученные значения показателей эффективности проекта характеризуют его как рентабельный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</w:pPr>
      <w:r>
        <w:rPr>
          <w:rStyle w:val="Нет"/>
          <w:rFonts w:ascii="Cambria" w:cs="Cambria" w:hAnsi="Cambria" w:eastAsia="Cambria"/>
          <w:b w:val="1"/>
          <w:bCs w:val="1"/>
          <w:sz w:val="28"/>
          <w:szCs w:val="28"/>
        </w:rPr>
        <w:br w:type="page"/>
      </w:r>
    </w:p>
    <w:p>
      <w:pPr>
        <w:pStyle w:val="heading 1"/>
        <w:jc w:val="center"/>
        <w:rPr>
          <w:rStyle w:val="Нет"/>
          <w:caps w:val="1"/>
          <w:color w:val="000000"/>
          <w:u w:color="000000"/>
        </w:rPr>
      </w:pPr>
      <w:bookmarkStart w:name="_Toc16" w:id="16"/>
      <w:r>
        <w:rPr>
          <w:rStyle w:val="Нет"/>
          <w:caps w:val="1"/>
          <w:color w:val="000000"/>
          <w:u w:color="000000"/>
          <w:rtl w:val="0"/>
          <w:lang w:val="ru-RU"/>
        </w:rPr>
        <w:t>Список использованной литературы</w:t>
      </w:r>
      <w:bookmarkEnd w:id="16"/>
    </w:p>
    <w:p>
      <w:pPr>
        <w:pStyle w:val="Normal.0"/>
        <w:spacing w:after="0" w:line="360" w:lineRule="auto"/>
        <w:ind w:firstLine="709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  <w:numPr>
          <w:ilvl w:val="0"/>
          <w:numId w:val="6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Гражданский кодекс Российской Федерации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часть первая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30.11.1994 N 51-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ФЗ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ред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28.03.2017)</w:t>
      </w:r>
    </w:p>
    <w:p>
      <w:pPr>
        <w:pStyle w:val="Normal.0"/>
        <w:numPr>
          <w:ilvl w:val="0"/>
          <w:numId w:val="6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Налоговый кодекс Российской Федерации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часть вторая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)"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05.08.2000 N 117-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ФЗ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ред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03.04.2017)(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 изм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 доп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вступ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 силу с </w:t>
      </w:r>
      <w:r>
        <w:rPr>
          <w:rFonts w:ascii="Times New Roman" w:hAnsi="Times New Roman"/>
          <w:sz w:val="28"/>
          <w:szCs w:val="28"/>
          <w:rtl w:val="0"/>
          <w:lang w:val="ru-RU"/>
        </w:rPr>
        <w:t>07.04.2017)</w:t>
      </w:r>
    </w:p>
    <w:p>
      <w:pPr>
        <w:pStyle w:val="Normal.0"/>
        <w:numPr>
          <w:ilvl w:val="0"/>
          <w:numId w:val="6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Федеральный закон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08.02.1998 N 14-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ФЗ </w:t>
      </w:r>
      <w:r>
        <w:rPr>
          <w:rFonts w:ascii="Times New Roman" w:hAnsi="Times New Roman"/>
          <w:sz w:val="28"/>
          <w:szCs w:val="28"/>
          <w:rtl w:val="0"/>
          <w:lang w:val="ru-RU"/>
        </w:rPr>
        <w:t>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ред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03.07.2016)"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Об обществах с ограниченной ответственностью</w:t>
      </w:r>
      <w:r>
        <w:rPr>
          <w:rFonts w:ascii="Times New Roman" w:hAnsi="Times New Roman"/>
          <w:sz w:val="28"/>
          <w:szCs w:val="28"/>
          <w:rtl w:val="0"/>
          <w:lang w:val="ru-RU"/>
        </w:rPr>
        <w:t>"(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 изм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 доп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вступ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 силу с </w:t>
      </w:r>
      <w:r>
        <w:rPr>
          <w:rFonts w:ascii="Times New Roman" w:hAnsi="Times New Roman"/>
          <w:sz w:val="28"/>
          <w:szCs w:val="28"/>
          <w:rtl w:val="0"/>
          <w:lang w:val="ru-RU"/>
        </w:rPr>
        <w:t>01.01.2017)</w:t>
      </w:r>
    </w:p>
    <w:p>
      <w:pPr>
        <w:pStyle w:val="Normal.0"/>
        <w:numPr>
          <w:ilvl w:val="0"/>
          <w:numId w:val="6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«Общероссийский классификатор видов экономической деятельности</w:t>
      </w:r>
      <w:r>
        <w:rPr>
          <w:rFonts w:ascii="Times New Roman" w:hAnsi="Times New Roman"/>
          <w:sz w:val="28"/>
          <w:szCs w:val="28"/>
          <w:rtl w:val="0"/>
          <w:lang w:val="ru-RU"/>
        </w:rPr>
        <w:t>" 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утв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Приказом Росстандарта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31.01.2014 N 14-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ст</w:t>
      </w:r>
      <w:r>
        <w:rPr>
          <w:rFonts w:ascii="Times New Roman" w:hAnsi="Times New Roman"/>
          <w:sz w:val="28"/>
          <w:szCs w:val="28"/>
          <w:rtl w:val="0"/>
          <w:lang w:val="ru-RU"/>
        </w:rPr>
        <w:t>)</w:t>
      </w:r>
    </w:p>
    <w:p>
      <w:pPr>
        <w:pStyle w:val="Normal.0"/>
        <w:numPr>
          <w:ilvl w:val="0"/>
          <w:numId w:val="6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Алиев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планирование с использованием программы </w:t>
      </w:r>
      <w:r>
        <w:rPr>
          <w:rFonts w:ascii="Times New Roman" w:hAnsi="Times New Roman"/>
          <w:sz w:val="28"/>
          <w:szCs w:val="28"/>
          <w:rtl w:val="0"/>
          <w:lang w:val="ru-RU"/>
        </w:rPr>
        <w:t>Project Expert 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полный курс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):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Учебное пособие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Алиев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НИЦ ИНФРА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>, 2013. - 352 c.</w:t>
      </w:r>
    </w:p>
    <w:p>
      <w:pPr>
        <w:pStyle w:val="Normal.0"/>
        <w:numPr>
          <w:ilvl w:val="0"/>
          <w:numId w:val="6"/>
        </w:numPr>
        <w:shd w:val="clear" w:color="auto" w:fill="ffffff"/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 </w:t>
      </w:r>
      <w:r>
        <w:rPr>
          <w:rFonts w:ascii="Times New Roman" w:hAnsi="Times New Roman"/>
          <w:sz w:val="28"/>
          <w:szCs w:val="28"/>
          <w:rtl w:val="0"/>
          <w:lang w:val="ru-RU"/>
        </w:rPr>
        <w:t>2-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х частях </w:t>
      </w:r>
      <w:r>
        <w:rPr>
          <w:rFonts w:ascii="Times New Roman" w:hAnsi="Times New Roman"/>
          <w:sz w:val="28"/>
          <w:szCs w:val="28"/>
          <w:rtl w:val="0"/>
          <w:lang w:val="ru-RU"/>
        </w:rPr>
        <w:t>[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Текст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] / 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под общей ред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Попова – 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Финансы и статистика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2012.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344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numPr>
          <w:ilvl w:val="0"/>
          <w:numId w:val="6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Гладкий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Делаем сами на компьютере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Гладкий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Рид Групп</w:t>
      </w:r>
      <w:r>
        <w:rPr>
          <w:rFonts w:ascii="Times New Roman" w:hAnsi="Times New Roman"/>
          <w:sz w:val="28"/>
          <w:szCs w:val="28"/>
          <w:rtl w:val="0"/>
          <w:lang w:val="ru-RU"/>
        </w:rPr>
        <w:t>, 2012. - 240 c.</w:t>
      </w:r>
    </w:p>
    <w:p>
      <w:pPr>
        <w:pStyle w:val="Normal.0"/>
        <w:numPr>
          <w:ilvl w:val="0"/>
          <w:numId w:val="6"/>
        </w:numPr>
        <w:shd w:val="clear" w:color="auto" w:fill="ffffff"/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Горбунов 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планирование с оценкой рисков и эффективности проектов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научно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практическое пособие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Горбунов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− Москва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РИОР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ИНФРА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2013.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−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246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widowControl w:val="0"/>
        <w:numPr>
          <w:ilvl w:val="0"/>
          <w:numId w:val="7"/>
        </w:numPr>
        <w:shd w:val="clear" w:color="auto" w:fill="ffffff"/>
        <w:bidi w:val="0"/>
        <w:spacing w:after="0" w:line="336" w:lineRule="auto"/>
        <w:ind w:right="50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Досужева 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Е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Кириллов Ю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Основные принципы реализации инвестиционного проекта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//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Интернет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журнал «НАУКОВЕДЕНИЕ»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2014.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–№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1. [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Электронный ресурс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].URL: </w:t>
      </w:r>
      <w:r>
        <w:rPr>
          <w:rStyle w:val="Hyperlink.1"/>
          <w:rFonts w:ascii="Times New Roman" w:cs="Times New Roman" w:hAnsi="Times New Roman" w:eastAsia="Times New Roman"/>
          <w:sz w:val="28"/>
          <w:szCs w:val="28"/>
        </w:rPr>
        <w:fldChar w:fldCharType="begin" w:fldLock="0"/>
      </w:r>
      <w:r>
        <w:rPr>
          <w:rStyle w:val="Hyperlink.1"/>
          <w:rFonts w:ascii="Times New Roman" w:cs="Times New Roman" w:hAnsi="Times New Roman" w:eastAsia="Times New Roman"/>
          <w:sz w:val="28"/>
          <w:szCs w:val="28"/>
        </w:rPr>
        <w:instrText xml:space="preserve"> HYPERLINK "http://publ.naukovedenie.ru"</w:instrText>
      </w:r>
      <w:r>
        <w:rPr>
          <w:rStyle w:val="Hyperlink.1"/>
          <w:rFonts w:ascii="Times New Roman" w:cs="Times New Roman" w:hAnsi="Times New Roman" w:eastAsia="Times New Roman"/>
          <w:sz w:val="28"/>
          <w:szCs w:val="28"/>
        </w:rPr>
        <w:fldChar w:fldCharType="separate" w:fldLock="0"/>
      </w:r>
      <w:r>
        <w:rPr>
          <w:rStyle w:val="Hyperlink.1"/>
          <w:rFonts w:ascii="Times New Roman" w:hAnsi="Times New Roman"/>
          <w:sz w:val="28"/>
          <w:szCs w:val="28"/>
          <w:rtl w:val="0"/>
          <w:lang w:val="ru-RU"/>
        </w:rPr>
        <w:t>http://publ.naukovedenie.ru</w:t>
      </w:r>
      <w:r>
        <w:rPr>
          <w:rFonts w:ascii="Times New Roman" w:cs="Times New Roman" w:hAnsi="Times New Roman" w:eastAsia="Times New Roman"/>
          <w:sz w:val="24"/>
          <w:szCs w:val="24"/>
        </w:rPr>
        <w:fldChar w:fldCharType="end" w:fldLock="0"/>
      </w:r>
      <w:r>
        <w:rPr>
          <w:rStyle w:val="Hyperlink.1"/>
          <w:rFonts w:ascii="Times New Roman" w:hAnsi="Times New Roman"/>
          <w:sz w:val="28"/>
          <w:szCs w:val="28"/>
          <w:rtl w:val="0"/>
          <w:lang w:val="ru-RU"/>
        </w:rPr>
        <w:t xml:space="preserve"> (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дата обращения</w:t>
      </w:r>
      <w:r>
        <w:rPr>
          <w:rStyle w:val="Hyperlink.1"/>
          <w:rFonts w:ascii="Times New Roman" w:hAnsi="Times New Roman"/>
          <w:sz w:val="28"/>
          <w:szCs w:val="28"/>
          <w:rtl w:val="0"/>
          <w:lang w:val="ru-RU"/>
        </w:rPr>
        <w:t>: 25.04.2017).</w:t>
      </w:r>
    </w:p>
    <w:p>
      <w:pPr>
        <w:pStyle w:val="Normal.0"/>
        <w:numPr>
          <w:ilvl w:val="0"/>
          <w:numId w:val="6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Дронова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Экономика и управление инвестиционной деятельностью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Учебное пособие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Дронова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— Хабаровск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ХГАЭП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2013.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—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126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numPr>
          <w:ilvl w:val="0"/>
          <w:numId w:val="6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Ефимова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Выбор ставки дисконтирования при оценке эффективности инвестиционных проектов промышленных предприятий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//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Известия Тульского государственного университета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Экономические и юридические науки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2011.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– №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1-1.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– С</w:t>
      </w:r>
      <w:r>
        <w:rPr>
          <w:rFonts w:ascii="Times New Roman" w:hAnsi="Times New Roman"/>
          <w:sz w:val="28"/>
          <w:szCs w:val="28"/>
          <w:rtl w:val="0"/>
          <w:lang w:val="ru-RU"/>
        </w:rPr>
        <w:t>. 161-165.</w:t>
      </w:r>
    </w:p>
    <w:p>
      <w:pPr>
        <w:pStyle w:val="Normal.0"/>
        <w:numPr>
          <w:ilvl w:val="0"/>
          <w:numId w:val="6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Кистерева 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/>
          <w:b w:val="1"/>
          <w:bCs w:val="1"/>
          <w:sz w:val="28"/>
          <w:szCs w:val="28"/>
          <w:rtl w:val="0"/>
          <w:lang w:val="ru-RU"/>
        </w:rPr>
        <w:t xml:space="preserve">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планирование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формируем балансовый отчет в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Excel //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Планово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экономический отдел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2011.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– №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12.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– С</w:t>
      </w:r>
      <w:r>
        <w:rPr>
          <w:rFonts w:ascii="Times New Roman" w:hAnsi="Times New Roman"/>
          <w:sz w:val="28"/>
          <w:szCs w:val="28"/>
          <w:rtl w:val="0"/>
          <w:lang w:val="ru-RU"/>
        </w:rPr>
        <w:t>. 41-43.</w:t>
      </w:r>
    </w:p>
    <w:p>
      <w:pPr>
        <w:pStyle w:val="Normal.0"/>
        <w:numPr>
          <w:ilvl w:val="0"/>
          <w:numId w:val="6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Ковалев 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Методы оценки инвестиционных проектов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Ковалев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— 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Финансы и статистика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2012.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760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numPr>
          <w:ilvl w:val="0"/>
          <w:numId w:val="6"/>
        </w:numPr>
        <w:shd w:val="clear" w:color="auto" w:fill="ffffff"/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Лумпов 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Лумпов 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планирование инвестиционных проектов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Лумпов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Лумпов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– 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Флинта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2012.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166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numPr>
          <w:ilvl w:val="0"/>
          <w:numId w:val="6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Орлова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Методика составления и анализ типовых ошибок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Орлова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Омега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Л</w:t>
      </w:r>
      <w:r>
        <w:rPr>
          <w:rFonts w:ascii="Times New Roman" w:hAnsi="Times New Roman"/>
          <w:sz w:val="28"/>
          <w:szCs w:val="28"/>
          <w:rtl w:val="0"/>
          <w:lang w:val="ru-RU"/>
        </w:rPr>
        <w:t>, 2013. - 168 c.</w:t>
      </w:r>
    </w:p>
    <w:p>
      <w:pPr>
        <w:pStyle w:val="Normal.0"/>
        <w:numPr>
          <w:ilvl w:val="0"/>
          <w:numId w:val="6"/>
        </w:numPr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Орлова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основные проблемы и ошибки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возникающие при его написании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Е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Орлова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>2-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е изд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испр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 доп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– Омега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Л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2012.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152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numPr>
          <w:ilvl w:val="0"/>
          <w:numId w:val="6"/>
        </w:numPr>
        <w:shd w:val="clear" w:color="auto" w:fill="ffffff"/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Савкина Р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Планирование на предприятии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учебник для студентов высших учебных заведений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обучающихся по направлению «Экономика»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/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Р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Савкина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− Москва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Дашков и Кº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2013.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−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321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numPr>
          <w:ilvl w:val="0"/>
          <w:numId w:val="6"/>
        </w:numPr>
        <w:shd w:val="clear" w:color="auto" w:fill="ffffff"/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Сергеев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Экономические основы бизнес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планирования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. [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Текст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] / 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Сергеев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-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.: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ЮНИТИ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2015.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>541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Normal.0"/>
        <w:numPr>
          <w:ilvl w:val="0"/>
          <w:numId w:val="6"/>
        </w:numPr>
        <w:shd w:val="clear" w:color="auto" w:fill="ffffff"/>
        <w:bidi w:val="0"/>
        <w:spacing w:after="0" w:line="360" w:lineRule="auto"/>
        <w:ind w:right="0"/>
        <w:jc w:val="both"/>
        <w:rPr>
          <w:rFonts w:ascii="Times New Roman" w:hAnsi="Times New Roman" w:hint="default"/>
          <w:sz w:val="28"/>
          <w:szCs w:val="28"/>
          <w:rtl w:val="0"/>
          <w:lang w:val="ru-RU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Серебрякова 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Мясников Д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.,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Журухин Г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планирование в проектировании инвестиционного развития современные инструментарии и возможности бизнес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планирования</w:t>
      </w:r>
      <w:r>
        <w:rPr>
          <w:rFonts w:ascii="Times New Roman" w:hAnsi="Times New Roman"/>
          <w:sz w:val="28"/>
          <w:szCs w:val="28"/>
          <w:rtl w:val="0"/>
          <w:lang w:val="ru-RU"/>
        </w:rPr>
        <w:t>//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»Экономика и социум» №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1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–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2014 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</w:p>
    <w:p>
      <w:pPr>
        <w:pStyle w:val="Normal.0"/>
        <w:spacing w:after="0" w:line="360" w:lineRule="auto"/>
        <w:ind w:firstLine="851"/>
        <w:jc w:val="both"/>
        <w:rPr>
          <w:rStyle w:val="Нет"/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Normal.0"/>
      </w:pPr>
      <w:r>
        <w:rPr>
          <w:rStyle w:val="Нет"/>
          <w:rFonts w:ascii="Arial Unicode MS" w:cs="Arial Unicode MS" w:hAnsi="Arial Unicode MS" w:eastAsia="Arial Unicode MS"/>
          <w:b w:val="0"/>
          <w:bCs w:val="0"/>
          <w:i w:val="0"/>
          <w:iCs w:val="0"/>
          <w:sz w:val="28"/>
          <w:szCs w:val="28"/>
        </w:rPr>
        <w:br w:type="page"/>
      </w:r>
    </w:p>
    <w:p>
      <w:pPr>
        <w:pStyle w:val="heading 1"/>
        <w:jc w:val="center"/>
        <w:rPr>
          <w:rStyle w:val="Нет"/>
          <w:caps w:val="1"/>
          <w:color w:val="000000"/>
          <w:u w:color="000000"/>
        </w:rPr>
      </w:pPr>
      <w:bookmarkStart w:name="_Toc17" w:id="17"/>
      <w:r>
        <w:rPr>
          <w:rStyle w:val="Нет"/>
          <w:caps w:val="1"/>
          <w:color w:val="000000"/>
          <w:u w:color="000000"/>
          <w:rtl w:val="0"/>
          <w:lang w:val="ru-RU"/>
        </w:rPr>
        <w:t>Приложения</w:t>
      </w:r>
      <w:bookmarkEnd w:id="17"/>
    </w:p>
    <w:p>
      <w:pPr>
        <w:pStyle w:val="Normal.0"/>
        <w:suppressAutoHyphens w:val="1"/>
        <w:spacing w:after="0" w:line="360" w:lineRule="auto"/>
        <w:ind w:left="709" w:firstLine="0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1</w:t>
      </w:r>
    </w:p>
    <w:p>
      <w:pPr>
        <w:pStyle w:val="Normal.0"/>
        <w:suppressAutoHyphens w:val="1"/>
        <w:spacing w:after="0" w:line="360" w:lineRule="auto"/>
        <w:ind w:left="709" w:firstLine="0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Arial Unicode MS" w:cs="Arial Unicode MS" w:hAnsi="Arial Unicode MS" w:eastAsia="Arial Unicode MS"/>
          <w:b w:val="0"/>
          <w:bCs w:val="0"/>
          <w:i w:val="0"/>
          <w:iCs w:val="0"/>
          <w:sz w:val="28"/>
          <w:szCs w:val="28"/>
        </w:rPr>
        <w:br w:type="textWrapping"/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Бухгалтерская отчетность за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2016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год</w:t>
      </w:r>
    </w:p>
    <w:p>
      <w:pPr>
        <w:pStyle w:val="Normal.0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drawing>
          <wp:inline distT="0" distB="0" distL="0" distR="0">
            <wp:extent cx="5940425" cy="5635229"/>
            <wp:effectExtent l="0" t="0" r="0" b="0"/>
            <wp:docPr id="1073741849" name="officeArt object" descr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49" name="Picture 9" descr="Picture 9"/>
                    <pic:cNvPicPr>
                      <a:picLocks noChangeAspect="1"/>
                    </pic:cNvPicPr>
                  </pic:nvPicPr>
                  <pic:blipFill>
                    <a:blip r:embed="rId22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63522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.0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drawing>
          <wp:inline distT="0" distB="0" distL="0" distR="0">
            <wp:extent cx="5940425" cy="3934850"/>
            <wp:effectExtent l="0" t="0" r="0" b="0"/>
            <wp:docPr id="1073741850" name="officeArt object" descr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50" name="Picture 10" descr="Picture 10"/>
                    <pic:cNvPicPr>
                      <a:picLocks noChangeAspect="1"/>
                    </pic:cNvPicPr>
                  </pic:nvPicPr>
                  <pic:blipFill>
                    <a:blip r:embed="rId23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348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.0"/>
      </w:pPr>
      <w:r>
        <w:rPr>
          <w:rStyle w:val="Нет"/>
          <w:rFonts w:ascii="Arial Unicode MS" w:cs="Arial Unicode MS" w:hAnsi="Arial Unicode MS" w:eastAsia="Arial Unicode MS"/>
          <w:b w:val="0"/>
          <w:bCs w:val="0"/>
          <w:i w:val="0"/>
          <w:iCs w:val="0"/>
          <w:sz w:val="28"/>
          <w:szCs w:val="28"/>
        </w:rPr>
        <w:br w:type="page"/>
      </w:r>
    </w:p>
    <w:p>
      <w:pPr>
        <w:pStyle w:val="Normal.0"/>
        <w:suppressAutoHyphens w:val="1"/>
        <w:spacing w:after="0" w:line="360" w:lineRule="auto"/>
        <w:jc w:val="right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Приложение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 xml:space="preserve">2 </w:t>
      </w:r>
    </w:p>
    <w:p>
      <w:pPr>
        <w:pStyle w:val="Normal.0"/>
        <w:suppressAutoHyphens w:val="1"/>
        <w:spacing w:after="0" w:line="360" w:lineRule="auto"/>
        <w:jc w:val="center"/>
        <w:rPr>
          <w:rStyle w:val="Нет"/>
          <w:rFonts w:ascii="Times New Roman" w:cs="Times New Roman" w:hAnsi="Times New Roman" w:eastAsia="Times New Roman"/>
          <w:sz w:val="28"/>
          <w:szCs w:val="28"/>
        </w:rPr>
      </w:pP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Бухгалтерская отчетность за </w:t>
      </w:r>
      <w:r>
        <w:rPr>
          <w:rStyle w:val="Нет"/>
          <w:rFonts w:ascii="Times New Roman" w:hAnsi="Times New Roman"/>
          <w:sz w:val="28"/>
          <w:szCs w:val="28"/>
          <w:rtl w:val="0"/>
          <w:lang w:val="ru-RU"/>
        </w:rPr>
        <w:t>2015</w:t>
      </w:r>
      <w:r>
        <w:rPr>
          <w:rStyle w:val="Нет"/>
          <w:rFonts w:ascii="Times New Roman" w:hAnsi="Times New Roman" w:hint="default"/>
          <w:sz w:val="28"/>
          <w:szCs w:val="28"/>
          <w:rtl w:val="0"/>
          <w:lang w:val="ru-RU"/>
        </w:rPr>
        <w:t xml:space="preserve"> год</w:t>
      </w:r>
    </w:p>
    <w:p>
      <w:pPr>
        <w:pStyle w:val="Normal.0"/>
        <w:jc w:val="center"/>
      </w:pPr>
      <w:r>
        <w:drawing>
          <wp:inline distT="0" distB="0" distL="0" distR="0">
            <wp:extent cx="5940425" cy="3793152"/>
            <wp:effectExtent l="0" t="0" r="0" b="0"/>
            <wp:docPr id="1073741851" name="officeArt object" descr="Pictu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51" name="Picture 11" descr="Picture 11"/>
                    <pic:cNvPicPr>
                      <a:picLocks noChangeAspect="1"/>
                    </pic:cNvPicPr>
                  </pic:nvPicPr>
                  <pic:blipFill>
                    <a:blip r:embed="rId2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931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sectPr>
      <w:headerReference w:type="default" r:id="rId25"/>
      <w:pgSz w:w="11900" w:h="16840" w:orient="portrait"/>
      <w:pgMar w:top="1134" w:right="850" w:bottom="1134" w:left="1701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alibri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>
        <w:sz w:val="24"/>
        <w:szCs w:val="24"/>
        <w:rtl w:val="0"/>
      </w:rPr>
      <w:fldChar w:fldCharType="begin" w:fldLock="0"/>
    </w:r>
    <w:r>
      <w:rPr>
        <w:sz w:val="24"/>
        <w:szCs w:val="24"/>
        <w:rtl w:val="0"/>
      </w:rPr>
      <w:instrText xml:space="preserve"> PAGE </w:instrText>
    </w:r>
    <w:r>
      <w:rPr>
        <w:sz w:val="24"/>
        <w:szCs w:val="24"/>
        <w:rtl w:val="0"/>
      </w:rPr>
      <w:fldChar w:fldCharType="separate" w:fldLock="0"/>
    </w:r>
    <w:r>
      <w:rPr>
        <w:sz w:val="24"/>
        <w:szCs w:val="24"/>
        <w:rtl w:val="0"/>
      </w:rPr>
      <w:t>26</w:t>
    </w:r>
    <w:r>
      <w:rPr>
        <w:sz w:val="24"/>
        <w:szCs w:val="24"/>
        <w:rtl w:val="0"/>
      </w:rPr>
      <w:fldChar w:fldCharType="end" w:fldLock="0"/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3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center"/>
    </w:pPr>
    <w:r>
      <w:rPr>
        <w:rStyle w:val="Нет"/>
        <w:sz w:val="24"/>
        <w:szCs w:val="24"/>
        <w:rtl w:val="0"/>
      </w:rPr>
      <w:fldChar w:fldCharType="begin" w:fldLock="0"/>
    </w:r>
    <w:r>
      <w:rPr>
        <w:rStyle w:val="Нет"/>
        <w:sz w:val="24"/>
        <w:szCs w:val="24"/>
        <w:rtl w:val="0"/>
      </w:rPr>
      <w:instrText xml:space="preserve"> PAGE </w:instrText>
    </w:r>
    <w:r>
      <w:rPr>
        <w:rStyle w:val="Нет"/>
        <w:sz w:val="24"/>
        <w:szCs w:val="24"/>
        <w:rtl w:val="0"/>
      </w:rPr>
      <w:fldChar w:fldCharType="separate" w:fldLock="0"/>
    </w:r>
    <w:r>
      <w:rPr>
        <w:rStyle w:val="Нет"/>
        <w:sz w:val="24"/>
        <w:szCs w:val="24"/>
        <w:rtl w:val="0"/>
      </w:rPr>
      <w:t>39</w:t>
    </w:r>
    <w:r>
      <w:rPr>
        <w:rStyle w:val="Нет"/>
        <w:sz w:val="24"/>
        <w:szCs w:val="24"/>
        <w:rtl w:val="0"/>
      </w:rPr>
      <w:fldChar w:fldCharType="end" w:fldLock="0"/>
    </w:r>
  </w:p>
</w:ftr>
</file>

<file path=word/footer4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-2">
    <w:p>
      <w:r>
        <w:t/>
      </w:r>
    </w:p>
  </w:footnote>
  <w:footnote w:id="1">
    <w:p>
      <w:pPr>
        <w:pStyle w:val="Normal.0"/>
        <w:shd w:val="clear" w:color="auto" w:fill="ffffff"/>
      </w:pPr>
      <w:r>
        <w:rPr>
          <w:rFonts w:ascii="Times New Roman" w:cs="Times New Roman" w:hAnsi="Times New Roman" w:eastAsia="Times New Roman"/>
          <w:color w:val="000000"/>
          <w:sz w:val="28"/>
          <w:szCs w:val="28"/>
          <w:u w:color="000000"/>
          <w:vertAlign w:val="superscript"/>
        </w:rPr>
        <w:footnoteRef/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Бизнес</w:t>
      </w:r>
      <w:r>
        <w:rPr>
          <w:rFonts w:ascii="Times New Roman" w:hAnsi="Times New Roman"/>
          <w:sz w:val="20"/>
          <w:szCs w:val="20"/>
          <w:rtl w:val="0"/>
          <w:lang w:val="ru-RU"/>
        </w:rPr>
        <w:t>-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план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 xml:space="preserve">в </w:t>
      </w:r>
      <w:r>
        <w:rPr>
          <w:rFonts w:ascii="Times New Roman" w:hAnsi="Times New Roman"/>
          <w:sz w:val="20"/>
          <w:szCs w:val="20"/>
          <w:rtl w:val="0"/>
          <w:lang w:val="ru-RU"/>
        </w:rPr>
        <w:t>2-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 xml:space="preserve">х частях </w:t>
      </w:r>
      <w:r>
        <w:rPr>
          <w:rFonts w:ascii="Times New Roman" w:hAnsi="Times New Roman"/>
          <w:sz w:val="20"/>
          <w:szCs w:val="20"/>
          <w:rtl w:val="0"/>
          <w:lang w:val="ru-RU"/>
        </w:rPr>
        <w:t>[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Текст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] / 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под общей ред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В</w:t>
      </w:r>
      <w:r>
        <w:rPr>
          <w:rFonts w:ascii="Times New Roman" w:hAnsi="Times New Roman"/>
          <w:sz w:val="20"/>
          <w:szCs w:val="20"/>
          <w:rtl w:val="0"/>
          <w:lang w:val="ru-RU"/>
        </w:rPr>
        <w:t>.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М</w:t>
      </w:r>
      <w:r>
        <w:rPr>
          <w:rFonts w:ascii="Times New Roman" w:hAnsi="Times New Roman"/>
          <w:sz w:val="20"/>
          <w:szCs w:val="20"/>
          <w:rtl w:val="0"/>
          <w:lang w:val="ru-RU"/>
        </w:rPr>
        <w:t>.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Попова – М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.: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Финансы и статистика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, 2012.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 xml:space="preserve">– 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344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с</w:t>
      </w:r>
      <w:r>
        <w:rPr>
          <w:rFonts w:ascii="Times New Roman" w:hAnsi="Times New Roman"/>
          <w:sz w:val="20"/>
          <w:szCs w:val="20"/>
          <w:rtl w:val="0"/>
          <w:lang w:val="ru-RU"/>
        </w:rPr>
        <w:t>.</w:t>
      </w:r>
    </w:p>
  </w:footnote>
  <w:footnote w:id="2">
    <w:p>
      <w:pPr>
        <w:pStyle w:val="Normal.0"/>
        <w:shd w:val="clear" w:color="auto" w:fill="ffffff"/>
        <w:tabs>
          <w:tab w:val="left" w:pos="426"/>
        </w:tabs>
        <w:spacing w:after="0" w:line="240" w:lineRule="auto"/>
      </w:pPr>
      <w:r>
        <w:rPr>
          <w:rFonts w:ascii="Times New Roman" w:cs="Times New Roman" w:hAnsi="Times New Roman" w:eastAsia="Times New Roman"/>
          <w:sz w:val="28"/>
          <w:szCs w:val="28"/>
          <w:vertAlign w:val="superscript"/>
        </w:rPr>
        <w:footnoteRef/>
      </w:r>
      <w:r>
        <w:rPr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Савкина Р</w:t>
      </w:r>
      <w:r>
        <w:rPr>
          <w:rFonts w:ascii="Times New Roman" w:hAnsi="Times New Roman"/>
          <w:sz w:val="20"/>
          <w:szCs w:val="20"/>
          <w:rtl w:val="0"/>
          <w:lang w:val="ru-RU"/>
        </w:rPr>
        <w:t>.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В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Планирование на предприятии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учебник для студентов высших учебных заведений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 xml:space="preserve">обучающихся по направлению «Экономика» 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/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Р</w:t>
      </w:r>
      <w:r>
        <w:rPr>
          <w:rFonts w:ascii="Times New Roman" w:hAnsi="Times New Roman"/>
          <w:sz w:val="20"/>
          <w:szCs w:val="20"/>
          <w:rtl w:val="0"/>
          <w:lang w:val="ru-RU"/>
        </w:rPr>
        <w:t>.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В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Савкина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− Москва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Дашков и Кº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, 2013.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 xml:space="preserve">− 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321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с</w:t>
      </w:r>
      <w:r>
        <w:rPr>
          <w:rFonts w:ascii="Times New Roman" w:hAnsi="Times New Roman"/>
          <w:sz w:val="20"/>
          <w:szCs w:val="20"/>
          <w:rtl w:val="0"/>
          <w:lang w:val="ru-RU"/>
        </w:rPr>
        <w:t>.</w:t>
      </w:r>
    </w:p>
  </w:footnote>
  <w:footnote w:id="3">
    <w:p>
      <w:pPr>
        <w:pStyle w:val="Normal.0"/>
        <w:shd w:val="clear" w:color="auto" w:fill="ffffff"/>
        <w:spacing w:after="0" w:line="240" w:lineRule="auto"/>
        <w:jc w:val="both"/>
      </w:pPr>
      <w:r>
        <w:rPr>
          <w:rFonts w:ascii="Times New Roman" w:cs="Times New Roman" w:hAnsi="Times New Roman" w:eastAsia="Times New Roman"/>
          <w:sz w:val="28"/>
          <w:szCs w:val="28"/>
          <w:vertAlign w:val="superscript"/>
        </w:rPr>
        <w:footnoteRef/>
      </w:r>
      <w:r>
        <w:rPr>
          <w:sz w:val="20"/>
          <w:szCs w:val="20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Лумпов А</w:t>
      </w:r>
      <w:r>
        <w:rPr>
          <w:rFonts w:ascii="Times New Roman" w:hAnsi="Times New Roman"/>
          <w:sz w:val="20"/>
          <w:szCs w:val="20"/>
          <w:rtl w:val="0"/>
          <w:lang w:val="ru-RU"/>
        </w:rPr>
        <w:t>.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И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.,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Лумпов А</w:t>
      </w:r>
      <w:r>
        <w:rPr>
          <w:rFonts w:ascii="Times New Roman" w:hAnsi="Times New Roman"/>
          <w:sz w:val="20"/>
          <w:szCs w:val="20"/>
          <w:rtl w:val="0"/>
          <w:lang w:val="ru-RU"/>
        </w:rPr>
        <w:t>.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А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Бизнес</w:t>
      </w:r>
      <w:r>
        <w:rPr>
          <w:rFonts w:ascii="Times New Roman" w:hAnsi="Times New Roman"/>
          <w:sz w:val="20"/>
          <w:szCs w:val="20"/>
          <w:rtl w:val="0"/>
          <w:lang w:val="ru-RU"/>
        </w:rPr>
        <w:t>-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 xml:space="preserve">планирование инвестиционных проектов 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/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А</w:t>
      </w:r>
      <w:r>
        <w:rPr>
          <w:rFonts w:ascii="Times New Roman" w:hAnsi="Times New Roman"/>
          <w:sz w:val="20"/>
          <w:szCs w:val="20"/>
          <w:rtl w:val="0"/>
          <w:lang w:val="ru-RU"/>
        </w:rPr>
        <w:t>.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И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Лумпов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А</w:t>
      </w:r>
      <w:r>
        <w:rPr>
          <w:rFonts w:ascii="Times New Roman" w:hAnsi="Times New Roman"/>
          <w:sz w:val="20"/>
          <w:szCs w:val="20"/>
          <w:rtl w:val="0"/>
          <w:lang w:val="ru-RU"/>
        </w:rPr>
        <w:t>.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А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Лумпов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– М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.: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Флинта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, 2012.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 xml:space="preserve">– 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166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с</w:t>
      </w:r>
      <w:r>
        <w:rPr>
          <w:rFonts w:ascii="Times New Roman" w:hAnsi="Times New Roman"/>
          <w:sz w:val="20"/>
          <w:szCs w:val="20"/>
          <w:rtl w:val="0"/>
          <w:lang w:val="ru-RU"/>
        </w:rPr>
        <w:t>.</w:t>
      </w:r>
    </w:p>
  </w:footnote>
  <w:footnote w:id="4">
    <w:p>
      <w:pPr>
        <w:pStyle w:val="Normal.0"/>
        <w:shd w:val="clear" w:color="auto" w:fill="ffffff"/>
        <w:spacing w:after="0" w:line="240" w:lineRule="auto"/>
        <w:jc w:val="both"/>
      </w:pPr>
      <w:r>
        <w:rPr>
          <w:rFonts w:ascii="Times New Roman" w:cs="Times New Roman" w:hAnsi="Times New Roman" w:eastAsia="Times New Roman"/>
          <w:sz w:val="28"/>
          <w:szCs w:val="28"/>
          <w:vertAlign w:val="superscript"/>
        </w:rPr>
        <w:footnoteRef/>
      </w:r>
      <w:r>
        <w:rPr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Горбунов В</w:t>
      </w:r>
      <w:r>
        <w:rPr>
          <w:rFonts w:ascii="Times New Roman" w:hAnsi="Times New Roman"/>
          <w:sz w:val="20"/>
          <w:szCs w:val="20"/>
          <w:rtl w:val="0"/>
          <w:lang w:val="ru-RU"/>
        </w:rPr>
        <w:t>.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Л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Бизнес</w:t>
      </w:r>
      <w:r>
        <w:rPr>
          <w:rFonts w:ascii="Times New Roman" w:hAnsi="Times New Roman"/>
          <w:sz w:val="20"/>
          <w:szCs w:val="20"/>
          <w:rtl w:val="0"/>
          <w:lang w:val="ru-RU"/>
        </w:rPr>
        <w:t>-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планирование с оценкой рисков и эффективности проектов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научно</w:t>
      </w:r>
      <w:r>
        <w:rPr>
          <w:rFonts w:ascii="Times New Roman" w:hAnsi="Times New Roman"/>
          <w:sz w:val="20"/>
          <w:szCs w:val="20"/>
          <w:rtl w:val="0"/>
          <w:lang w:val="ru-RU"/>
        </w:rPr>
        <w:t>-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 xml:space="preserve">практическое пособие 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/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В</w:t>
      </w:r>
      <w:r>
        <w:rPr>
          <w:rFonts w:ascii="Times New Roman" w:hAnsi="Times New Roman"/>
          <w:sz w:val="20"/>
          <w:szCs w:val="20"/>
          <w:rtl w:val="0"/>
          <w:lang w:val="ru-RU"/>
        </w:rPr>
        <w:t>.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Л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Горбунов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− Москва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РИОР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: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ИНФРА</w:t>
      </w:r>
      <w:r>
        <w:rPr>
          <w:rFonts w:ascii="Times New Roman" w:hAnsi="Times New Roman"/>
          <w:sz w:val="20"/>
          <w:szCs w:val="20"/>
          <w:rtl w:val="0"/>
          <w:lang w:val="ru-RU"/>
        </w:rPr>
        <w:t>-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М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, 2013.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 xml:space="preserve">− 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246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с</w:t>
      </w:r>
      <w:r>
        <w:rPr>
          <w:rFonts w:ascii="Times New Roman" w:hAnsi="Times New Roman"/>
          <w:sz w:val="20"/>
          <w:szCs w:val="20"/>
          <w:rtl w:val="0"/>
          <w:lang w:val="ru-RU"/>
        </w:rPr>
        <w:t>.</w:t>
      </w:r>
    </w:p>
  </w:footnote>
  <w:footnote w:id="5">
    <w:p>
      <w:pPr>
        <w:pStyle w:val="Normal.0"/>
        <w:widowControl w:val="0"/>
        <w:shd w:val="clear" w:color="auto" w:fill="ffffff"/>
        <w:spacing w:after="0" w:line="240" w:lineRule="auto"/>
        <w:ind w:right="499"/>
        <w:jc w:val="both"/>
      </w:pPr>
      <w:r>
        <w:rPr>
          <w:rFonts w:ascii="Times New Roman" w:cs="Times New Roman" w:hAnsi="Times New Roman" w:eastAsia="Times New Roman"/>
          <w:color w:val="000000"/>
          <w:sz w:val="28"/>
          <w:szCs w:val="28"/>
          <w:u w:color="000000"/>
          <w:vertAlign w:val="superscript"/>
        </w:rPr>
        <w:footnoteRef/>
      </w:r>
      <w:r>
        <w:rPr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Досужева Е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Е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.,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Кириллов Ю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В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 xml:space="preserve">Основные принципы реализации инвестиционного проекта 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//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Интернет</w:t>
      </w:r>
      <w:r>
        <w:rPr>
          <w:rFonts w:ascii="Times New Roman" w:hAnsi="Times New Roman"/>
          <w:sz w:val="20"/>
          <w:szCs w:val="20"/>
          <w:rtl w:val="0"/>
          <w:lang w:val="ru-RU"/>
        </w:rPr>
        <w:t>-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журнал «НАУКОВЕДЕНИЕ»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 xml:space="preserve">– 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2014. 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–№</w:t>
      </w:r>
      <w:r>
        <w:rPr>
          <w:rFonts w:ascii="Times New Roman" w:hAnsi="Times New Roman"/>
          <w:sz w:val="20"/>
          <w:szCs w:val="20"/>
          <w:rtl w:val="0"/>
          <w:lang w:val="ru-RU"/>
        </w:rPr>
        <w:t>1. [</w:t>
      </w:r>
      <w:r>
        <w:rPr>
          <w:rFonts w:ascii="Times New Roman" w:hAnsi="Times New Roman" w:hint="default"/>
          <w:sz w:val="20"/>
          <w:szCs w:val="20"/>
          <w:rtl w:val="0"/>
          <w:lang w:val="ru-RU"/>
        </w:rPr>
        <w:t>Электронный ресурс</w:t>
      </w:r>
      <w:r>
        <w:rPr>
          <w:rFonts w:ascii="Times New Roman" w:hAnsi="Times New Roman"/>
          <w:sz w:val="20"/>
          <w:szCs w:val="20"/>
          <w:rtl w:val="0"/>
          <w:lang w:val="ru-RU"/>
        </w:rPr>
        <w:t xml:space="preserve">].URL: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"http://publ.naukovedenie.ru"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  <w:lang w:val="ru-RU"/>
        </w:rPr>
        <w:t>http://publ.naukovedenie.ru</w:t>
      </w:r>
      <w:r>
        <w:rPr/>
        <w:fldChar w:fldCharType="end" w:fldLock="0"/>
      </w:r>
      <w:r>
        <w:rPr>
          <w:rStyle w:val="Hyperlink.0"/>
          <w:rtl w:val="0"/>
          <w:lang w:val="ru-RU"/>
        </w:rPr>
        <w:t xml:space="preserve"> (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дата обращения</w:t>
      </w:r>
      <w:r>
        <w:rPr>
          <w:rStyle w:val="Hyperlink.0"/>
          <w:rtl w:val="0"/>
          <w:lang w:val="ru-RU"/>
        </w:rPr>
        <w:t>: 25.04.2017).</w:t>
      </w:r>
    </w:p>
  </w:footnote>
  <w:footnote w:id="6">
    <w:p>
      <w:pPr>
        <w:pStyle w:val="Normal.0"/>
        <w:spacing w:after="0" w:line="240" w:lineRule="auto"/>
        <w:jc w:val="both"/>
      </w:pPr>
      <w:r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  <w:vertAlign w:val="superscript"/>
        </w:rPr>
        <w:footnoteRef/>
      </w:r>
      <w:r>
        <w:rPr>
          <w:rtl w:val="0"/>
          <w:lang w:val="ru-RU"/>
        </w:rPr>
        <w:t xml:space="preserve">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Дронова</w:t>
      </w:r>
      <w:r>
        <w:rPr>
          <w:rStyle w:val="Hyperlink.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Л</w:t>
      </w:r>
      <w:r>
        <w:rPr>
          <w:rStyle w:val="Hyperlink.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А</w:t>
      </w:r>
      <w:r>
        <w:rPr>
          <w:rStyle w:val="Hyperlink.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Экономика и управление инвестиционной деятельностью</w:t>
      </w:r>
      <w:r>
        <w:rPr>
          <w:rStyle w:val="Hyperlink.0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 xml:space="preserve">Учебное пособие </w:t>
      </w:r>
      <w:r>
        <w:rPr>
          <w:rStyle w:val="Hyperlink.0"/>
          <w:rtl w:val="0"/>
          <w:lang w:val="ru-RU"/>
        </w:rPr>
        <w:t xml:space="preserve">/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Л</w:t>
      </w:r>
      <w:r>
        <w:rPr>
          <w:rStyle w:val="Hyperlink.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А</w:t>
      </w:r>
      <w:r>
        <w:rPr>
          <w:rStyle w:val="Hyperlink.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Дронова</w:t>
      </w:r>
      <w:r>
        <w:rPr>
          <w:rStyle w:val="Hyperlink.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— Хабаровск</w:t>
      </w:r>
      <w:r>
        <w:rPr>
          <w:rStyle w:val="Hyperlink.0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 xml:space="preserve">ХГАЭП </w:t>
      </w:r>
      <w:r>
        <w:rPr>
          <w:rStyle w:val="Hyperlink.0"/>
          <w:rtl w:val="0"/>
          <w:lang w:val="ru-RU"/>
        </w:rPr>
        <w:t xml:space="preserve">2013.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 xml:space="preserve">— </w:t>
      </w:r>
      <w:r>
        <w:rPr>
          <w:rStyle w:val="Hyperlink.0"/>
          <w:rtl w:val="0"/>
          <w:lang w:val="ru-RU"/>
        </w:rPr>
        <w:t xml:space="preserve">126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с</w:t>
      </w:r>
      <w:r>
        <w:rPr>
          <w:rStyle w:val="Hyperlink.0"/>
          <w:rtl w:val="0"/>
          <w:lang w:val="ru-RU"/>
        </w:rPr>
        <w:t>.</w:t>
      </w:r>
    </w:p>
  </w:footnote>
  <w:footnote w:id="7">
    <w:p>
      <w:pPr>
        <w:pStyle w:val="Default"/>
        <w:jc w:val="both"/>
      </w:pPr>
      <w:r>
        <w:rPr>
          <w:rStyle w:val="Нет"/>
          <w:color w:val="000000"/>
          <w:sz w:val="28"/>
          <w:szCs w:val="28"/>
          <w:u w:color="000000"/>
          <w:vertAlign w:val="superscript"/>
        </w:rPr>
        <w:footnoteRef/>
      </w:r>
      <w:r>
        <w:rPr>
          <w:rtl w:val="0"/>
          <w:lang w:val="ru-RU"/>
        </w:rPr>
        <w:t xml:space="preserve"> 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>Гладкий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 xml:space="preserve">, 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>А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>.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>А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 xml:space="preserve">. 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>Бизнес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>-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>план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 xml:space="preserve">: 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 xml:space="preserve">Делаем сами на компьютере 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 xml:space="preserve">/ 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>А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>.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>А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 xml:space="preserve">. 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>Гладкий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 xml:space="preserve">. - 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>М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 xml:space="preserve">.: 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>Рид Групп</w:t>
      </w:r>
      <w:r>
        <w:rPr>
          <w:rStyle w:val="Нет"/>
          <w:color w:val="000000"/>
          <w:sz w:val="20"/>
          <w:szCs w:val="20"/>
          <w:u w:color="000000"/>
          <w:rtl w:val="0"/>
          <w:lang w:val="ru-RU"/>
        </w:rPr>
        <w:t>, 2012. - 240 c.</w:t>
      </w:r>
    </w:p>
  </w:footnote>
  <w:footnote w:id="8">
    <w:p>
      <w:pPr>
        <w:pStyle w:val="Normal.0"/>
        <w:shd w:val="clear" w:color="auto" w:fill="ffffff"/>
        <w:spacing w:after="0" w:line="240" w:lineRule="auto"/>
        <w:jc w:val="both"/>
      </w:pPr>
      <w:r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  <w:vertAlign w:val="superscript"/>
        </w:rPr>
        <w:footnoteRef/>
      </w:r>
      <w:r>
        <w:rPr>
          <w:rStyle w:val="Hyperlink.0"/>
          <w:rtl w:val="0"/>
          <w:lang w:val="ru-RU"/>
        </w:rPr>
        <w:t xml:space="preserve">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Сергеев</w:t>
      </w:r>
      <w:r>
        <w:rPr>
          <w:rStyle w:val="Hyperlink.0"/>
          <w:rtl w:val="0"/>
          <w:lang w:val="ru-RU"/>
        </w:rPr>
        <w:t xml:space="preserve">,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А</w:t>
      </w:r>
      <w:r>
        <w:rPr>
          <w:rStyle w:val="Hyperlink.0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А</w:t>
      </w:r>
      <w:r>
        <w:rPr>
          <w:rStyle w:val="Hyperlink.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 xml:space="preserve">Экономические основы бизнес </w:t>
      </w:r>
      <w:r>
        <w:rPr>
          <w:rStyle w:val="Hyperlink.0"/>
          <w:rtl w:val="0"/>
          <w:lang w:val="ru-RU"/>
        </w:rPr>
        <w:t xml:space="preserve">-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планирования</w:t>
      </w:r>
      <w:r>
        <w:rPr>
          <w:rStyle w:val="Hyperlink.0"/>
          <w:rtl w:val="0"/>
          <w:lang w:val="ru-RU"/>
        </w:rPr>
        <w:t>. [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Текст</w:t>
      </w:r>
      <w:r>
        <w:rPr>
          <w:rStyle w:val="Hyperlink.0"/>
          <w:rtl w:val="0"/>
          <w:lang w:val="ru-RU"/>
        </w:rPr>
        <w:t xml:space="preserve">] / 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А</w:t>
      </w:r>
      <w:r>
        <w:rPr>
          <w:rStyle w:val="Hyperlink.0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А</w:t>
      </w:r>
      <w:r>
        <w:rPr>
          <w:rStyle w:val="Hyperlink.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Сергеев</w:t>
      </w:r>
      <w:r>
        <w:rPr>
          <w:rStyle w:val="Hyperlink.0"/>
          <w:rtl w:val="0"/>
          <w:lang w:val="ru-RU"/>
        </w:rPr>
        <w:t xml:space="preserve">. -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М</w:t>
      </w:r>
      <w:r>
        <w:rPr>
          <w:rStyle w:val="Hyperlink.0"/>
          <w:rtl w:val="0"/>
          <w:lang w:val="ru-RU"/>
        </w:rPr>
        <w:t xml:space="preserve">.: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ЮНИТИ</w:t>
      </w:r>
      <w:r>
        <w:rPr>
          <w:rStyle w:val="Hyperlink.0"/>
          <w:rtl w:val="0"/>
          <w:lang w:val="ru-RU"/>
        </w:rPr>
        <w:t xml:space="preserve">, 2015.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 xml:space="preserve">– </w:t>
      </w:r>
      <w:r>
        <w:rPr>
          <w:rStyle w:val="Hyperlink.0"/>
          <w:rtl w:val="0"/>
          <w:lang w:val="ru-RU"/>
        </w:rPr>
        <w:t>541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с</w:t>
      </w:r>
      <w:r>
        <w:rPr>
          <w:rStyle w:val="Hyperlink.0"/>
          <w:rtl w:val="0"/>
          <w:lang w:val="ru-RU"/>
        </w:rPr>
        <w:t>.</w:t>
      </w:r>
    </w:p>
  </w:footnote>
  <w:footnote w:id="9">
    <w:p>
      <w:pPr>
        <w:pStyle w:val="Normal.0"/>
        <w:shd w:val="clear" w:color="auto" w:fill="ffffff"/>
        <w:spacing w:after="0" w:line="240" w:lineRule="auto"/>
      </w:pPr>
      <w:r>
        <w:rPr>
          <w:rStyle w:val="Нет"/>
          <w:rFonts w:ascii="Times New Roman" w:cs="Times New Roman" w:hAnsi="Times New Roman" w:eastAsia="Times New Roman"/>
          <w:color w:val="000000"/>
          <w:sz w:val="28"/>
          <w:szCs w:val="28"/>
          <w:u w:color="000000"/>
          <w:vertAlign w:val="superscript"/>
        </w:rPr>
        <w:footnoteRef/>
      </w:r>
      <w:r>
        <w:rPr>
          <w:rtl w:val="0"/>
          <w:lang w:val="ru-RU"/>
        </w:rPr>
        <w:t xml:space="preserve">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Горбунов В</w:t>
      </w:r>
      <w:r>
        <w:rPr>
          <w:rStyle w:val="Hyperlink.0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Л</w:t>
      </w:r>
      <w:r>
        <w:rPr>
          <w:rStyle w:val="Hyperlink.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Бизнес</w:t>
      </w:r>
      <w:r>
        <w:rPr>
          <w:rStyle w:val="Hyperlink.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планирование с оценкой рисков и эффективности проектов</w:t>
      </w:r>
      <w:r>
        <w:rPr>
          <w:rStyle w:val="Hyperlink.0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научно</w:t>
      </w:r>
      <w:r>
        <w:rPr>
          <w:rStyle w:val="Hyperlink.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 xml:space="preserve">практическое пособие </w:t>
      </w:r>
      <w:r>
        <w:rPr>
          <w:rStyle w:val="Hyperlink.0"/>
          <w:rtl w:val="0"/>
          <w:lang w:val="ru-RU"/>
        </w:rPr>
        <w:t xml:space="preserve">/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В</w:t>
      </w:r>
      <w:r>
        <w:rPr>
          <w:rStyle w:val="Hyperlink.0"/>
          <w:rtl w:val="0"/>
          <w:lang w:val="ru-RU"/>
        </w:rPr>
        <w:t>.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Л</w:t>
      </w:r>
      <w:r>
        <w:rPr>
          <w:rStyle w:val="Hyperlink.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Горбунов</w:t>
      </w:r>
      <w:r>
        <w:rPr>
          <w:rStyle w:val="Hyperlink.0"/>
          <w:rtl w:val="0"/>
          <w:lang w:val="ru-RU"/>
        </w:rPr>
        <w:t xml:space="preserve">.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− Москва</w:t>
      </w:r>
      <w:r>
        <w:rPr>
          <w:rStyle w:val="Hyperlink.0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РИОР</w:t>
      </w:r>
      <w:r>
        <w:rPr>
          <w:rStyle w:val="Hyperlink.0"/>
          <w:rtl w:val="0"/>
          <w:lang w:val="ru-RU"/>
        </w:rPr>
        <w:t xml:space="preserve">: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ИНФРА</w:t>
      </w:r>
      <w:r>
        <w:rPr>
          <w:rStyle w:val="Hyperlink.0"/>
          <w:rtl w:val="0"/>
          <w:lang w:val="ru-RU"/>
        </w:rPr>
        <w:t>-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М</w:t>
      </w:r>
      <w:r>
        <w:rPr>
          <w:rStyle w:val="Hyperlink.0"/>
          <w:rtl w:val="0"/>
          <w:lang w:val="ru-RU"/>
        </w:rPr>
        <w:t xml:space="preserve">, 2013.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 xml:space="preserve">− </w:t>
      </w:r>
      <w:r>
        <w:rPr>
          <w:rStyle w:val="Hyperlink.0"/>
          <w:rtl w:val="0"/>
          <w:lang w:val="ru-RU"/>
        </w:rPr>
        <w:t xml:space="preserve">246 </w:t>
      </w:r>
      <w:r>
        <w:rPr>
          <w:rStyle w:val="Нет"/>
          <w:rFonts w:ascii="Times New Roman" w:hAnsi="Times New Roman" w:hint="default"/>
          <w:sz w:val="20"/>
          <w:szCs w:val="20"/>
          <w:rtl w:val="0"/>
          <w:lang w:val="ru-RU"/>
        </w:rPr>
        <w:t>с</w:t>
      </w:r>
      <w:r>
        <w:rPr>
          <w:rStyle w:val="Hyperlink.0"/>
          <w:rtl w:val="0"/>
          <w:lang w:val="ru-RU"/>
        </w:rPr>
        <w:t>.</w:t>
      </w:r>
    </w:p>
  </w:footnote>
</w:footnotes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10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1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1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3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4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5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6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7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8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header9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Импортированный стиль 1"/>
  </w:abstractNum>
  <w:abstractNum w:abstractNumId="1">
    <w:multiLevelType w:val="hybridMultilevel"/>
    <w:styleLink w:val="Импортированный стиль 1"/>
    <w:lvl w:ilvl="0">
      <w:start w:val="1"/>
      <w:numFmt w:val="decimal"/>
      <w:suff w:val="tab"/>
      <w:lvlText w:val="%1)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2149"/>
        </w:tabs>
        <w:ind w:left="144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4309"/>
        </w:tabs>
        <w:ind w:left="3600" w:firstLine="1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Импортированный стиль 2"/>
  </w:abstractNum>
  <w:abstractNum w:abstractNumId="3">
    <w:multiLevelType w:val="hybridMultilevel"/>
    <w:styleLink w:val="Импортированный стиль 2"/>
    <w:lvl w:ilvl="0">
      <w:start w:val="1"/>
      <w:numFmt w:val="decimal"/>
      <w:suff w:val="tab"/>
      <w:lvlText w:val="%1)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2149"/>
        </w:tabs>
        <w:ind w:left="144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4309"/>
        </w:tabs>
        <w:ind w:left="3600" w:firstLine="1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Импортированный стиль 3"/>
  </w:abstractNum>
  <w:abstractNum w:abstractNumId="5">
    <w:multiLevelType w:val="hybridMultilevel"/>
    <w:styleLink w:val="Импортированный стиль 3"/>
    <w:lvl w:ilvl="0">
      <w:start w:val="1"/>
      <w:numFmt w:val="decimal"/>
      <w:suff w:val="tab"/>
      <w:lvlText w:val="%1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tabs>
          <w:tab w:val="num" w:pos="2149"/>
        </w:tabs>
        <w:ind w:left="1440" w:firstLine="6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tabs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tabs>
          <w:tab w:val="num" w:pos="4309"/>
        </w:tabs>
        <w:ind w:left="3600" w:firstLine="10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tabs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tabs>
          <w:tab w:val="num" w:pos="6469"/>
        </w:tabs>
        <w:ind w:left="5760" w:firstLine="1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num" w:pos="1315"/>
          </w:tabs>
          <w:ind w:left="607" w:firstLine="10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num" w:pos="1329"/>
          </w:tabs>
          <w:ind w:left="621" w:firstLine="11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num" w:pos="2059"/>
          </w:tabs>
          <w:ind w:left="1351" w:firstLine="1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num" w:pos="2772"/>
          </w:tabs>
          <w:ind w:left="2064" w:firstLine="13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num" w:pos="3494"/>
          </w:tabs>
          <w:ind w:left="2786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num" w:pos="4224"/>
          </w:tabs>
          <w:ind w:left="3516" w:firstLine="20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num" w:pos="4937"/>
          </w:tabs>
          <w:ind w:left="4229" w:firstLine="16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num" w:pos="5659"/>
          </w:tabs>
          <w:ind w:left="4951" w:firstLine="1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num" w:pos="6389"/>
          </w:tabs>
          <w:ind w:left="5681" w:firstLine="2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footnotePr>
    <w:numFmt w:val="decimal"/>
    <w:numStart w:val="1"/>
    <w:numRestart w:val="continuous"/>
    <w:footnote w:id="-1"/>
    <w:footnote w:id="0"/>
    <w:footnote w:id="-2"/>
  </w:footnotePr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:lang w:val="ru-RU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ru-RU"/>
    </w:rPr>
  </w:style>
  <w:style w:type="paragraph" w:styleId="TOC 1">
    <w:name w:val="TOC 1"/>
    <w:next w:val="TOC 1"/>
    <w:pPr>
      <w:keepNext w:val="0"/>
      <w:keepLines w:val="0"/>
      <w:pageBreakBefore w:val="0"/>
      <w:widowControl w:val="1"/>
      <w:shd w:val="clear" w:color="auto" w:fill="auto"/>
      <w:tabs>
        <w:tab w:val="right" w:pos="10179" w:leader="dot"/>
      </w:tabs>
      <w:suppressAutoHyphens w:val="0"/>
      <w:bidi w:val="0"/>
      <w:spacing w:before="0" w:after="100" w:line="276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ru-RU"/>
    </w:rPr>
  </w:style>
  <w:style w:type="paragraph" w:styleId="heading 1">
    <w:name w:val="heading 1"/>
    <w:next w:val="Normal.0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480" w:after="0" w:line="276" w:lineRule="auto"/>
      <w:ind w:left="0" w:right="0" w:firstLine="0"/>
      <w:jc w:val="left"/>
      <w:outlineLvl w:val="0"/>
    </w:pPr>
    <w:rPr>
      <w:rFonts w:ascii="Cambria" w:cs="Cambria" w:hAnsi="Cambria" w:eastAsia="Cambria"/>
      <w:b w:val="1"/>
      <w:bCs w:val="1"/>
      <w:i w:val="0"/>
      <w:iCs w:val="0"/>
      <w:caps w:val="0"/>
      <w:smallCaps w:val="0"/>
      <w:strike w:val="0"/>
      <w:dstrike w:val="0"/>
      <w:outline w:val="0"/>
      <w:color w:val="365f91"/>
      <w:spacing w:val="0"/>
      <w:kern w:val="0"/>
      <w:position w:val="0"/>
      <w:sz w:val="28"/>
      <w:szCs w:val="28"/>
      <w:u w:val="none" w:color="365f91"/>
      <w:vertAlign w:val="baseline"/>
      <w:lang w:val="ru-RU"/>
    </w:rPr>
  </w:style>
  <w:style w:type="paragraph" w:styleId="TOC 2">
    <w:name w:val="TOC 2"/>
    <w:next w:val="TOC 2"/>
    <w:pPr>
      <w:keepNext w:val="0"/>
      <w:keepLines w:val="0"/>
      <w:pageBreakBefore w:val="0"/>
      <w:widowControl w:val="1"/>
      <w:shd w:val="clear" w:color="auto" w:fill="auto"/>
      <w:tabs>
        <w:tab w:val="left" w:pos="1276"/>
        <w:tab w:val="right" w:pos="10179" w:leader="dot"/>
      </w:tabs>
      <w:suppressAutoHyphens w:val="0"/>
      <w:bidi w:val="0"/>
      <w:spacing w:before="0" w:after="0" w:line="360" w:lineRule="auto"/>
      <w:ind w:left="0" w:right="0" w:firstLine="0"/>
      <w:jc w:val="both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 w:color="000000"/>
      <w:vertAlign w:val="baseline"/>
      <w:lang w:val="ru-RU"/>
    </w:rPr>
  </w:style>
  <w:style w:type="paragraph" w:styleId="heading 3">
    <w:name w:val="heading 3"/>
    <w:next w:val="Normal.0"/>
    <w:pPr>
      <w:keepNext w:val="1"/>
      <w:keepLines w:val="1"/>
      <w:pageBreakBefore w:val="0"/>
      <w:widowControl w:val="1"/>
      <w:shd w:val="clear" w:color="auto" w:fill="auto"/>
      <w:suppressAutoHyphens w:val="0"/>
      <w:bidi w:val="0"/>
      <w:spacing w:before="200" w:after="0" w:line="276" w:lineRule="auto"/>
      <w:ind w:left="0" w:right="0" w:firstLine="0"/>
      <w:jc w:val="left"/>
      <w:outlineLvl w:val="1"/>
    </w:pPr>
    <w:rPr>
      <w:rFonts w:ascii="Cambria" w:cs="Cambria" w:hAnsi="Cambria" w:eastAsia="Cambria"/>
      <w:b w:val="1"/>
      <w:bCs w:val="1"/>
      <w:i w:val="0"/>
      <w:iCs w:val="0"/>
      <w:caps w:val="0"/>
      <w:smallCaps w:val="0"/>
      <w:strike w:val="0"/>
      <w:dstrike w:val="0"/>
      <w:outline w:val="0"/>
      <w:color w:val="4f81bd"/>
      <w:spacing w:val="0"/>
      <w:kern w:val="0"/>
      <w:position w:val="0"/>
      <w:sz w:val="28"/>
      <w:szCs w:val="28"/>
      <w:u w:val="none" w:color="4f81bd"/>
      <w:vertAlign w:val="baseline"/>
      <w:lang w:val="ru-RU"/>
    </w:rPr>
  </w:style>
  <w:style w:type="numbering" w:styleId="Импортированный стиль 1">
    <w:name w:val="Импортированный стиль 1"/>
    <w:pPr>
      <w:numPr>
        <w:numId w:val="1"/>
      </w:numPr>
    </w:pPr>
  </w:style>
  <w:style w:type="character" w:styleId="Нет">
    <w:name w:val="Нет"/>
  </w:style>
  <w:style w:type="character" w:styleId="Hyperlink.0">
    <w:name w:val="Hyperlink.0"/>
    <w:basedOn w:val="Нет"/>
    <w:next w:val="Hyperlink.0"/>
    <w:rPr>
      <w:rFonts w:ascii="Times New Roman" w:cs="Times New Roman" w:hAnsi="Times New Roman" w:eastAsia="Times New Roman"/>
      <w:sz w:val="20"/>
      <w:szCs w:val="20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ru-RU"/>
    </w:rPr>
  </w:style>
  <w:style w:type="numbering" w:styleId="Импортированный стиль 2">
    <w:name w:val="Импортированный стиль 2"/>
    <w:pPr>
      <w:numPr>
        <w:numId w:val="3"/>
      </w:numPr>
    </w:pPr>
  </w:style>
  <w:style w:type="numbering" w:styleId="Импортированный стиль 3">
    <w:name w:val="Импортированный стиль 3"/>
    <w:pPr>
      <w:numPr>
        <w:numId w:val="5"/>
      </w:numPr>
    </w:pPr>
  </w:style>
  <w:style w:type="character" w:styleId="Hyperlink.1">
    <w:name w:val="Hyperlink.1"/>
    <w:basedOn w:val="Нет"/>
    <w:next w:val="Hyperlink.1"/>
    <w:rPr>
      <w:sz w:val="28"/>
      <w:szCs w:val="2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chart" Target="charts/chart1.xm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header" Target="header4.xml"/><Relationship Id="rId11" Type="http://schemas.openxmlformats.org/officeDocument/2006/relationships/header" Target="header5.xml"/><Relationship Id="rId12" Type="http://schemas.openxmlformats.org/officeDocument/2006/relationships/header" Target="header6.xml"/><Relationship Id="rId13" Type="http://schemas.openxmlformats.org/officeDocument/2006/relationships/header" Target="header7.xml"/><Relationship Id="rId14" Type="http://schemas.openxmlformats.org/officeDocument/2006/relationships/image" Target="media/image1.png"/><Relationship Id="rId15" Type="http://schemas.openxmlformats.org/officeDocument/2006/relationships/header" Target="header8.xml"/><Relationship Id="rId16" Type="http://schemas.openxmlformats.org/officeDocument/2006/relationships/header" Target="header9.xml"/><Relationship Id="rId17" Type="http://schemas.openxmlformats.org/officeDocument/2006/relationships/footer" Target="footer3.xml"/><Relationship Id="rId18" Type="http://schemas.openxmlformats.org/officeDocument/2006/relationships/footer" Target="footer4.xml"/><Relationship Id="rId19" Type="http://schemas.openxmlformats.org/officeDocument/2006/relationships/header" Target="header10.xml"/><Relationship Id="rId20" Type="http://schemas.openxmlformats.org/officeDocument/2006/relationships/header" Target="header11.xml"/><Relationship Id="rId21" Type="http://schemas.openxmlformats.org/officeDocument/2006/relationships/image" Target="media/image2.png"/><Relationship Id="rId22" Type="http://schemas.openxmlformats.org/officeDocument/2006/relationships/image" Target="media/image3.png"/><Relationship Id="rId23" Type="http://schemas.openxmlformats.org/officeDocument/2006/relationships/image" Target="media/image4.png"/><Relationship Id="rId24" Type="http://schemas.openxmlformats.org/officeDocument/2006/relationships/image" Target="media/image5.png"/><Relationship Id="rId25" Type="http://schemas.openxmlformats.org/officeDocument/2006/relationships/header" Target="header12.xml"/><Relationship Id="rId26" Type="http://schemas.openxmlformats.org/officeDocument/2006/relationships/footnotes" Target="footnotes.xml"/><Relationship Id="rId27" Type="http://schemas.openxmlformats.org/officeDocument/2006/relationships/numbering" Target="numbering.xml"/><Relationship Id="rId28" Type="http://schemas.openxmlformats.org/officeDocument/2006/relationships/theme" Target="theme/theme1.xml"/></Relationships>

</file>

<file path=word/charts/_rels/chart1.xml.rels><?xml version="1.0" encoding="UTF-8"?>
<Relationships xmlns="http://schemas.openxmlformats.org/package/2006/relationships"><Relationship Id="rId1" Type="http://schemas.openxmlformats.org/officeDocument/2006/relationships/package" Target="../embeddings/Microsoft_Excel_Sheet1.xlsx"/></Relationships>
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roundedCorners val="0"/>
  <c:chart>
    <c:autoTitleDeleted val="1"/>
    <c:plotArea>
      <c:layout>
        <c:manualLayout>
          <c:layoutTarget val="inner"/>
          <c:xMode val="edge"/>
          <c:yMode val="edge"/>
          <c:x val="0.301645"/>
          <c:y val="0.301645"/>
          <c:w val="0.396709"/>
          <c:h val="0.384209"/>
        </c:manualLayout>
      </c:layout>
      <c:pieChart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/>
                </c:pt>
              </c:strCache>
            </c:strRef>
          </c:tx>
          <c:spPr>
            <a:solidFill>
              <a:schemeClr val="accent1"/>
            </a:solidFill>
            <a:ln w="12700" cap="flat">
              <a:noFill/>
              <a:miter lim="400000"/>
            </a:ln>
            <a:effectLst/>
          </c:spPr>
          <c:explosion val="25"/>
          <c:dPt>
            <c:idx val="0"/>
            <c:explosion val="25"/>
            <c:spPr>
              <a:solidFill>
                <a:schemeClr val="accent1"/>
              </a:solidFill>
              <a:ln w="12700" cap="flat">
                <a:noFill/>
                <a:miter lim="400000"/>
              </a:ln>
              <a:effectLst/>
            </c:spPr>
          </c:dPt>
          <c:dPt>
            <c:idx val="1"/>
            <c:explosion val="25"/>
            <c:spPr>
              <a:solidFill>
                <a:schemeClr val="accent2"/>
              </a:solidFill>
              <a:ln w="12700" cap="flat">
                <a:noFill/>
                <a:miter lim="400000"/>
              </a:ln>
              <a:effectLst/>
            </c:spPr>
          </c:dPt>
          <c:dPt>
            <c:idx val="2"/>
            <c:explosion val="25"/>
            <c:spPr>
              <a:solidFill>
                <a:schemeClr val="accent3"/>
              </a:solidFill>
              <a:ln w="12700" cap="flat">
                <a:noFill/>
                <a:miter lim="400000"/>
              </a:ln>
              <a:effectLst/>
            </c:spPr>
          </c:dPt>
          <c:dPt>
            <c:idx val="3"/>
            <c:explosion val="25"/>
            <c:spPr>
              <a:solidFill>
                <a:schemeClr val="accent4"/>
              </a:solidFill>
              <a:ln w="12700" cap="flat">
                <a:noFill/>
                <a:miter lim="400000"/>
              </a:ln>
              <a:effectLst/>
            </c:spPr>
          </c:dPt>
          <c:dLbls>
            <c:dLbl>
              <c:idx val="0"/>
              <c:numFmt formatCode="0%" sourceLinked="0"/>
              <c:txPr>
                <a:bodyPr/>
                <a:lstStyle/>
                <a:p>
                  <a:pPr>
                    <a:defRPr b="0" i="0" strike="noStrike" sz="1200" u="none">
                      <a:solidFill>
                        <a:srgbClr val="000000"/>
                      </a:solidFill>
                      <a:latin typeface="Times New Roman"/>
                    </a:defRPr>
                  </a:pPr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1"/>
              <c:numFmt formatCode="0%" sourceLinked="0"/>
              <c:txPr>
                <a:bodyPr/>
                <a:lstStyle/>
                <a:p>
                  <a:pPr>
                    <a:defRPr b="0" i="0" strike="noStrike" sz="1200" u="none">
                      <a:solidFill>
                        <a:srgbClr val="000000"/>
                      </a:solidFill>
                      <a:latin typeface="Times New Roman"/>
                    </a:defRPr>
                  </a:pPr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2"/>
              <c:numFmt formatCode="0%" sourceLinked="0"/>
              <c:txPr>
                <a:bodyPr/>
                <a:lstStyle/>
                <a:p>
                  <a:pPr>
                    <a:defRPr b="0" i="0" strike="noStrike" sz="1200" u="none">
                      <a:solidFill>
                        <a:srgbClr val="000000"/>
                      </a:solidFill>
                      <a:latin typeface="Times New Roman"/>
                    </a:defRPr>
                  </a:pPr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</c:dLbl>
            <c:dLbl>
              <c:idx val="3"/>
              <c:numFmt formatCode="0%" sourceLinked="0"/>
              <c:txPr>
                <a:bodyPr/>
                <a:lstStyle/>
                <a:p>
                  <a:pPr>
                    <a:defRPr b="0" i="0" strike="noStrike" sz="1200" u="none">
                      <a:solidFill>
                        <a:srgbClr val="000000"/>
                      </a:solidFill>
                      <a:latin typeface="Times New Roman"/>
                    </a:defRPr>
                  </a:pPr>
                </a:p>
              </c:txPr>
              <c:dLblPos val="outEnd"/>
              <c:showLegendKey val="0"/>
              <c:showVal val="0"/>
              <c:showCatName val="1"/>
              <c:showSerName val="0"/>
              <c:showPercent val="1"/>
              <c:showBubbleSize val="0"/>
            </c:dLbl>
            <c:numFmt formatCode="0%" sourceLinked="0"/>
            <c:txPr>
              <a:bodyPr/>
              <a:lstStyle/>
              <a:p>
                <a:pPr>
                  <a:defRPr b="0" i="0" strike="noStrike" sz="1200" u="none">
                    <a:solidFill>
                      <a:srgbClr val="000000"/>
                    </a:solidFill>
                    <a:latin typeface="Times New Roman"/>
                  </a:defRPr>
                </a:pPr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noFill/>
                <a:ln w="6350" cap="flat">
                  <a:solidFill>
                    <a:srgbClr val="000000"/>
                  </a:solidFill>
                  <a:prstDash val="solid"/>
                  <a:miter lim="400000"/>
                </a:ln>
                <a:effectLst/>
              </c:spPr>
            </c:leaderLines>
          </c:dLbls>
          <c:cat>
            <c:strRef>
              <c:f>Sheet1!$B$1:$E$1</c:f>
              <c:strCache>
                <c:ptCount val="4"/>
                <c:pt idx="0">
                  <c:v>Ремонт и подготовка помещений</c:v>
                </c:pt>
                <c:pt idx="1">
                  <c:v>Производственное оборудование</c:v>
                </c:pt>
                <c:pt idx="2">
                  <c:v>Мебель и оргтехника</c:v>
                </c:pt>
                <c:pt idx="3">
                  <c:v>Инструменты и инвентарь</c:v>
                </c:pt>
              </c:strCache>
            </c:strRef>
          </c:cat>
          <c:val>
            <c:numRef>
              <c:f>Sheet1!$B$2:$E$2</c:f>
              <c:numCache>
                <c:ptCount val="4"/>
                <c:pt idx="0">
                  <c:v>120.000000</c:v>
                </c:pt>
                <c:pt idx="1">
                  <c:v>134.000000</c:v>
                </c:pt>
                <c:pt idx="2">
                  <c:v>101.500000</c:v>
                </c:pt>
                <c:pt idx="3">
                  <c:v>55.000000</c:v>
                </c:pt>
              </c:numCache>
            </c:numRef>
          </c:val>
        </c:ser>
        <c:firstSliceAng val="0"/>
      </c:pieChart>
      <c:spPr>
        <a:solidFill>
          <a:srgbClr val="FFFFFF"/>
        </a:solidFill>
        <a:ln w="12700" cap="flat">
          <a:noFill/>
          <a:miter lim="400000"/>
        </a:ln>
        <a:effectLst/>
      </c:spPr>
    </c:plotArea>
    <c:plotVisOnly val="1"/>
    <c:dispBlanksAs val="gap"/>
  </c:chart>
  <c:spPr>
    <a:solidFill>
      <a:srgbClr val="FFFFFF"/>
    </a:solidFill>
    <a:ln w="12700" cap="flat">
      <a:solidFill>
        <a:srgbClr val="888888"/>
      </a:solidFill>
      <a:prstDash val="solid"/>
      <a:round/>
    </a:ln>
    <a:effectLst/>
  </c:spPr>
  <c:externalData r:id="rId1">
    <c:autoUpdate val="0"/>
  </c:externalData>
</c:chartSpace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