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81C" w:rsidRPr="009E381C" w:rsidRDefault="009E381C" w:rsidP="00D9599C">
      <w:pPr>
        <w:pStyle w:val="1"/>
        <w:spacing w:after="240" w:line="240" w:lineRule="auto"/>
        <w:jc w:val="center"/>
        <w:rPr>
          <w:rFonts w:ascii="Arial" w:hAnsi="Arial" w:cs="Arial"/>
          <w:color w:val="auto"/>
        </w:rPr>
      </w:pPr>
      <w:bookmarkStart w:id="0" w:name="_Toc503711970"/>
      <w:r w:rsidRPr="009E381C">
        <w:rPr>
          <w:rFonts w:ascii="Arial" w:hAnsi="Arial" w:cs="Arial"/>
          <w:color w:val="auto"/>
        </w:rPr>
        <w:t>Содержание</w:t>
      </w:r>
      <w:bookmarkEnd w:id="0"/>
      <w:r w:rsidRPr="009E381C">
        <w:rPr>
          <w:rFonts w:ascii="Arial" w:hAnsi="Arial" w:cs="Arial"/>
          <w:color w:val="auto"/>
        </w:rPr>
        <w:t xml:space="preserve"> </w:t>
      </w:r>
    </w:p>
    <w:sdt>
      <w:sdtPr>
        <w:rPr>
          <w:color w:val="auto"/>
        </w:rPr>
        <w:id w:val="-260759021"/>
        <w:docPartObj>
          <w:docPartGallery w:val="Table of Contents"/>
          <w:docPartUnique/>
        </w:docPartObj>
      </w:sdtPr>
      <w:sdtEndPr>
        <w:rPr>
          <w:rFonts w:asciiTheme="minorHAnsi" w:eastAsiaTheme="minorHAnsi" w:hAnsiTheme="minorHAnsi" w:cstheme="minorBidi"/>
          <w:b/>
          <w:bCs/>
          <w:sz w:val="22"/>
          <w:szCs w:val="22"/>
          <w:lang w:eastAsia="en-US"/>
        </w:rPr>
      </w:sdtEndPr>
      <w:sdtContent>
        <w:p w:rsidR="009E381C" w:rsidRPr="009E381C" w:rsidRDefault="009E381C" w:rsidP="009E381C">
          <w:pPr>
            <w:pStyle w:val="a9"/>
            <w:spacing w:before="0" w:line="240" w:lineRule="auto"/>
            <w:rPr>
              <w:rFonts w:ascii="Times New Roman" w:hAnsi="Times New Roman" w:cs="Times New Roman"/>
              <w:noProof/>
              <w:color w:val="auto"/>
              <w:sz w:val="28"/>
              <w:szCs w:val="28"/>
            </w:rPr>
          </w:pPr>
          <w:r w:rsidRPr="009E381C">
            <w:rPr>
              <w:rFonts w:ascii="Times New Roman" w:hAnsi="Times New Roman" w:cs="Times New Roman"/>
              <w:color w:val="auto"/>
              <w:sz w:val="28"/>
              <w:szCs w:val="28"/>
            </w:rPr>
            <w:fldChar w:fldCharType="begin"/>
          </w:r>
          <w:r w:rsidRPr="009E381C">
            <w:rPr>
              <w:rFonts w:ascii="Times New Roman" w:hAnsi="Times New Roman" w:cs="Times New Roman"/>
              <w:color w:val="auto"/>
              <w:sz w:val="28"/>
              <w:szCs w:val="28"/>
            </w:rPr>
            <w:instrText xml:space="preserve"> TOC \o "1-3" \h \z \u </w:instrText>
          </w:r>
          <w:r w:rsidRPr="009E381C">
            <w:rPr>
              <w:rFonts w:ascii="Times New Roman" w:hAnsi="Times New Roman" w:cs="Times New Roman"/>
              <w:color w:val="auto"/>
              <w:sz w:val="28"/>
              <w:szCs w:val="28"/>
            </w:rPr>
            <w:fldChar w:fldCharType="separate"/>
          </w:r>
        </w:p>
        <w:p w:rsidR="009E381C" w:rsidRPr="009E381C" w:rsidRDefault="009E381C" w:rsidP="009E381C">
          <w:pPr>
            <w:pStyle w:val="11"/>
            <w:tabs>
              <w:tab w:val="right" w:leader="dot" w:pos="9628"/>
            </w:tabs>
            <w:spacing w:after="0" w:line="240" w:lineRule="auto"/>
            <w:rPr>
              <w:rFonts w:ascii="Times New Roman" w:hAnsi="Times New Roman" w:cs="Times New Roman"/>
              <w:noProof/>
              <w:sz w:val="28"/>
              <w:szCs w:val="28"/>
            </w:rPr>
          </w:pPr>
          <w:hyperlink w:anchor="_Toc503711971" w:history="1">
            <w:r w:rsidRPr="009E381C">
              <w:rPr>
                <w:rStyle w:val="aa"/>
                <w:rFonts w:ascii="Times New Roman" w:hAnsi="Times New Roman" w:cs="Times New Roman"/>
                <w:noProof/>
                <w:color w:val="auto"/>
                <w:sz w:val="28"/>
                <w:szCs w:val="28"/>
              </w:rPr>
              <w:t>Введение</w:t>
            </w:r>
            <w:r w:rsidRPr="009E381C">
              <w:rPr>
                <w:rFonts w:ascii="Times New Roman" w:hAnsi="Times New Roman" w:cs="Times New Roman"/>
                <w:noProof/>
                <w:webHidden/>
                <w:sz w:val="28"/>
                <w:szCs w:val="28"/>
              </w:rPr>
              <w:tab/>
            </w:r>
            <w:r w:rsidRPr="009E381C">
              <w:rPr>
                <w:rFonts w:ascii="Times New Roman" w:hAnsi="Times New Roman" w:cs="Times New Roman"/>
                <w:noProof/>
                <w:webHidden/>
                <w:sz w:val="28"/>
                <w:szCs w:val="28"/>
              </w:rPr>
              <w:fldChar w:fldCharType="begin"/>
            </w:r>
            <w:r w:rsidRPr="009E381C">
              <w:rPr>
                <w:rFonts w:ascii="Times New Roman" w:hAnsi="Times New Roman" w:cs="Times New Roman"/>
                <w:noProof/>
                <w:webHidden/>
                <w:sz w:val="28"/>
                <w:szCs w:val="28"/>
              </w:rPr>
              <w:instrText xml:space="preserve"> PAGEREF _Toc503711971 \h </w:instrText>
            </w:r>
            <w:r w:rsidRPr="009E381C">
              <w:rPr>
                <w:rFonts w:ascii="Times New Roman" w:hAnsi="Times New Roman" w:cs="Times New Roman"/>
                <w:noProof/>
                <w:webHidden/>
                <w:sz w:val="28"/>
                <w:szCs w:val="28"/>
              </w:rPr>
            </w:r>
            <w:r w:rsidRPr="009E381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9E381C">
              <w:rPr>
                <w:rFonts w:ascii="Times New Roman" w:hAnsi="Times New Roman" w:cs="Times New Roman"/>
                <w:noProof/>
                <w:webHidden/>
                <w:sz w:val="28"/>
                <w:szCs w:val="28"/>
              </w:rPr>
              <w:fldChar w:fldCharType="end"/>
            </w:r>
          </w:hyperlink>
        </w:p>
        <w:p w:rsidR="009E381C" w:rsidRPr="009E381C" w:rsidRDefault="009E381C" w:rsidP="009E381C">
          <w:pPr>
            <w:pStyle w:val="11"/>
            <w:tabs>
              <w:tab w:val="right" w:leader="dot" w:pos="9628"/>
            </w:tabs>
            <w:spacing w:after="0" w:line="240" w:lineRule="auto"/>
            <w:rPr>
              <w:rFonts w:ascii="Times New Roman" w:hAnsi="Times New Roman" w:cs="Times New Roman"/>
              <w:noProof/>
              <w:sz w:val="28"/>
              <w:szCs w:val="28"/>
            </w:rPr>
          </w:pPr>
          <w:hyperlink w:anchor="_Toc503711972" w:history="1">
            <w:r w:rsidRPr="009E381C">
              <w:rPr>
                <w:rStyle w:val="aa"/>
                <w:rFonts w:ascii="Times New Roman" w:hAnsi="Times New Roman" w:cs="Times New Roman"/>
                <w:noProof/>
                <w:color w:val="auto"/>
                <w:sz w:val="28"/>
                <w:szCs w:val="28"/>
              </w:rPr>
              <w:t>1 Особенности ценообразования в сфере услуг</w:t>
            </w:r>
            <w:r w:rsidRPr="009E381C">
              <w:rPr>
                <w:rFonts w:ascii="Times New Roman" w:hAnsi="Times New Roman" w:cs="Times New Roman"/>
                <w:noProof/>
                <w:webHidden/>
                <w:sz w:val="28"/>
                <w:szCs w:val="28"/>
              </w:rPr>
              <w:tab/>
            </w:r>
            <w:r w:rsidRPr="009E381C">
              <w:rPr>
                <w:rFonts w:ascii="Times New Roman" w:hAnsi="Times New Roman" w:cs="Times New Roman"/>
                <w:noProof/>
                <w:webHidden/>
                <w:sz w:val="28"/>
                <w:szCs w:val="28"/>
              </w:rPr>
              <w:fldChar w:fldCharType="begin"/>
            </w:r>
            <w:r w:rsidRPr="009E381C">
              <w:rPr>
                <w:rFonts w:ascii="Times New Roman" w:hAnsi="Times New Roman" w:cs="Times New Roman"/>
                <w:noProof/>
                <w:webHidden/>
                <w:sz w:val="28"/>
                <w:szCs w:val="28"/>
              </w:rPr>
              <w:instrText xml:space="preserve"> PAGEREF _Toc503711972 \h </w:instrText>
            </w:r>
            <w:r w:rsidRPr="009E381C">
              <w:rPr>
                <w:rFonts w:ascii="Times New Roman" w:hAnsi="Times New Roman" w:cs="Times New Roman"/>
                <w:noProof/>
                <w:webHidden/>
                <w:sz w:val="28"/>
                <w:szCs w:val="28"/>
              </w:rPr>
            </w:r>
            <w:r w:rsidRPr="009E381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9E381C">
              <w:rPr>
                <w:rFonts w:ascii="Times New Roman" w:hAnsi="Times New Roman" w:cs="Times New Roman"/>
                <w:noProof/>
                <w:webHidden/>
                <w:sz w:val="28"/>
                <w:szCs w:val="28"/>
              </w:rPr>
              <w:fldChar w:fldCharType="end"/>
            </w:r>
          </w:hyperlink>
        </w:p>
        <w:p w:rsidR="009E381C" w:rsidRPr="009E381C" w:rsidRDefault="009E381C" w:rsidP="009E381C">
          <w:pPr>
            <w:pStyle w:val="11"/>
            <w:tabs>
              <w:tab w:val="right" w:leader="dot" w:pos="9628"/>
            </w:tabs>
            <w:spacing w:after="0" w:line="240" w:lineRule="auto"/>
            <w:rPr>
              <w:rFonts w:ascii="Times New Roman" w:hAnsi="Times New Roman" w:cs="Times New Roman"/>
              <w:noProof/>
              <w:sz w:val="28"/>
              <w:szCs w:val="28"/>
            </w:rPr>
          </w:pPr>
          <w:hyperlink w:anchor="_Toc503711973" w:history="1">
            <w:r w:rsidRPr="009E381C">
              <w:rPr>
                <w:rStyle w:val="aa"/>
                <w:rFonts w:ascii="Times New Roman" w:eastAsia="Times New Roman" w:hAnsi="Times New Roman" w:cs="Times New Roman"/>
                <w:noProof/>
                <w:color w:val="auto"/>
                <w:sz w:val="28"/>
                <w:szCs w:val="28"/>
                <w:lang w:eastAsia="ru-RU"/>
              </w:rPr>
              <w:t xml:space="preserve">2 Специфика ценообразования на услуги организаций </w:t>
            </w:r>
            <w:r w:rsidRPr="009E381C">
              <w:rPr>
                <w:rStyle w:val="aa"/>
                <w:rFonts w:ascii="Times New Roman" w:eastAsia="Times New Roman" w:hAnsi="Times New Roman" w:cs="Times New Roman"/>
                <w:bCs/>
                <w:iCs/>
                <w:noProof/>
                <w:color w:val="auto"/>
                <w:sz w:val="28"/>
                <w:szCs w:val="28"/>
                <w:lang w:eastAsia="ru-RU"/>
              </w:rPr>
              <w:t>социальной сферы</w:t>
            </w:r>
            <w:r w:rsidRPr="009E381C">
              <w:rPr>
                <w:rFonts w:ascii="Times New Roman" w:hAnsi="Times New Roman" w:cs="Times New Roman"/>
                <w:noProof/>
                <w:webHidden/>
                <w:sz w:val="28"/>
                <w:szCs w:val="28"/>
              </w:rPr>
              <w:tab/>
            </w:r>
            <w:r w:rsidRPr="009E381C">
              <w:rPr>
                <w:rFonts w:ascii="Times New Roman" w:hAnsi="Times New Roman" w:cs="Times New Roman"/>
                <w:noProof/>
                <w:webHidden/>
                <w:sz w:val="28"/>
                <w:szCs w:val="28"/>
              </w:rPr>
              <w:fldChar w:fldCharType="begin"/>
            </w:r>
            <w:r w:rsidRPr="009E381C">
              <w:rPr>
                <w:rFonts w:ascii="Times New Roman" w:hAnsi="Times New Roman" w:cs="Times New Roman"/>
                <w:noProof/>
                <w:webHidden/>
                <w:sz w:val="28"/>
                <w:szCs w:val="28"/>
              </w:rPr>
              <w:instrText xml:space="preserve"> PAGEREF _Toc503711973 \h </w:instrText>
            </w:r>
            <w:r w:rsidRPr="009E381C">
              <w:rPr>
                <w:rFonts w:ascii="Times New Roman" w:hAnsi="Times New Roman" w:cs="Times New Roman"/>
                <w:noProof/>
                <w:webHidden/>
                <w:sz w:val="28"/>
                <w:szCs w:val="28"/>
              </w:rPr>
            </w:r>
            <w:r w:rsidRPr="009E381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9E381C">
              <w:rPr>
                <w:rFonts w:ascii="Times New Roman" w:hAnsi="Times New Roman" w:cs="Times New Roman"/>
                <w:noProof/>
                <w:webHidden/>
                <w:sz w:val="28"/>
                <w:szCs w:val="28"/>
              </w:rPr>
              <w:fldChar w:fldCharType="end"/>
            </w:r>
          </w:hyperlink>
        </w:p>
        <w:p w:rsidR="009E381C" w:rsidRPr="009E381C" w:rsidRDefault="009E381C" w:rsidP="009E381C">
          <w:pPr>
            <w:pStyle w:val="11"/>
            <w:tabs>
              <w:tab w:val="right" w:leader="dot" w:pos="9628"/>
            </w:tabs>
            <w:spacing w:after="0" w:line="240" w:lineRule="auto"/>
            <w:rPr>
              <w:rFonts w:ascii="Times New Roman" w:hAnsi="Times New Roman" w:cs="Times New Roman"/>
              <w:noProof/>
              <w:sz w:val="28"/>
              <w:szCs w:val="28"/>
            </w:rPr>
          </w:pPr>
          <w:hyperlink w:anchor="_Toc503711974" w:history="1">
            <w:r w:rsidRPr="009E381C">
              <w:rPr>
                <w:rStyle w:val="aa"/>
                <w:rFonts w:ascii="Times New Roman" w:eastAsia="Times New Roman" w:hAnsi="Times New Roman" w:cs="Times New Roman"/>
                <w:noProof/>
                <w:color w:val="auto"/>
                <w:kern w:val="36"/>
                <w:sz w:val="28"/>
                <w:szCs w:val="28"/>
                <w:lang w:eastAsia="ru-RU"/>
              </w:rPr>
              <w:t xml:space="preserve">3 Методы ценообразования на </w:t>
            </w:r>
            <w:r w:rsidRPr="009E381C">
              <w:rPr>
                <w:rStyle w:val="aa"/>
                <w:rFonts w:ascii="Times New Roman" w:eastAsia="Times New Roman" w:hAnsi="Times New Roman" w:cs="Times New Roman"/>
                <w:noProof/>
                <w:color w:val="auto"/>
                <w:sz w:val="28"/>
                <w:szCs w:val="28"/>
                <w:lang w:eastAsia="ru-RU"/>
              </w:rPr>
              <w:t>услуги организаций социальной сферы</w:t>
            </w:r>
            <w:r w:rsidRPr="009E381C">
              <w:rPr>
                <w:rFonts w:ascii="Times New Roman" w:hAnsi="Times New Roman" w:cs="Times New Roman"/>
                <w:noProof/>
                <w:webHidden/>
                <w:sz w:val="28"/>
                <w:szCs w:val="28"/>
              </w:rPr>
              <w:tab/>
            </w:r>
            <w:r w:rsidRPr="009E381C">
              <w:rPr>
                <w:rFonts w:ascii="Times New Roman" w:hAnsi="Times New Roman" w:cs="Times New Roman"/>
                <w:noProof/>
                <w:webHidden/>
                <w:sz w:val="28"/>
                <w:szCs w:val="28"/>
              </w:rPr>
              <w:fldChar w:fldCharType="begin"/>
            </w:r>
            <w:r w:rsidRPr="009E381C">
              <w:rPr>
                <w:rFonts w:ascii="Times New Roman" w:hAnsi="Times New Roman" w:cs="Times New Roman"/>
                <w:noProof/>
                <w:webHidden/>
                <w:sz w:val="28"/>
                <w:szCs w:val="28"/>
              </w:rPr>
              <w:instrText xml:space="preserve"> PAGEREF _Toc503711974 \h </w:instrText>
            </w:r>
            <w:r w:rsidRPr="009E381C">
              <w:rPr>
                <w:rFonts w:ascii="Times New Roman" w:hAnsi="Times New Roman" w:cs="Times New Roman"/>
                <w:noProof/>
                <w:webHidden/>
                <w:sz w:val="28"/>
                <w:szCs w:val="28"/>
              </w:rPr>
            </w:r>
            <w:r w:rsidRPr="009E381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9E381C">
              <w:rPr>
                <w:rFonts w:ascii="Times New Roman" w:hAnsi="Times New Roman" w:cs="Times New Roman"/>
                <w:noProof/>
                <w:webHidden/>
                <w:sz w:val="28"/>
                <w:szCs w:val="28"/>
              </w:rPr>
              <w:fldChar w:fldCharType="end"/>
            </w:r>
          </w:hyperlink>
        </w:p>
        <w:p w:rsidR="009E381C" w:rsidRPr="009E381C" w:rsidRDefault="009E381C" w:rsidP="009E381C">
          <w:pPr>
            <w:pStyle w:val="11"/>
            <w:tabs>
              <w:tab w:val="right" w:leader="dot" w:pos="9628"/>
            </w:tabs>
            <w:spacing w:after="0" w:line="240" w:lineRule="auto"/>
            <w:rPr>
              <w:rFonts w:ascii="Times New Roman" w:hAnsi="Times New Roman" w:cs="Times New Roman"/>
              <w:noProof/>
              <w:sz w:val="28"/>
              <w:szCs w:val="28"/>
            </w:rPr>
          </w:pPr>
          <w:hyperlink w:anchor="_Toc503711975" w:history="1">
            <w:r w:rsidRPr="009E381C">
              <w:rPr>
                <w:rStyle w:val="aa"/>
                <w:rFonts w:ascii="Times New Roman" w:eastAsia="Times New Roman" w:hAnsi="Times New Roman" w:cs="Times New Roman"/>
                <w:noProof/>
                <w:color w:val="auto"/>
                <w:sz w:val="28"/>
                <w:szCs w:val="28"/>
                <w:lang w:eastAsia="ru-RU"/>
              </w:rPr>
              <w:t>Заключение</w:t>
            </w:r>
            <w:r w:rsidRPr="009E381C">
              <w:rPr>
                <w:rFonts w:ascii="Times New Roman" w:hAnsi="Times New Roman" w:cs="Times New Roman"/>
                <w:noProof/>
                <w:webHidden/>
                <w:sz w:val="28"/>
                <w:szCs w:val="28"/>
              </w:rPr>
              <w:tab/>
            </w:r>
            <w:r w:rsidRPr="009E381C">
              <w:rPr>
                <w:rFonts w:ascii="Times New Roman" w:hAnsi="Times New Roman" w:cs="Times New Roman"/>
                <w:noProof/>
                <w:webHidden/>
                <w:sz w:val="28"/>
                <w:szCs w:val="28"/>
              </w:rPr>
              <w:fldChar w:fldCharType="begin"/>
            </w:r>
            <w:r w:rsidRPr="009E381C">
              <w:rPr>
                <w:rFonts w:ascii="Times New Roman" w:hAnsi="Times New Roman" w:cs="Times New Roman"/>
                <w:noProof/>
                <w:webHidden/>
                <w:sz w:val="28"/>
                <w:szCs w:val="28"/>
              </w:rPr>
              <w:instrText xml:space="preserve"> PAGEREF _Toc503711975 \h </w:instrText>
            </w:r>
            <w:r w:rsidRPr="009E381C">
              <w:rPr>
                <w:rFonts w:ascii="Times New Roman" w:hAnsi="Times New Roman" w:cs="Times New Roman"/>
                <w:noProof/>
                <w:webHidden/>
                <w:sz w:val="28"/>
                <w:szCs w:val="28"/>
              </w:rPr>
            </w:r>
            <w:r w:rsidRPr="009E381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9E381C">
              <w:rPr>
                <w:rFonts w:ascii="Times New Roman" w:hAnsi="Times New Roman" w:cs="Times New Roman"/>
                <w:noProof/>
                <w:webHidden/>
                <w:sz w:val="28"/>
                <w:szCs w:val="28"/>
              </w:rPr>
              <w:fldChar w:fldCharType="end"/>
            </w:r>
          </w:hyperlink>
        </w:p>
        <w:p w:rsidR="009E381C" w:rsidRPr="009E381C" w:rsidRDefault="009E381C" w:rsidP="009E381C">
          <w:pPr>
            <w:pStyle w:val="11"/>
            <w:tabs>
              <w:tab w:val="right" w:leader="dot" w:pos="9628"/>
            </w:tabs>
            <w:spacing w:after="0" w:line="240" w:lineRule="auto"/>
            <w:rPr>
              <w:rFonts w:ascii="Times New Roman" w:hAnsi="Times New Roman" w:cs="Times New Roman"/>
              <w:noProof/>
              <w:sz w:val="28"/>
              <w:szCs w:val="28"/>
            </w:rPr>
          </w:pPr>
          <w:hyperlink w:anchor="_Toc503711976" w:history="1">
            <w:r w:rsidRPr="009E381C">
              <w:rPr>
                <w:rStyle w:val="aa"/>
                <w:rFonts w:ascii="Times New Roman" w:eastAsia="Times New Roman" w:hAnsi="Times New Roman" w:cs="Times New Roman"/>
                <w:noProof/>
                <w:color w:val="auto"/>
                <w:sz w:val="28"/>
                <w:szCs w:val="28"/>
                <w:lang w:eastAsia="ru-RU"/>
              </w:rPr>
              <w:t>Список использованной литературы</w:t>
            </w:r>
            <w:r w:rsidRPr="009E381C">
              <w:rPr>
                <w:rFonts w:ascii="Times New Roman" w:hAnsi="Times New Roman" w:cs="Times New Roman"/>
                <w:noProof/>
                <w:webHidden/>
                <w:sz w:val="28"/>
                <w:szCs w:val="28"/>
              </w:rPr>
              <w:tab/>
            </w:r>
            <w:r w:rsidRPr="009E381C">
              <w:rPr>
                <w:rFonts w:ascii="Times New Roman" w:hAnsi="Times New Roman" w:cs="Times New Roman"/>
                <w:noProof/>
                <w:webHidden/>
                <w:sz w:val="28"/>
                <w:szCs w:val="28"/>
              </w:rPr>
              <w:fldChar w:fldCharType="begin"/>
            </w:r>
            <w:r w:rsidRPr="009E381C">
              <w:rPr>
                <w:rFonts w:ascii="Times New Roman" w:hAnsi="Times New Roman" w:cs="Times New Roman"/>
                <w:noProof/>
                <w:webHidden/>
                <w:sz w:val="28"/>
                <w:szCs w:val="28"/>
              </w:rPr>
              <w:instrText xml:space="preserve"> PAGEREF _Toc503711976 \h </w:instrText>
            </w:r>
            <w:r w:rsidRPr="009E381C">
              <w:rPr>
                <w:rFonts w:ascii="Times New Roman" w:hAnsi="Times New Roman" w:cs="Times New Roman"/>
                <w:noProof/>
                <w:webHidden/>
                <w:sz w:val="28"/>
                <w:szCs w:val="28"/>
              </w:rPr>
            </w:r>
            <w:r w:rsidRPr="009E381C">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9E381C">
              <w:rPr>
                <w:rFonts w:ascii="Times New Roman" w:hAnsi="Times New Roman" w:cs="Times New Roman"/>
                <w:noProof/>
                <w:webHidden/>
                <w:sz w:val="28"/>
                <w:szCs w:val="28"/>
              </w:rPr>
              <w:fldChar w:fldCharType="end"/>
            </w:r>
          </w:hyperlink>
        </w:p>
        <w:p w:rsidR="009E381C" w:rsidRPr="009E381C" w:rsidRDefault="009E381C" w:rsidP="009E381C">
          <w:pPr>
            <w:spacing w:after="0" w:line="240" w:lineRule="auto"/>
          </w:pPr>
          <w:r w:rsidRPr="009E381C">
            <w:rPr>
              <w:rFonts w:ascii="Times New Roman" w:hAnsi="Times New Roman" w:cs="Times New Roman"/>
              <w:b/>
              <w:bCs/>
              <w:sz w:val="28"/>
              <w:szCs w:val="28"/>
            </w:rPr>
            <w:fldChar w:fldCharType="end"/>
          </w:r>
        </w:p>
      </w:sdtContent>
    </w:sdt>
    <w:p w:rsidR="009E381C" w:rsidRPr="009E381C" w:rsidRDefault="009E381C" w:rsidP="009E381C"/>
    <w:p w:rsidR="009E381C" w:rsidRPr="009E381C" w:rsidRDefault="009E381C">
      <w:pPr>
        <w:rPr>
          <w:rFonts w:ascii="Arial" w:eastAsiaTheme="majorEastAsia" w:hAnsi="Arial" w:cs="Arial"/>
          <w:sz w:val="32"/>
          <w:szCs w:val="32"/>
        </w:rPr>
      </w:pPr>
      <w:bookmarkStart w:id="1" w:name="_Toc503711971"/>
      <w:r w:rsidRPr="009E381C">
        <w:rPr>
          <w:rFonts w:ascii="Arial" w:hAnsi="Arial" w:cs="Arial"/>
        </w:rPr>
        <w:br w:type="page"/>
      </w:r>
      <w:bookmarkStart w:id="2" w:name="_GoBack"/>
      <w:bookmarkEnd w:id="2"/>
    </w:p>
    <w:p w:rsidR="00D9599C" w:rsidRPr="009E381C" w:rsidRDefault="00D9599C" w:rsidP="00D9599C">
      <w:pPr>
        <w:pStyle w:val="1"/>
        <w:spacing w:after="240" w:line="240" w:lineRule="auto"/>
        <w:jc w:val="center"/>
        <w:rPr>
          <w:rFonts w:ascii="Arial" w:hAnsi="Arial" w:cs="Arial"/>
          <w:color w:val="auto"/>
        </w:rPr>
      </w:pPr>
      <w:r w:rsidRPr="009E381C">
        <w:rPr>
          <w:rFonts w:ascii="Arial" w:hAnsi="Arial" w:cs="Arial"/>
          <w:color w:val="auto"/>
        </w:rPr>
        <w:lastRenderedPageBreak/>
        <w:t>Введение</w:t>
      </w:r>
      <w:bookmarkEnd w:id="1"/>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xml:space="preserve">В процессе управления финансовой системой предприятия решаются вопросы получения финансовых ресурсов, управления финансовыми ресурсами и их использования. Основой деятельности </w:t>
      </w:r>
      <w:r w:rsidRPr="009E381C">
        <w:rPr>
          <w:rFonts w:ascii="Times New Roman" w:hAnsi="Times New Roman" w:cs="Times New Roman"/>
          <w:sz w:val="28"/>
          <w:szCs w:val="28"/>
        </w:rPr>
        <w:t>любого</w:t>
      </w:r>
      <w:r w:rsidRPr="009E381C">
        <w:rPr>
          <w:rFonts w:ascii="Times New Roman" w:hAnsi="Times New Roman" w:cs="Times New Roman"/>
          <w:sz w:val="28"/>
          <w:szCs w:val="28"/>
        </w:rPr>
        <w:t xml:space="preserve"> предприятия является производство, и соответственно движение денежных средств обусловливается движением материальных ресурсов.</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В процессе деятельности предприятие вкладывает деньги в основные средства, закупает материалы, топливо, оплачивает труд работников, в результате чего производятся товары, оказываются услуги, которые, в свою очередь, оплачиваются покупателями. После этого затраченные деньги в форме выручки от реализации возвращаются на предприятие.</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Размер доходов, получаемых предприятием, напрямую зависит от уровня цен на его продукцию и услуги. Это в первую очередь относится к выручке от реализации продукции (работ, услуг).</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Ценообразование включает различные стадии формирования цен при продвижении продукции от предприятия-изготовителя к конечному потребителю.</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В рыночной экономике цена выполняет следующие функции:</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посредника и соизмерителя при обмене услуг на деньги;</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индикатора, отражающего конъюнктуру рынка, (соотношение спроса и предложения, степень монополизации рынка, уровень инфляции и т.д.);</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маркетингового регулятора рынка, с помощью которого осуществляется воздействие на спрос и предложение, структуру и емкость рынка, покупательную способность денег;</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фактора, определяющего уровень жизни населения, объем и структуру потребления, уровень реальных доходов различных групп населения и т.п.</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Однако, однозначного подхода к формированию уровня и структуры цен на различные виды услуг нет. Имеются только некоторые общие теоретические принципы и методические подходы, которые могут использоваться в процессе ценообразования в социальной сфере.</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Целью данной работы является анализ особенностей ценообразования отраслей социальной сферы.</w:t>
      </w:r>
    </w:p>
    <w:p w:rsidR="00D9599C" w:rsidRPr="009E381C" w:rsidRDefault="00D9599C" w:rsidP="00D9599C">
      <w:pPr>
        <w:spacing w:after="0" w:line="240" w:lineRule="auto"/>
        <w:ind w:firstLine="709"/>
        <w:jc w:val="both"/>
        <w:rPr>
          <w:rFonts w:ascii="Times New Roman" w:hAnsi="Times New Roman" w:cs="Times New Roman"/>
          <w:sz w:val="28"/>
          <w:szCs w:val="28"/>
        </w:rPr>
      </w:pPr>
    </w:p>
    <w:p w:rsidR="00D9599C" w:rsidRPr="009E381C" w:rsidRDefault="00D9599C" w:rsidP="00D9599C">
      <w:pPr>
        <w:spacing w:after="0" w:line="240" w:lineRule="auto"/>
        <w:ind w:firstLine="709"/>
        <w:jc w:val="both"/>
        <w:rPr>
          <w:rFonts w:ascii="Times New Roman" w:hAnsi="Times New Roman" w:cs="Times New Roman"/>
          <w:sz w:val="28"/>
          <w:szCs w:val="28"/>
        </w:rPr>
      </w:pPr>
    </w:p>
    <w:p w:rsidR="00D9599C" w:rsidRPr="009E381C" w:rsidRDefault="00D9599C">
      <w:pPr>
        <w:rPr>
          <w:rFonts w:ascii="Times New Roman" w:hAnsi="Times New Roman" w:cs="Times New Roman"/>
          <w:sz w:val="28"/>
          <w:szCs w:val="28"/>
        </w:rPr>
      </w:pPr>
      <w:r w:rsidRPr="009E381C">
        <w:rPr>
          <w:rFonts w:ascii="Times New Roman" w:hAnsi="Times New Roman" w:cs="Times New Roman"/>
          <w:sz w:val="28"/>
          <w:szCs w:val="28"/>
        </w:rPr>
        <w:br w:type="page"/>
      </w:r>
    </w:p>
    <w:p w:rsidR="00D9599C" w:rsidRPr="009E381C" w:rsidRDefault="00D9599C" w:rsidP="00D9599C">
      <w:pPr>
        <w:pStyle w:val="1"/>
        <w:spacing w:after="240" w:line="240" w:lineRule="auto"/>
        <w:ind w:firstLine="709"/>
        <w:jc w:val="both"/>
        <w:rPr>
          <w:rFonts w:ascii="Arial" w:hAnsi="Arial" w:cs="Arial"/>
          <w:color w:val="auto"/>
        </w:rPr>
      </w:pPr>
      <w:bookmarkStart w:id="3" w:name="_Toc503711972"/>
      <w:r w:rsidRPr="009E381C">
        <w:rPr>
          <w:rFonts w:ascii="Arial" w:hAnsi="Arial" w:cs="Arial"/>
          <w:color w:val="auto"/>
        </w:rPr>
        <w:lastRenderedPageBreak/>
        <w:t>1 Особенности ценообразования в сфере услуг</w:t>
      </w:r>
      <w:bookmarkEnd w:id="3"/>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xml:space="preserve">Поскольку </w:t>
      </w:r>
      <w:r w:rsidRPr="009E381C">
        <w:rPr>
          <w:rFonts w:ascii="Times New Roman" w:hAnsi="Times New Roman" w:cs="Times New Roman"/>
          <w:sz w:val="28"/>
          <w:szCs w:val="28"/>
        </w:rPr>
        <w:t>основными элементами рыночного хозяйственного механизма являются спрос, предложение и цена, то первоначально следует раскрыть особенности формирования спроса и предложения на услуги социальной сферы, а затем уже рассмотреть конкретные вопросы определения цен.</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Отметим, что имеется ряд особенностей, которые можно отнести ко всем отраслям сферы услуг.</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Спрос на услуги всегда индивидуален, предшествует производству услуг, имеет местный характер и практически невзаимозаменяем. Вместе с тем, потребление услуг социальной сферы в отличие от потребления материальных благ и других видов услуг практически не имеет границ. Иначе говоря, независимо от объема уже потребленных услуг отдельный член общества и все общество в целом продолжают предъявлять спрос на них. Причем потребитель формирует спрос на услуги нескольких отраслей одновременно. Так, например, для высвобождения свободного времени он сначала обращается в службу быта, а затем для его рационального использования — в организации, оказывающие туристско-экскурсионные, оздоровительные, зрелищные услуги и т.д. И объем предъявленного спроса зависит не от того, сколько и каких социальных услуг уже было получено, а от уровня образования, культурного потенциала, дохода потребителя и уровня цен на данную и взаимосвязанные с ней виды услуг</w:t>
      </w:r>
      <w:r w:rsidR="009E381C">
        <w:rPr>
          <w:rFonts w:ascii="Times New Roman" w:hAnsi="Times New Roman" w:cs="Times New Roman"/>
          <w:sz w:val="28"/>
          <w:szCs w:val="28"/>
        </w:rPr>
        <w:t xml:space="preserve"> </w:t>
      </w:r>
      <w:r w:rsidR="009E381C">
        <w:rPr>
          <w:rFonts w:ascii="Times New Roman" w:hAnsi="Times New Roman" w:cs="Times New Roman"/>
          <w:sz w:val="28"/>
          <w:szCs w:val="28"/>
        </w:rPr>
        <w:sym w:font="Symbol" w:char="F05B"/>
      </w:r>
      <w:r w:rsidR="009E381C">
        <w:rPr>
          <w:rFonts w:ascii="Times New Roman" w:hAnsi="Times New Roman" w:cs="Times New Roman"/>
          <w:sz w:val="28"/>
          <w:szCs w:val="28"/>
        </w:rPr>
        <w:t>1</w:t>
      </w:r>
      <w:r w:rsidR="009E381C">
        <w:rPr>
          <w:rFonts w:ascii="Times New Roman" w:hAnsi="Times New Roman" w:cs="Times New Roman"/>
          <w:sz w:val="28"/>
          <w:szCs w:val="28"/>
        </w:rPr>
        <w:sym w:font="Symbol" w:char="F05D"/>
      </w:r>
      <w:r w:rsidRPr="009E381C">
        <w:rPr>
          <w:rFonts w:ascii="Times New Roman" w:hAnsi="Times New Roman" w:cs="Times New Roman"/>
          <w:sz w:val="28"/>
          <w:szCs w:val="28"/>
        </w:rPr>
        <w:t>.</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Прежде чем перейти к рассмотрению экономических факторов, определяющих объем спроса на услуги, отметим, что в ряде отраслей социальной сферы значение такого фактора как мода, вкусы, предпочтения относительно невелико. Его следует учитывать в основном в отраслях шоу - бизнеса, рекреационной сферы, в ряде случаев потребитель может оказывать предпочтение тому или иному виду культурного обслуживания (такие взаимозаменяемые между собой виды услуг как услуги театра, кино, музея). Причем выбор все равно зависит не только от вкусов потребителя, но и от уровня доходов и цен, о чем будет сказано особо. В определенной мере в настоящее время этот фактор должен учитываться при формировании цен на платные медицинские и образовательные услуги. В сфере коммунальных услуг он не действует вообще. Вместе с тем, возможны ситуации, когда в разных подотраслях одной и той же отрасли влияние этих факторов может проявляться в разной степени.</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Очевидно, что на объем спроса наиболее значительное влияние оказывают такие экономические факторы как цены и доход.</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xml:space="preserve">Наибольшее влияние на объем спроса оказывает цена данной услуги. Отметим, что в целом по отраслям социальной сферы высокое значение имеет коэффициент прямой эластичности спроса от цены. Это обусловленно тем, что при неблагоприятных экономических условиях от потребления большинства услуг можно достаточно легко отказаться (не поехать отдыхать, не пойти в кино, театр). Например, по расчетам американских ученых коэффициент прямой </w:t>
      </w:r>
      <w:r w:rsidRPr="009E381C">
        <w:rPr>
          <w:rFonts w:ascii="Times New Roman" w:hAnsi="Times New Roman" w:cs="Times New Roman"/>
          <w:sz w:val="28"/>
          <w:szCs w:val="28"/>
        </w:rPr>
        <w:lastRenderedPageBreak/>
        <w:t>эластичности спроса по цене составляет в долгосрочном периоде по услугам кинотеатров - 3, 67.</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Наиболее значимым исключением являются услуги здравохранения, избирательность и селективность спроса на которые крайне ограничена. Насущность медицинских услуг (особенно в случае болезни) практически исключает заменяемость расходов на медицинское обслуживание расходами на другие цели. Наоборот, может произойти перераспределение статей семейного бюджета за счет экономии на покупках других товаров и услуг.</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При определении цен на зрелищные или спортивные мероприятия, концерты, проводимые на стадионах, когда затраты не зависят от числа зрителей, в целях максимизации дохода рекомендуется учитывать при определении цен не только количество мест, но и величину коэффициента прямой эластичности спроса по цене. Максимизация общей выручки достигается в той точке на кривой спроса, в которой величина этого коэффициента равна единице.</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Рассматривая вопросы формирования объема спроса особое внимание следует обратить на уровни цен на другие виды услуг, которые могут находиться в отношениях взаимозаменяемости или взаимодополняемости с данной услугой. Это обусловлено значимостью коэффициента перекрестной эластичности спроса по цене.</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Взаимодополняют друг друга, например, услуги составляющие тур, в который могут входить услуги предприятий пассажирского транспорта, проживания, питания, экскурсионного обслуживания, оздоровительных учреждений и зрелищных организаций. Очевидно, что при росте цен на некоторые из них произойдет увеличение цен и на всю комплексную услугу, что при прочих равных условиях может привести к падению спроса на нее. Такая же ситуация присуща медицинскому обслуживанию, где для оказания полноценной помощи требуется предоставление целого комплекса услуг.</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Отношения взаимозаменяемости характерны для услуг различных зрелищных организаций и учреждений культуры. Например, в широком смысле слова взаимозаменяют друг друга услуги кинотеатра, театра, музея, парка отдыха, бюро экскурсий и т.д. При возрастании цен на театральные билеты потребитель может пойти в музей или поехать на экскурсию (если там цены относительно ниже) или наоборот. Учитывая значительные внешние эффекты важно, чтобы цены на социально - значимые виды услуг (услуги художественного или краеведческого музея, детских театров и т.д.) были установлены на самом низком уровне. Иначе у потребителя может встать вопрос об отказе от них и замене другими.</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На объем спроса значительное влияние оказывает и уровень дохода населения. В социальной сфере в нашей в настоящее время выявились две тенденции</w:t>
      </w:r>
      <w:r w:rsidR="009E381C">
        <w:rPr>
          <w:rFonts w:ascii="Times New Roman" w:hAnsi="Times New Roman" w:cs="Times New Roman"/>
          <w:sz w:val="28"/>
          <w:szCs w:val="28"/>
        </w:rPr>
        <w:t xml:space="preserve"> </w:t>
      </w:r>
      <w:r w:rsidR="009E381C">
        <w:rPr>
          <w:rFonts w:ascii="Times New Roman" w:hAnsi="Times New Roman" w:cs="Times New Roman"/>
          <w:sz w:val="28"/>
          <w:szCs w:val="28"/>
        </w:rPr>
        <w:sym w:font="Symbol" w:char="F05B"/>
      </w:r>
      <w:r w:rsidR="009E381C">
        <w:rPr>
          <w:rFonts w:ascii="Times New Roman" w:hAnsi="Times New Roman" w:cs="Times New Roman"/>
          <w:sz w:val="28"/>
          <w:szCs w:val="28"/>
        </w:rPr>
        <w:t>2</w:t>
      </w:r>
      <w:r w:rsidR="009E381C">
        <w:rPr>
          <w:rFonts w:ascii="Times New Roman" w:hAnsi="Times New Roman" w:cs="Times New Roman"/>
          <w:sz w:val="28"/>
          <w:szCs w:val="28"/>
        </w:rPr>
        <w:sym w:font="Symbol" w:char="F05D"/>
      </w:r>
      <w:r w:rsidRPr="009E381C">
        <w:rPr>
          <w:rFonts w:ascii="Times New Roman" w:hAnsi="Times New Roman" w:cs="Times New Roman"/>
          <w:sz w:val="28"/>
          <w:szCs w:val="28"/>
        </w:rPr>
        <w:t>:</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xml:space="preserve">1) сокращение реального дохода значительной части населения привело к падению спроса на целый ряд традиционных услуг (бытовые услуги, услуги внутреннего туристско- экскурсионного обслуживания, услуги учреждений культуры). Общеизвестно, что при снижении реального дохода населения сфера </w:t>
      </w:r>
      <w:r w:rsidRPr="009E381C">
        <w:rPr>
          <w:rFonts w:ascii="Times New Roman" w:hAnsi="Times New Roman" w:cs="Times New Roman"/>
          <w:sz w:val="28"/>
          <w:szCs w:val="28"/>
        </w:rPr>
        <w:lastRenderedPageBreak/>
        <w:t>услуг “страдает” в первую очередь, так как потенциальные потребители или, если это возможно, отказываются от потребления услуг вообще или переходят на самообслуживание;</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2) одновременно формируется спрос части населения с высоким уровнем доходов на такие лишь недавно ставшие платными в нашей стране виды услуг как образование (среднее и высшее), здравохранение, расширяется спрос на поездки в зарубежные страны.</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При установлении цен надо также иметь в виду, что объем спроса населения практически во всех отраслях сферы услуг подвержен значительным временным колебаниям. Это связано как с предпочтениями населения (отдых, например, преимущественно летом), так и особенностями потребления некоторых услуг (в свободное от работы время). Таким образом для целого ряда услуг объем спроса достигает максимума в определенные периоды времени: для курортов - конец недели или летние (зимние) месяцы, для театров и кинотеатров - вечернее время. Причем в пиковое время предельные издержки (на обслуживание дополнительного потребителя) велики вследствии ограниченной мощности. Такая особенность обусловила возможность широкого применения ценовой дискриминации всех видов.</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Говоря об особенностях факторов, влияющих на предложение услуг социальной сферы, следует иметь в виду, что ресурсы, используемые в отраслях этой сферы имеют в значительной мере локальный характер. Это обусловлено тем, что как уже отмечалось, услуга обычно оказывается индивидуальному потребителю. Причем процессы производства и потребления в большинстве случаев совпадают в пространстве и времени.</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В ряде случаев объем предложения находится под определяющим влиянием местных условий. Например, наличие и мощность источников воды, естественных мест отдыха, туристско - экскурсионных объектов (уникальных памятников архитектуры или музейных коллекций).</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Кроме наличия ресурсов прямое воздействие на уровень цены услуги, и, следовательно, объем предложения оказывают цены на ресурсы. Значительный рост цен на услуги организаций социальной сферы в РФ связан не в последнюю очередь с увеличением цен на топливо, электроэнергию, материалы.</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В этой связи следует выделить особенность, присущую только сфере услуг, в том числе и социальных - в составе себестоимости услуги значительную часть (50-70%) составляют условно-постоянные, не зависящие от объема производства, затраты. К ним относится заработная плата обслуживающего персонала с начислениями, затраты на коммунальные услуги, арендные платежи. Это приводит к тому, что любые колебания в объеме производства услуг приводят к изменению уровня доходности предприятия. В ряде случаев такое снижение рентабельности может быть обусловлено сезонными (временными) колебаниями и учтено при стимулировании сбыта</w:t>
      </w:r>
      <w:r w:rsidR="009E381C">
        <w:rPr>
          <w:rFonts w:ascii="Times New Roman" w:hAnsi="Times New Roman" w:cs="Times New Roman"/>
          <w:sz w:val="28"/>
          <w:szCs w:val="28"/>
        </w:rPr>
        <w:t xml:space="preserve"> </w:t>
      </w:r>
      <w:r w:rsidR="009E381C">
        <w:rPr>
          <w:rFonts w:ascii="Times New Roman" w:hAnsi="Times New Roman" w:cs="Times New Roman"/>
          <w:sz w:val="28"/>
          <w:szCs w:val="28"/>
        </w:rPr>
        <w:sym w:font="Symbol" w:char="F05B"/>
      </w:r>
      <w:r w:rsidR="009E381C">
        <w:rPr>
          <w:rFonts w:ascii="Times New Roman" w:hAnsi="Times New Roman" w:cs="Times New Roman"/>
          <w:sz w:val="28"/>
          <w:szCs w:val="28"/>
        </w:rPr>
        <w:t>2</w:t>
      </w:r>
      <w:r w:rsidR="009E381C">
        <w:rPr>
          <w:rFonts w:ascii="Times New Roman" w:hAnsi="Times New Roman" w:cs="Times New Roman"/>
          <w:sz w:val="28"/>
          <w:szCs w:val="28"/>
        </w:rPr>
        <w:sym w:font="Symbol" w:char="F05D"/>
      </w:r>
      <w:r w:rsidRPr="009E381C">
        <w:rPr>
          <w:rFonts w:ascii="Times New Roman" w:hAnsi="Times New Roman" w:cs="Times New Roman"/>
          <w:sz w:val="28"/>
          <w:szCs w:val="28"/>
        </w:rPr>
        <w:t>.</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xml:space="preserve">Характер технологии производства оказывает влияние на объем предложения услуг только в фондоемких отраслях (при оказании некоторых видов бытовых, коммунальных и медицинских услуг). В тех отраслях, где </w:t>
      </w:r>
      <w:r w:rsidRPr="009E381C">
        <w:rPr>
          <w:rFonts w:ascii="Times New Roman" w:hAnsi="Times New Roman" w:cs="Times New Roman"/>
          <w:sz w:val="28"/>
          <w:szCs w:val="28"/>
        </w:rPr>
        <w:lastRenderedPageBreak/>
        <w:t>фондоемкость невелика, этот фактор практического влияния на объем предложения не оказывает. В этих случаях зачастую возникает ситуация, при которой быстро оказываются исчерпанными возможности роста производительности труда. В условиях нестабильной экономики (например, в настоящее время в России) это приводит к тому, что рост цен на услуги происходит более высокими темпами, чем в отраслях материального производства.</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Наличие взаимозаменяемых и взаимодополняющих видов услуг следует учитывать не только со стороны спроса, о чем уже говорилось, но и со стороны предложения. В социальной сфере это особенно важно, поскольку здесь процессы производства и потребления не разделены во времени. Таким образом, более низкий уровень цен на конкурирующие взаимозаменяемые услуги может привести к сокращению производства данной услуги и наоборот. С другой стороны, изменение цены на одну составляющую комплексной услуги может негативно воздействовать на объем спроса и предложения всего набора.</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То же самое можно сказать и о влиянии уровня цены услуги на объем ее предложения. Поскольку спрос и предложение реализуется одновременно, у производителя нет возможности произвести услугу ”про запас” или реализовать ее в другом месте.</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Особо следует отметить роль налогов и дотаций в формировании объема предложения. Учитывая возникающие при производстве услуг социальной сферы внешние эффекты, требуется стимулировать их производство. Причем в целях его расширения надо активнее применять налоговые льготы, а вместо дотаций производителю, лучше предоставлять целевые субсидии потребителям. В этом случае будет формироваться спрос на особо значимые (или более качественные) виды услуг.</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Говоря о необходимости расширения предложения услуг в условиях недостатка средств на их финансирование, следует остановиться на роли и проблемах ценообразования на услуги некоммерческих организаций. Надо иметь в виду, что экономическое, в том числе и ценовое поведение этих организаций в целом складывается под воздействием рыночных факторов. Приобретение материалов, техники, рабочей силы ориентируется на их рыночные цены. Эти предприятия также используют общие для любых хозяйственных субъектов методы формирования и стимулирования спроса, приемы завоевания рынка, дифференциации продукта и т.д. И хотя цены на их услуги как правило ниже, чем в коммерческом секторе, вследствие влияния на их уровень пожертвований, государственных субсидий, мер государственного регулирования (льготные ставки налогообложения), однако они не свободны от влияния рыночной конъюнктуры и ценовой политики коммерческих организаций. Вместе с тем, надо отметить, что наиболее распространенной формой интеграции некоммерческого сектора в систему рыночных отношений является предоставление платных непрофильных услуг, цены на которые формируются в соответствии с рыночным механизмом хозяйствования.</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lastRenderedPageBreak/>
        <w:t>Вместе с тем, кроме факторов, определяющих объемы спроса и предложения, значительное влияние на уровень цен в сфере услуг социальной сферы оказывает структура рынка. Причем все отрасли этой сферы можно разделить на две большие группы:</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функционирующие в условиях конкуренции;</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 функционирующие в условиях монополии, в первую очередь, естественной.</w:t>
      </w:r>
    </w:p>
    <w:p w:rsidR="00D9599C" w:rsidRPr="009E381C" w:rsidRDefault="00D9599C" w:rsidP="00D9599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Следует отметить, что предприятия, входящие в первую группу, работают в условиях конкурентного рынка, выделяя на нем свою нишу, и практически очень ограничены в своих действиях по установлению уровня цены. Поэтому в целях максимизации прибыли они должны выбрать оптимальную ценовую стратегию и тактику и соответствующий им метод ценообразования.</w:t>
      </w:r>
    </w:p>
    <w:p w:rsidR="00D9599C" w:rsidRPr="009E381C" w:rsidRDefault="009E381C" w:rsidP="009E381C">
      <w:pPr>
        <w:pStyle w:val="1"/>
        <w:spacing w:after="240" w:line="240" w:lineRule="auto"/>
        <w:ind w:firstLine="709"/>
        <w:jc w:val="both"/>
        <w:rPr>
          <w:rFonts w:ascii="Arial" w:eastAsia="Times New Roman" w:hAnsi="Arial" w:cs="Arial"/>
          <w:color w:val="auto"/>
          <w:lang w:eastAsia="ru-RU"/>
        </w:rPr>
      </w:pPr>
      <w:bookmarkStart w:id="4" w:name="_Toc503711973"/>
      <w:r w:rsidRPr="009E381C">
        <w:rPr>
          <w:rFonts w:ascii="Arial" w:eastAsia="Times New Roman" w:hAnsi="Arial" w:cs="Arial"/>
          <w:color w:val="auto"/>
          <w:lang w:eastAsia="ru-RU"/>
        </w:rPr>
        <w:t xml:space="preserve">2 </w:t>
      </w:r>
      <w:r w:rsidR="00D9599C" w:rsidRPr="009E381C">
        <w:rPr>
          <w:rFonts w:ascii="Arial" w:eastAsia="Times New Roman" w:hAnsi="Arial" w:cs="Arial"/>
          <w:color w:val="auto"/>
          <w:lang w:eastAsia="ru-RU"/>
        </w:rPr>
        <w:t>Специфика ценообразования на услуги организаций</w:t>
      </w:r>
      <w:r w:rsidRPr="009E381C">
        <w:rPr>
          <w:rFonts w:ascii="Arial" w:eastAsia="Times New Roman" w:hAnsi="Arial" w:cs="Arial"/>
          <w:color w:val="auto"/>
          <w:lang w:eastAsia="ru-RU"/>
        </w:rPr>
        <w:t xml:space="preserve"> </w:t>
      </w:r>
      <w:r w:rsidR="00D9599C" w:rsidRPr="009E381C">
        <w:rPr>
          <w:rFonts w:ascii="Arial" w:eastAsia="Times New Roman" w:hAnsi="Arial" w:cs="Arial"/>
          <w:bCs/>
          <w:iCs/>
          <w:color w:val="auto"/>
          <w:lang w:eastAsia="ru-RU"/>
        </w:rPr>
        <w:t>социальной сферы</w:t>
      </w:r>
      <w:bookmarkEnd w:id="4"/>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Специфика формирования спроса и предложения на услуги, особенности функционирования рынка услуг вызывают и особые подходы к установлению цен в социальной сфере. В их число входят</w:t>
      </w:r>
      <w:r w:rsidR="009E381C">
        <w:rPr>
          <w:rFonts w:ascii="Times New Roman" w:eastAsia="Times New Roman" w:hAnsi="Times New Roman" w:cs="Times New Roman"/>
          <w:sz w:val="28"/>
          <w:szCs w:val="28"/>
          <w:lang w:eastAsia="ru-RU"/>
        </w:rPr>
        <w:t xml:space="preserve"> </w:t>
      </w:r>
      <w:r w:rsidR="009E381C">
        <w:rPr>
          <w:rFonts w:ascii="Times New Roman" w:hAnsi="Times New Roman" w:cs="Times New Roman"/>
          <w:sz w:val="28"/>
          <w:szCs w:val="28"/>
        </w:rPr>
        <w:sym w:font="Symbol" w:char="F05B"/>
      </w:r>
      <w:r w:rsidR="009E381C">
        <w:rPr>
          <w:rFonts w:ascii="Times New Roman" w:hAnsi="Times New Roman" w:cs="Times New Roman"/>
          <w:sz w:val="28"/>
          <w:szCs w:val="28"/>
        </w:rPr>
        <w:t>3</w:t>
      </w:r>
      <w:r w:rsidR="009E381C">
        <w:rPr>
          <w:rFonts w:ascii="Times New Roman" w:hAnsi="Times New Roman" w:cs="Times New Roman"/>
          <w:sz w:val="28"/>
          <w:szCs w:val="28"/>
        </w:rPr>
        <w:sym w:font="Symbol" w:char="F05D"/>
      </w:r>
      <w:r w:rsidRPr="009E381C">
        <w:rPr>
          <w:rFonts w:ascii="Times New Roman" w:eastAsia="Times New Roman" w:hAnsi="Times New Roman" w:cs="Times New Roman"/>
          <w:sz w:val="28"/>
          <w:szCs w:val="28"/>
          <w:lang w:eastAsia="ru-RU"/>
        </w:rPr>
        <w:t>:</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наличие большого количества взаимозаменяемых услуг требует особых методов регулирования цен, сочетания финансовых и ценовых инструментов для стимулирования их потребления и производства,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высокая общественная значимость этих услуг, наличие значительных и постоянных внешних эффектов обуславливает необходимость сочетания бесплатности и платности предоставляемых услуг, осуществление ценовой дискриминации для отдельных групп потребителей,</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предприятиям этой сферы для устойчивого получения доходов следует учитывать неравномерность во времени спроса на большинство видов услуг и широко применять дифференциацию цен по различным периодам времени, использовать систему скидок с цен.</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высокая чувствительность услуг к конъюнктуре рынка требует более высокой гибкости ценообразования, широкой дифференциации цен в зависимости от изменения спроса,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локальный характер рынка обуславливает необходимость управления ценообразованием со стороны местных органов власти.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то же время при установлении цен на услуги следует избегать наиболее часто встречающихся ошибок, которые заключаются в том, что</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цены рассматриваются в отрыве от других элементов маркетинга;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цены недостаточно учитывают специфику сегментов рынка и особенности данного вида услуг;</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ценообразование излишне ориентировано на издержки и недостаточно — на спрос;</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цены недостаточно часто изменяются в связи с рыночной конъюнктурой.</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lastRenderedPageBreak/>
        <w:t>Цена услуги также имеет свою специфику, которая заключается в том, что будучи по структуре оптовой, она выполняет функции как оптовой, так и розничной цены. Это обусловлено тем, что поскольку процесс производства и потребления услуг происходит одновременно, то в большей части отраслей для их реализации не нужен посредник.</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случае необходимости издержки по продвижению услуг учитываются в затратах на их производство и реализацию (театральные билеты, авиабилеты).</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xml:space="preserve">В конечной цене реализации услуги может быть выделена надбавка посредника в виде </w:t>
      </w:r>
      <w:r w:rsidR="009E381C" w:rsidRPr="009E381C">
        <w:rPr>
          <w:rFonts w:ascii="Times New Roman" w:eastAsia="Times New Roman" w:hAnsi="Times New Roman" w:cs="Times New Roman"/>
          <w:sz w:val="28"/>
          <w:szCs w:val="28"/>
          <w:lang w:eastAsia="ru-RU"/>
        </w:rPr>
        <w:t>комиссионного</w:t>
      </w:r>
      <w:r w:rsidRPr="009E381C">
        <w:rPr>
          <w:rFonts w:ascii="Times New Roman" w:eastAsia="Times New Roman" w:hAnsi="Times New Roman" w:cs="Times New Roman"/>
          <w:sz w:val="28"/>
          <w:szCs w:val="28"/>
          <w:lang w:eastAsia="ru-RU"/>
        </w:rPr>
        <w:t xml:space="preserve"> процента только в некоторых случаях, когда, например, путевку на туристическую поездку продает не фирма-туроператор, а фирма турагент.</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Вместе с тем надо отметить, что многофункциональность цены вызвала к жизни множество специфических ее форм. Так, цены могут рас</w:t>
      </w:r>
      <w:r w:rsidR="009E381C" w:rsidRPr="009E381C">
        <w:rPr>
          <w:rFonts w:ascii="Times New Roman" w:eastAsia="Times New Roman" w:hAnsi="Times New Roman" w:cs="Times New Roman"/>
          <w:sz w:val="28"/>
          <w:szCs w:val="28"/>
          <w:lang w:eastAsia="ru-RU"/>
        </w:rPr>
        <w:t>с</w:t>
      </w:r>
      <w:r w:rsidRPr="009E381C">
        <w:rPr>
          <w:rFonts w:ascii="Times New Roman" w:eastAsia="Times New Roman" w:hAnsi="Times New Roman" w:cs="Times New Roman"/>
          <w:sz w:val="28"/>
          <w:szCs w:val="28"/>
          <w:lang w:eastAsia="ru-RU"/>
        </w:rPr>
        <w:t>читываться на единицу потребительского блага (билет в кино, театр, музей), или как интегральные (агрегатные) цены, представляющие собой сумму цен на отдельные виды работ, необходимых для оказания данной услуги (бытовое обслуживание), или как комплексные цены, используемые при реализации взаимодополняющих услуг (цена тура в туристско-экскурсионном обслуживании).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Разновидностью цены в социальной сфере является тариф. Исторически сложилось, что этот термин применяется на такие виды услуг, как коммунальное хозяйство, городской пассажирский тра</w:t>
      </w:r>
      <w:r w:rsidR="009E381C" w:rsidRPr="009E381C">
        <w:rPr>
          <w:rFonts w:ascii="Times New Roman" w:eastAsia="Times New Roman" w:hAnsi="Times New Roman" w:cs="Times New Roman"/>
          <w:sz w:val="28"/>
          <w:szCs w:val="28"/>
          <w:lang w:eastAsia="ru-RU"/>
        </w:rPr>
        <w:t>н</w:t>
      </w:r>
      <w:r w:rsidRPr="009E381C">
        <w:rPr>
          <w:rFonts w:ascii="Times New Roman" w:eastAsia="Times New Roman" w:hAnsi="Times New Roman" w:cs="Times New Roman"/>
          <w:sz w:val="28"/>
          <w:szCs w:val="28"/>
          <w:lang w:eastAsia="ru-RU"/>
        </w:rPr>
        <w:t>спорт и некоторые другие.</w:t>
      </w:r>
    </w:p>
    <w:p w:rsidR="00D9599C" w:rsidRPr="009E381C" w:rsidRDefault="009E381C" w:rsidP="009E381C">
      <w:pPr>
        <w:pStyle w:val="1"/>
        <w:spacing w:after="240" w:line="240" w:lineRule="auto"/>
        <w:ind w:firstLine="709"/>
        <w:jc w:val="both"/>
        <w:rPr>
          <w:rFonts w:ascii="Arial" w:eastAsia="Times New Roman" w:hAnsi="Arial" w:cs="Arial"/>
          <w:color w:val="auto"/>
          <w:lang w:eastAsia="ru-RU"/>
        </w:rPr>
      </w:pPr>
      <w:bookmarkStart w:id="5" w:name="_Toc503711974"/>
      <w:r w:rsidRPr="009E381C">
        <w:rPr>
          <w:rFonts w:ascii="Arial" w:eastAsia="Times New Roman" w:hAnsi="Arial" w:cs="Arial"/>
          <w:color w:val="auto"/>
          <w:kern w:val="36"/>
          <w:lang w:eastAsia="ru-RU"/>
        </w:rPr>
        <w:t>3 М</w:t>
      </w:r>
      <w:r w:rsidR="00D9599C" w:rsidRPr="009E381C">
        <w:rPr>
          <w:rFonts w:ascii="Arial" w:eastAsia="Times New Roman" w:hAnsi="Arial" w:cs="Arial"/>
          <w:color w:val="auto"/>
          <w:kern w:val="36"/>
          <w:lang w:eastAsia="ru-RU"/>
        </w:rPr>
        <w:t>етоды ценообразования на</w:t>
      </w:r>
      <w:r w:rsidRPr="009E381C">
        <w:rPr>
          <w:rFonts w:ascii="Arial" w:eastAsia="Times New Roman" w:hAnsi="Arial" w:cs="Arial"/>
          <w:color w:val="auto"/>
          <w:kern w:val="36"/>
          <w:lang w:eastAsia="ru-RU"/>
        </w:rPr>
        <w:t xml:space="preserve"> </w:t>
      </w:r>
      <w:r w:rsidR="00D9599C" w:rsidRPr="009E381C">
        <w:rPr>
          <w:rFonts w:ascii="Arial" w:eastAsia="Times New Roman" w:hAnsi="Arial" w:cs="Arial"/>
          <w:color w:val="auto"/>
          <w:lang w:eastAsia="ru-RU"/>
        </w:rPr>
        <w:t>услуги организаций социальной сферы</w:t>
      </w:r>
      <w:bookmarkEnd w:id="5"/>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Как уже отмечалось, цены — это важный элемент системы маркетинга, который должен рассматриваться, формироваться и анализироваться в совокупности со всей системой маркетинговых мероприятий. О значении цены как инструмента маркетинговой политики говорит тот факт, что в ходе проведения в начале 90-х годов учеными Университета Майнц в ФРГ и Лондонской школы бизнеса исследования, директора по маркетингу определили значимость цен для управления фирмой в 4,2 балла (в сфере услуг — в 3,7 балла), что является наивысшим показателем</w:t>
      </w:r>
      <w:r w:rsidR="009E381C">
        <w:rPr>
          <w:rFonts w:ascii="Times New Roman" w:eastAsia="Times New Roman" w:hAnsi="Times New Roman" w:cs="Times New Roman"/>
          <w:sz w:val="28"/>
          <w:szCs w:val="28"/>
          <w:lang w:eastAsia="ru-RU"/>
        </w:rPr>
        <w:t xml:space="preserve"> </w:t>
      </w:r>
      <w:r w:rsidR="009E381C">
        <w:rPr>
          <w:rFonts w:ascii="Times New Roman" w:hAnsi="Times New Roman" w:cs="Times New Roman"/>
          <w:sz w:val="28"/>
          <w:szCs w:val="28"/>
        </w:rPr>
        <w:sym w:font="Symbol" w:char="F05B"/>
      </w:r>
      <w:r w:rsidR="009E381C">
        <w:rPr>
          <w:rFonts w:ascii="Times New Roman" w:hAnsi="Times New Roman" w:cs="Times New Roman"/>
          <w:sz w:val="28"/>
          <w:szCs w:val="28"/>
        </w:rPr>
        <w:t>4</w:t>
      </w:r>
      <w:r w:rsidR="009E381C">
        <w:rPr>
          <w:rFonts w:ascii="Times New Roman" w:hAnsi="Times New Roman" w:cs="Times New Roman"/>
          <w:sz w:val="28"/>
          <w:szCs w:val="28"/>
        </w:rPr>
        <w:sym w:font="Symbol" w:char="F05D"/>
      </w:r>
      <w:r w:rsidRPr="009E381C">
        <w:rPr>
          <w:rFonts w:ascii="Times New Roman" w:eastAsia="Times New Roman" w:hAnsi="Times New Roman" w:cs="Times New Roman"/>
          <w:sz w:val="28"/>
          <w:szCs w:val="28"/>
          <w:lang w:eastAsia="ru-RU"/>
        </w:rPr>
        <w:t>.</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Причем предприятие самостоятельно выбирает вид ценовой стратегии, соответствующий стадии жизненного цикла, и метод ценообразования, зависящий как от указанных выше факторов, так и от структуры рынка и состояния его конъюнктуры. Следует также различать процесс первоначального установления цен на услугу и текущее изменение цены.</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Вместе с тем в сфере социальных услуг эти общие положения имеют свои особенности и нуждаются в уточнении.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xml:space="preserve">В общем виде процесс первоначального установления цен должен включать в себя следующие последовательные шаги: определение целей ценовой политики, определение спроса, оценка издержек, анализ предложения и цен конкурентов, выбор метода ценообразования, принятие решений об уровне </w:t>
      </w:r>
      <w:r w:rsidRPr="009E381C">
        <w:rPr>
          <w:rFonts w:ascii="Times New Roman" w:eastAsia="Times New Roman" w:hAnsi="Times New Roman" w:cs="Times New Roman"/>
          <w:sz w:val="28"/>
          <w:szCs w:val="28"/>
          <w:lang w:eastAsia="ru-RU"/>
        </w:rPr>
        <w:lastRenderedPageBreak/>
        <w:t>цены. Ценообразование — единственный элемент систмы маркетинга, несвязанный напрямую со значительными расходами (как, например, реклама). Вместе с тем, ценовая политика оказывается зачастую недостаточно проработанной и содержит много ошибок.</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Основными видами маркетинговых стратегий цен, которые могут быть применены в социальной сфере являются:</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1. Стратегия высоких цен (“снятия сливок”), целью которой является получение высокой прибыли. Она может использоваться по отношению к новой, впервые появляющейся на рынке услуге или традиционной услуге, характеризующейся высоким качеством, уникальностью, престижностью потребления.</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2. Стратегия средних цен, наиболее применимая для фирм, расчитывающих на получение стабильной прибыли в течение длительного периода времени.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3. Стратегия низких цен (проникновения на рынок), особенно эффективная при высокой эластичности спроса по цене, применяемая с целью проникновения на рынок, увеличения доли рынка соответствующей услуги, недопущения конкурентов, дозагрузки имеющихся мощностей или для избежания банкротства.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4. Стратегия льготных цен, целью которой является увеличение объема продаж, осуществляемое с помощью применения различных скидок.</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5. Стратегия “следования за лидером”, широко применяемая небольшими фирмами путем использования действующих на рынке цен на аналогичные виды услуг, установленных фирмой — лидером.</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При определении цен на услуги организаций социальной сферы возникают следующие дополнительные факторы (кроме общих для любого рынка):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1. Верхнюю границу цены как известно определяет полезность данного блага (услуги) для потребителя. Следовательно, потребитель должен уметь достаточно хорошо определять эту полезность с тем, чтобы выявить наиболее предпочтительную для него услугу. С этой точки зрения чрезвычайно важным является то, что в социальной сфере велика ассиметричность информации. Потребитель далеко не всегда знает, насколько качественна будет оказанная ему услуга (как хорошо сыграет актер, насколько опытны и внимательны врачи и учителя, насколько полно выполнит программу тура туристическая фирма). Поэтому он обращает особое внимание на позиционирование данной услуги на рынке, на сложившуюся репутацию фирмы, на разнообразие дополнительных услуг, которые могут быть оказаны. Если услуга не имеет аналогов, или, если потребителю практически неизвестны услуги — субституты, или, если сложно сравнивать качество различных субститутов, то данная услуга может быть реализована в соответствии с ценовыми стратегиями “снятия сливок” или “престижных цен”.</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xml:space="preserve">2. В предыдущем параграфе отмечалась высокая эластичность спроса на услуги организаций социальной сферы от уровня цен. Следовательно, у предприятия — продавца есть реальные основания для снижения цен, так как это </w:t>
      </w:r>
      <w:r w:rsidRPr="009E381C">
        <w:rPr>
          <w:rFonts w:ascii="Times New Roman" w:eastAsia="Times New Roman" w:hAnsi="Times New Roman" w:cs="Times New Roman"/>
          <w:sz w:val="28"/>
          <w:szCs w:val="28"/>
          <w:lang w:eastAsia="ru-RU"/>
        </w:rPr>
        <w:lastRenderedPageBreak/>
        <w:t>может привести к резкому увеличению объема реализации его услуг. Таким образом, в случае реализации “стандартной” услуги правильно будет применять стратегию “проникновения на рынок” с тем, чтобы увеличить свою долю рынка.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3. В высококонкурентных отраслях, где роль единичного предприятия в удовлетворении спроса населения мала, и, следовательно, оно не может проводить самостоятельной ценовой политики, следует ориентироваться на текущие цены, контролируя их изменение и вовремя внося соответствующие корректировки в уровень цен на оказываемые услуги.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4. Нижней границей цены являются издержки на оказание услуги, в составе которых в сфере услуг, как уже отмечалось, значительна доля условно-постоянных затрат. В этом случае очень важно определить тот объем производства услуг, при котором будут покрыты не только переменные, но и постоянные затраты. Для его поддержания рекомендуется в случае падения спроса применять различные виды скидок.</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Выбор ценовой стратегии в значительной мере определяет и выбор метода ценообразования. При формировании свободных цен на услуги отраслей социальной сферы можно использовать один из нескольких методов</w:t>
      </w:r>
      <w:r w:rsidR="009E381C">
        <w:rPr>
          <w:rFonts w:ascii="Times New Roman" w:eastAsia="Times New Roman" w:hAnsi="Times New Roman" w:cs="Times New Roman"/>
          <w:sz w:val="28"/>
          <w:szCs w:val="28"/>
          <w:lang w:eastAsia="ru-RU"/>
        </w:rPr>
        <w:t xml:space="preserve"> </w:t>
      </w:r>
      <w:r w:rsidR="009E381C">
        <w:rPr>
          <w:rFonts w:ascii="Times New Roman" w:hAnsi="Times New Roman" w:cs="Times New Roman"/>
          <w:sz w:val="28"/>
          <w:szCs w:val="28"/>
        </w:rPr>
        <w:sym w:font="Symbol" w:char="F05B"/>
      </w:r>
      <w:r w:rsidR="009E381C">
        <w:rPr>
          <w:rFonts w:ascii="Times New Roman" w:hAnsi="Times New Roman" w:cs="Times New Roman"/>
          <w:sz w:val="28"/>
          <w:szCs w:val="28"/>
        </w:rPr>
        <w:t>5</w:t>
      </w:r>
      <w:r w:rsidR="009E381C">
        <w:rPr>
          <w:rFonts w:ascii="Times New Roman" w:hAnsi="Times New Roman" w:cs="Times New Roman"/>
          <w:sz w:val="28"/>
          <w:szCs w:val="28"/>
        </w:rPr>
        <w:sym w:font="Symbol" w:char="F05D"/>
      </w:r>
      <w:r w:rsidRPr="009E381C">
        <w:rPr>
          <w:rFonts w:ascii="Times New Roman" w:eastAsia="Times New Roman" w:hAnsi="Times New Roman" w:cs="Times New Roman"/>
          <w:sz w:val="28"/>
          <w:szCs w:val="28"/>
          <w:lang w:eastAsia="ru-RU"/>
        </w:rPr>
        <w:t>:</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с учетом цен конкурентов в тех отраслях, где много производителей одинаковых услуг и имеется постоянный устойчивый спрос больших групп потребителей (бытовые и оздоровительные услуги, некоторые виды медицинских услуг, широко распространенные виды туристско-экскурсионных услуг). Эти услуги стандартны и, очевидно, на них могут быть сформированы практически единые цены в пределах данного рынка;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на основе спроса потребителей — в тех учреждениях и организациях, где оказываются уникальные услуги (уникальные туристские маршруты, виды лечения, наиболее популярные театрально-зрелищные мероприятия);</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на основе издержек (с добавлением определенного уровня рентабельности) — в остальных случаях. Здесь можно широко использовать график “безубыточности” для возможного анализа уровня цен и объемов производства.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Безусловно, определение издержек является обязательным и в первых случаях, поскольку они определяют нижнюю границу цены.</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Следует отметить, что кроме узкого круга государственных регулируемых цен, цены на большинство видов услуг в настоящее время являются свободными, то есть устанавливаются организациями-производителями услуг исходя из конъюнктуры рынка, качества и потребительских свойств предлагаемых услуг.</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целях фиксации уровня свободных цен составляется протокол их согласования, в котором указывается наименование и краткая характеристика услуги, данные о виде технической документации при наличии утвержденных стандартов на оказание услуги и свободная цена.</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Одновременно необходимо проводить модификации цен по географическому и сезонному принципу.</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lastRenderedPageBreak/>
        <w:t>В рамках модификации цен по географическому принципу можно выделить единую цену и цену, дифференцированную по зонам (например, в центре города и его окраинах).</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целях обеспечения равномерности в получении доходов следует провдить сезонную (временную) дифференциацию цен. В периода спада применяются скидки, чтобы привлечь тех потребителей, которые при более высоком уровне цен не обратятся за услугой. Нижней границей цены в этом случае могут служить средние переменные затраты на оказание определенного объема услуг.</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социальной сфере широко используется установление различных цен для разных потребительских сегментов (льготные входные билеты для пенсионеров, школьников, студентов в музеи, парки и т.д.), что позволяет с одной стороны, учесть высокую социальную значимость этих услуг, а с другой, повысить объем реализации и уровень доходности организаций, оказывающих эти услуги.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свою очередь расчет себестоимости подготовки специалиста может вестись по:</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фактическим затратам;</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плановым затратам;</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по затратам, определяемым нормами и нормативами.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При проведении этих расчетов может быть использована одна или несколько баз распределения затрат, в число последних входит:</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расчет с применением штатных нормативов;</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расчет с применением стандартных баз распределения затрат;</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расчет на основе группировки затрат с подразделением их на прямые и косвенные;</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 расчет с использованием удельной трудоемкости учебного плана по специальности.</w:t>
      </w:r>
    </w:p>
    <w:p w:rsidR="00D9599C" w:rsidRPr="009E381C" w:rsidRDefault="00D9599C" w:rsidP="00D9599C">
      <w:pPr>
        <w:spacing w:after="0" w:line="240" w:lineRule="auto"/>
        <w:ind w:firstLine="709"/>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В условиях инфляции для определения общего роста цен на услугу необходимо сначала установить частные индексы роста цен на отдельные составляющие себестоимости и прибыль, которая должна быть скорректирована в связи с ростом ставки банковского процента, взвесить их в соответствии с их долей в структуре цены и только потом определить “сводный” индекс роста самой цены.</w:t>
      </w:r>
    </w:p>
    <w:p w:rsidR="009E381C" w:rsidRPr="009E381C" w:rsidRDefault="009E381C" w:rsidP="009E381C">
      <w:pPr>
        <w:pStyle w:val="1"/>
        <w:spacing w:after="240" w:line="240" w:lineRule="auto"/>
        <w:jc w:val="center"/>
        <w:rPr>
          <w:rFonts w:ascii="Arial" w:eastAsia="Times New Roman" w:hAnsi="Arial" w:cs="Arial"/>
          <w:lang w:eastAsia="ru-RU"/>
        </w:rPr>
      </w:pPr>
      <w:r w:rsidRPr="009E381C">
        <w:rPr>
          <w:rFonts w:ascii="Times New Roman" w:eastAsia="Times New Roman" w:hAnsi="Times New Roman" w:cs="Times New Roman"/>
          <w:sz w:val="28"/>
          <w:szCs w:val="28"/>
          <w:u w:val="single"/>
          <w:lang w:eastAsia="ru-RU"/>
        </w:rPr>
        <w:br w:type="page"/>
      </w:r>
      <w:bookmarkStart w:id="6" w:name="_Toc503711975"/>
      <w:r w:rsidRPr="009E381C">
        <w:rPr>
          <w:rFonts w:ascii="Arial" w:eastAsia="Times New Roman" w:hAnsi="Arial" w:cs="Arial"/>
          <w:lang w:eastAsia="ru-RU"/>
        </w:rPr>
        <w:lastRenderedPageBreak/>
        <w:t>Заключение</w:t>
      </w:r>
      <w:bookmarkEnd w:id="6"/>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Рынок социальных услуг обладает следующими характеристиками:</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-число продавцов ограничено, существует ограничение входа на рынок;</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-неоднородность социальной услуги, ее индивидуальность, уникальность;</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-несовершенная информированность покупателей о рынке услуг;</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-невозможность или затруднительность сопоставления цены и качества;</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-наличие большого числа государственных или частных бесприбыльных организаций;</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-для реализации товара в большинстве случаев требуется компетентный посредник, который и оплачивает значительную часть социальной услуги.</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Таким образом, рынок социальных услуг в большей части можно отнести по структуре к рынку монополистической конкуренции и монополии.</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Бюджетное финансирование является примером монополии на рынке социальных услуг, когда уровень цен, по которым приобретаются услуги, определяется не реальными издержками производителей услуг, которые никто не считает, а платежеспособностью государства и его представлениями о ценности такого блага.</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Таким образом, можно убедиться, что особенностью российского рынка социальных услуг является то, что он представляет собой прочный сплав монополии и монопсонии, когда практически все работники и учреждения подведомственны соответствующему Министерству. При этом государство, будучи монополистом, диктует еще и явно невыгодные условия финансирования подчиненных ему структур, не обеспечивая даже покрытия их реальных издержек.</w:t>
      </w:r>
    </w:p>
    <w:p w:rsidR="009E381C" w:rsidRPr="009E381C" w:rsidRDefault="009E381C" w:rsidP="009E381C">
      <w:pPr>
        <w:spacing w:after="0" w:line="240" w:lineRule="auto"/>
        <w:ind w:firstLine="709"/>
        <w:jc w:val="both"/>
        <w:rPr>
          <w:rFonts w:ascii="Times New Roman" w:hAnsi="Times New Roman" w:cs="Times New Roman"/>
          <w:sz w:val="28"/>
          <w:szCs w:val="28"/>
        </w:rPr>
      </w:pPr>
      <w:r w:rsidRPr="009E381C">
        <w:rPr>
          <w:rFonts w:ascii="Times New Roman" w:hAnsi="Times New Roman" w:cs="Times New Roman"/>
          <w:sz w:val="28"/>
          <w:szCs w:val="28"/>
        </w:rPr>
        <w:t>Клиент в такой системе одинок и абсолютно бесправен. Поэтому целью реформы является демонополизация и демонопсонизация системы оказания социальных услуг, постепенное превращение российского рынка социальных услуг сначала в «рынок продавца», когда большей рыночной властью обладают продавцы (диктуют покупателю свои условия, навязывают услуги и цены на них), а затем в «рынок покупателя», когда центральной фигурой, определяющей положение социальных услуг и их цену, станет потребитель.</w:t>
      </w:r>
    </w:p>
    <w:p w:rsidR="009E381C" w:rsidRPr="009E381C" w:rsidRDefault="009E381C">
      <w:pPr>
        <w:rPr>
          <w:rFonts w:ascii="Times New Roman" w:eastAsia="Times New Roman" w:hAnsi="Times New Roman" w:cs="Times New Roman"/>
          <w:sz w:val="28"/>
          <w:szCs w:val="28"/>
          <w:u w:val="single"/>
          <w:lang w:eastAsia="ru-RU"/>
        </w:rPr>
      </w:pPr>
    </w:p>
    <w:p w:rsidR="009E381C" w:rsidRPr="009E381C" w:rsidRDefault="009E381C">
      <w:pPr>
        <w:rPr>
          <w:rFonts w:ascii="Times New Roman" w:eastAsia="Times New Roman" w:hAnsi="Times New Roman" w:cs="Times New Roman"/>
          <w:sz w:val="28"/>
          <w:szCs w:val="28"/>
          <w:u w:val="single"/>
          <w:lang w:eastAsia="ru-RU"/>
        </w:rPr>
      </w:pPr>
      <w:r w:rsidRPr="009E381C">
        <w:rPr>
          <w:rFonts w:ascii="Times New Roman" w:eastAsia="Times New Roman" w:hAnsi="Times New Roman" w:cs="Times New Roman"/>
          <w:sz w:val="28"/>
          <w:szCs w:val="28"/>
          <w:u w:val="single"/>
          <w:lang w:eastAsia="ru-RU"/>
        </w:rPr>
        <w:br w:type="page"/>
      </w:r>
    </w:p>
    <w:p w:rsidR="00D9599C" w:rsidRPr="009E381C" w:rsidRDefault="009E381C" w:rsidP="009E381C">
      <w:pPr>
        <w:pStyle w:val="1"/>
        <w:spacing w:after="240" w:line="240" w:lineRule="auto"/>
        <w:jc w:val="center"/>
        <w:rPr>
          <w:rFonts w:ascii="Arial" w:eastAsia="Times New Roman" w:hAnsi="Arial" w:cs="Arial"/>
          <w:color w:val="auto"/>
          <w:lang w:eastAsia="ru-RU"/>
        </w:rPr>
      </w:pPr>
      <w:bookmarkStart w:id="7" w:name="_Toc503711976"/>
      <w:r w:rsidRPr="009E381C">
        <w:rPr>
          <w:rFonts w:ascii="Arial" w:eastAsia="Times New Roman" w:hAnsi="Arial" w:cs="Arial"/>
          <w:color w:val="auto"/>
          <w:lang w:eastAsia="ru-RU"/>
        </w:rPr>
        <w:lastRenderedPageBreak/>
        <w:t>Список использованной литературы</w:t>
      </w:r>
      <w:bookmarkEnd w:id="7"/>
    </w:p>
    <w:p w:rsidR="00D9599C" w:rsidRPr="009E381C" w:rsidRDefault="00D9599C" w:rsidP="009E381C">
      <w:pPr>
        <w:pStyle w:val="a4"/>
        <w:numPr>
          <w:ilvl w:val="0"/>
          <w:numId w:val="1"/>
        </w:numPr>
        <w:spacing w:after="0" w:line="240" w:lineRule="auto"/>
        <w:ind w:left="0" w:firstLine="357"/>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Жильцов Е.Н. Основы формирования хозяйственного механизма в сфер</w:t>
      </w:r>
      <w:r w:rsidR="009E381C" w:rsidRPr="009E381C">
        <w:rPr>
          <w:rFonts w:ascii="Times New Roman" w:eastAsia="Times New Roman" w:hAnsi="Times New Roman" w:cs="Times New Roman"/>
          <w:sz w:val="28"/>
          <w:szCs w:val="28"/>
          <w:lang w:eastAsia="ru-RU"/>
        </w:rPr>
        <w:t>е услуг. - М.: Изд- во МГУ, 2014</w:t>
      </w:r>
      <w:r w:rsidRPr="009E381C">
        <w:rPr>
          <w:rFonts w:ascii="Times New Roman" w:eastAsia="Times New Roman" w:hAnsi="Times New Roman" w:cs="Times New Roman"/>
          <w:sz w:val="28"/>
          <w:szCs w:val="28"/>
          <w:lang w:eastAsia="ru-RU"/>
        </w:rPr>
        <w:t>.</w:t>
      </w:r>
    </w:p>
    <w:p w:rsidR="00D9599C" w:rsidRPr="009E381C" w:rsidRDefault="00D9599C" w:rsidP="009E381C">
      <w:pPr>
        <w:pStyle w:val="a4"/>
        <w:numPr>
          <w:ilvl w:val="0"/>
          <w:numId w:val="1"/>
        </w:numPr>
        <w:spacing w:after="0" w:line="240" w:lineRule="auto"/>
        <w:ind w:left="0" w:firstLine="357"/>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Коммерческая и некоммерческая деятельность в соц</w:t>
      </w:r>
      <w:r w:rsidR="009E381C" w:rsidRPr="009E381C">
        <w:rPr>
          <w:rFonts w:ascii="Times New Roman" w:eastAsia="Times New Roman" w:hAnsi="Times New Roman" w:cs="Times New Roman"/>
          <w:sz w:val="28"/>
          <w:szCs w:val="28"/>
          <w:lang w:eastAsia="ru-RU"/>
        </w:rPr>
        <w:t>иальной сфере. - М.: Наука, 2015</w:t>
      </w:r>
      <w:r w:rsidRPr="009E381C">
        <w:rPr>
          <w:rFonts w:ascii="Times New Roman" w:eastAsia="Times New Roman" w:hAnsi="Times New Roman" w:cs="Times New Roman"/>
          <w:sz w:val="28"/>
          <w:szCs w:val="28"/>
          <w:lang w:eastAsia="ru-RU"/>
        </w:rPr>
        <w:t>.</w:t>
      </w:r>
    </w:p>
    <w:p w:rsidR="00D9599C" w:rsidRPr="009E381C" w:rsidRDefault="00D9599C" w:rsidP="009E381C">
      <w:pPr>
        <w:pStyle w:val="a4"/>
        <w:numPr>
          <w:ilvl w:val="0"/>
          <w:numId w:val="1"/>
        </w:numPr>
        <w:spacing w:after="0" w:line="240" w:lineRule="auto"/>
        <w:ind w:left="0" w:firstLine="357"/>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Цены и ценообразование в рыночной экономике. Ч.2. Цены и рыночная конъюнктура. Кн. 2: Учебник / под редакцией Есипов</w:t>
      </w:r>
      <w:r w:rsidR="009E381C" w:rsidRPr="009E381C">
        <w:rPr>
          <w:rFonts w:ascii="Times New Roman" w:eastAsia="Times New Roman" w:hAnsi="Times New Roman" w:cs="Times New Roman"/>
          <w:sz w:val="28"/>
          <w:szCs w:val="28"/>
          <w:lang w:eastAsia="ru-RU"/>
        </w:rPr>
        <w:t>а В.Е. - СПб: Изд-во СПбУЭФ, 201</w:t>
      </w:r>
      <w:r w:rsidRPr="009E381C">
        <w:rPr>
          <w:rFonts w:ascii="Times New Roman" w:eastAsia="Times New Roman" w:hAnsi="Times New Roman" w:cs="Times New Roman"/>
          <w:sz w:val="28"/>
          <w:szCs w:val="28"/>
          <w:lang w:eastAsia="ru-RU"/>
        </w:rPr>
        <w:t>4.</w:t>
      </w:r>
    </w:p>
    <w:p w:rsidR="00D9599C" w:rsidRPr="009E381C" w:rsidRDefault="009E381C" w:rsidP="009E381C">
      <w:pPr>
        <w:pStyle w:val="a4"/>
        <w:numPr>
          <w:ilvl w:val="0"/>
          <w:numId w:val="1"/>
        </w:numPr>
        <w:spacing w:after="0" w:line="240" w:lineRule="auto"/>
        <w:ind w:left="0" w:firstLine="357"/>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Х</w:t>
      </w:r>
      <w:r w:rsidR="00D9599C" w:rsidRPr="009E381C">
        <w:rPr>
          <w:rFonts w:ascii="Times New Roman" w:eastAsia="Times New Roman" w:hAnsi="Times New Roman" w:cs="Times New Roman"/>
          <w:sz w:val="28"/>
          <w:szCs w:val="28"/>
          <w:lang w:eastAsia="ru-RU"/>
        </w:rPr>
        <w:t>айман Д.Н. Современная микроэкономика: анализ и применение. - М.: Финансы и статистика, 1992. - Т.I. - С. 146.</w:t>
      </w:r>
    </w:p>
    <w:p w:rsidR="00D9599C" w:rsidRPr="009E381C" w:rsidRDefault="00D9599C" w:rsidP="009E381C">
      <w:pPr>
        <w:pStyle w:val="a4"/>
        <w:numPr>
          <w:ilvl w:val="0"/>
          <w:numId w:val="1"/>
        </w:numPr>
        <w:spacing w:after="0" w:line="240" w:lineRule="auto"/>
        <w:ind w:left="0" w:firstLine="357"/>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Коммерческая и некоммерческая деятельность в социальной сф</w:t>
      </w:r>
      <w:r w:rsidR="009E381C" w:rsidRPr="009E381C">
        <w:rPr>
          <w:rFonts w:ascii="Times New Roman" w:eastAsia="Times New Roman" w:hAnsi="Times New Roman" w:cs="Times New Roman"/>
          <w:sz w:val="28"/>
          <w:szCs w:val="28"/>
          <w:lang w:eastAsia="ru-RU"/>
        </w:rPr>
        <w:t>ере. - М.: Наука, 2015</w:t>
      </w:r>
    </w:p>
    <w:p w:rsidR="00D9599C" w:rsidRPr="009E381C" w:rsidRDefault="00D9599C" w:rsidP="009E381C">
      <w:pPr>
        <w:pStyle w:val="a4"/>
        <w:numPr>
          <w:ilvl w:val="0"/>
          <w:numId w:val="1"/>
        </w:numPr>
        <w:spacing w:after="0" w:line="240" w:lineRule="auto"/>
        <w:ind w:left="0" w:firstLine="357"/>
        <w:jc w:val="both"/>
        <w:rPr>
          <w:rFonts w:ascii="Times New Roman" w:eastAsia="Times New Roman" w:hAnsi="Times New Roman" w:cs="Times New Roman"/>
          <w:sz w:val="28"/>
          <w:szCs w:val="28"/>
          <w:lang w:eastAsia="ru-RU"/>
        </w:rPr>
      </w:pPr>
      <w:r w:rsidRPr="009E381C">
        <w:rPr>
          <w:rFonts w:ascii="Times New Roman" w:eastAsia="Times New Roman" w:hAnsi="Times New Roman" w:cs="Times New Roman"/>
          <w:sz w:val="28"/>
          <w:szCs w:val="28"/>
          <w:lang w:eastAsia="ru-RU"/>
        </w:rPr>
        <w:t>Иванов Ю.И., Русинов Ф.М. Рынок , предпринимательство, кадры: Учебное пособие. // Под.ред. Г.В. Горлано</w:t>
      </w:r>
      <w:r w:rsidR="009E381C" w:rsidRPr="009E381C">
        <w:rPr>
          <w:rFonts w:ascii="Times New Roman" w:eastAsia="Times New Roman" w:hAnsi="Times New Roman" w:cs="Times New Roman"/>
          <w:sz w:val="28"/>
          <w:szCs w:val="28"/>
          <w:lang w:eastAsia="ru-RU"/>
        </w:rPr>
        <w:t>ва, С.Е. Хорзова. - М.: РАУ, 201</w:t>
      </w:r>
      <w:r w:rsidRPr="009E381C">
        <w:rPr>
          <w:rFonts w:ascii="Times New Roman" w:eastAsia="Times New Roman" w:hAnsi="Times New Roman" w:cs="Times New Roman"/>
          <w:sz w:val="28"/>
          <w:szCs w:val="28"/>
          <w:lang w:eastAsia="ru-RU"/>
        </w:rPr>
        <w:t>2, - С.74 - 80.</w:t>
      </w:r>
    </w:p>
    <w:p w:rsidR="00B6640A" w:rsidRPr="009E381C" w:rsidRDefault="00B6640A" w:rsidP="00D9599C">
      <w:pPr>
        <w:spacing w:after="0" w:line="240" w:lineRule="auto"/>
        <w:ind w:firstLine="709"/>
        <w:jc w:val="both"/>
        <w:rPr>
          <w:rFonts w:ascii="Times New Roman" w:hAnsi="Times New Roman" w:cs="Times New Roman"/>
          <w:sz w:val="28"/>
          <w:szCs w:val="28"/>
        </w:rPr>
      </w:pPr>
    </w:p>
    <w:sectPr w:rsidR="00B6640A" w:rsidRPr="009E381C" w:rsidSect="009E381C">
      <w:headerReference w:type="default" r:id="rId8"/>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713" w:rsidRDefault="005D5713" w:rsidP="009E381C">
      <w:pPr>
        <w:spacing w:after="0" w:line="240" w:lineRule="auto"/>
      </w:pPr>
      <w:r>
        <w:separator/>
      </w:r>
    </w:p>
  </w:endnote>
  <w:endnote w:type="continuationSeparator" w:id="0">
    <w:p w:rsidR="005D5713" w:rsidRDefault="005D5713" w:rsidP="009E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713" w:rsidRDefault="005D5713" w:rsidP="009E381C">
      <w:pPr>
        <w:spacing w:after="0" w:line="240" w:lineRule="auto"/>
      </w:pPr>
      <w:r>
        <w:separator/>
      </w:r>
    </w:p>
  </w:footnote>
  <w:footnote w:type="continuationSeparator" w:id="0">
    <w:p w:rsidR="005D5713" w:rsidRDefault="005D5713" w:rsidP="009E38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73932"/>
      <w:docPartObj>
        <w:docPartGallery w:val="Page Numbers (Top of Page)"/>
        <w:docPartUnique/>
      </w:docPartObj>
    </w:sdtPr>
    <w:sdtContent>
      <w:p w:rsidR="009E381C" w:rsidRDefault="009E381C">
        <w:pPr>
          <w:pStyle w:val="a5"/>
          <w:jc w:val="right"/>
        </w:pPr>
        <w:r>
          <w:fldChar w:fldCharType="begin"/>
        </w:r>
        <w:r>
          <w:instrText>PAGE   \* MERGEFORMAT</w:instrText>
        </w:r>
        <w:r>
          <w:fldChar w:fldCharType="separate"/>
        </w:r>
        <w:r>
          <w:rPr>
            <w:noProof/>
          </w:rPr>
          <w:t>2</w:t>
        </w:r>
        <w:r>
          <w:fldChar w:fldCharType="end"/>
        </w:r>
      </w:p>
    </w:sdtContent>
  </w:sdt>
  <w:p w:rsidR="009E381C" w:rsidRDefault="009E38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92BB1"/>
    <w:multiLevelType w:val="hybridMultilevel"/>
    <w:tmpl w:val="BA5AB08E"/>
    <w:lvl w:ilvl="0" w:tplc="310E6D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C77"/>
    <w:rsid w:val="005D5713"/>
    <w:rsid w:val="00966C77"/>
    <w:rsid w:val="009E381C"/>
    <w:rsid w:val="00B6640A"/>
    <w:rsid w:val="00D95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D1DF0-F7EE-4179-BB82-38B9318E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959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59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9599C"/>
    <w:rPr>
      <w:rFonts w:asciiTheme="majorHAnsi" w:eastAsiaTheme="majorEastAsia" w:hAnsiTheme="majorHAnsi" w:cstheme="majorBidi"/>
      <w:color w:val="2E74B5" w:themeColor="accent1" w:themeShade="BF"/>
      <w:sz w:val="32"/>
      <w:szCs w:val="32"/>
    </w:rPr>
  </w:style>
  <w:style w:type="paragraph" w:styleId="a4">
    <w:name w:val="List Paragraph"/>
    <w:basedOn w:val="a"/>
    <w:uiPriority w:val="34"/>
    <w:qFormat/>
    <w:rsid w:val="009E381C"/>
    <w:pPr>
      <w:ind w:left="720"/>
      <w:contextualSpacing/>
    </w:pPr>
  </w:style>
  <w:style w:type="paragraph" w:styleId="a5">
    <w:name w:val="header"/>
    <w:basedOn w:val="a"/>
    <w:link w:val="a6"/>
    <w:uiPriority w:val="99"/>
    <w:unhideWhenUsed/>
    <w:rsid w:val="009E38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E381C"/>
  </w:style>
  <w:style w:type="paragraph" w:styleId="a7">
    <w:name w:val="footer"/>
    <w:basedOn w:val="a"/>
    <w:link w:val="a8"/>
    <w:uiPriority w:val="99"/>
    <w:unhideWhenUsed/>
    <w:rsid w:val="009E38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E381C"/>
  </w:style>
  <w:style w:type="paragraph" w:styleId="a9">
    <w:name w:val="TOC Heading"/>
    <w:basedOn w:val="1"/>
    <w:next w:val="a"/>
    <w:uiPriority w:val="39"/>
    <w:unhideWhenUsed/>
    <w:qFormat/>
    <w:rsid w:val="009E381C"/>
    <w:pPr>
      <w:outlineLvl w:val="9"/>
    </w:pPr>
    <w:rPr>
      <w:lang w:eastAsia="ru-RU"/>
    </w:rPr>
  </w:style>
  <w:style w:type="paragraph" w:styleId="11">
    <w:name w:val="toc 1"/>
    <w:basedOn w:val="a"/>
    <w:next w:val="a"/>
    <w:autoRedefine/>
    <w:uiPriority w:val="39"/>
    <w:unhideWhenUsed/>
    <w:rsid w:val="009E381C"/>
    <w:pPr>
      <w:spacing w:after="100"/>
    </w:pPr>
  </w:style>
  <w:style w:type="character" w:styleId="aa">
    <w:name w:val="Hyperlink"/>
    <w:basedOn w:val="a0"/>
    <w:uiPriority w:val="99"/>
    <w:unhideWhenUsed/>
    <w:rsid w:val="009E38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5913">
      <w:bodyDiv w:val="1"/>
      <w:marLeft w:val="0"/>
      <w:marRight w:val="0"/>
      <w:marTop w:val="0"/>
      <w:marBottom w:val="0"/>
      <w:divBdr>
        <w:top w:val="none" w:sz="0" w:space="0" w:color="auto"/>
        <w:left w:val="none" w:sz="0" w:space="0" w:color="auto"/>
        <w:bottom w:val="none" w:sz="0" w:space="0" w:color="auto"/>
        <w:right w:val="none" w:sz="0" w:space="0" w:color="auto"/>
      </w:divBdr>
    </w:div>
    <w:div w:id="683291401">
      <w:bodyDiv w:val="1"/>
      <w:marLeft w:val="0"/>
      <w:marRight w:val="0"/>
      <w:marTop w:val="0"/>
      <w:marBottom w:val="0"/>
      <w:divBdr>
        <w:top w:val="none" w:sz="0" w:space="0" w:color="auto"/>
        <w:left w:val="none" w:sz="0" w:space="0" w:color="auto"/>
        <w:bottom w:val="none" w:sz="0" w:space="0" w:color="auto"/>
        <w:right w:val="none" w:sz="0" w:space="0" w:color="auto"/>
      </w:divBdr>
    </w:div>
    <w:div w:id="1380783185">
      <w:bodyDiv w:val="1"/>
      <w:marLeft w:val="0"/>
      <w:marRight w:val="0"/>
      <w:marTop w:val="0"/>
      <w:marBottom w:val="0"/>
      <w:divBdr>
        <w:top w:val="none" w:sz="0" w:space="0" w:color="auto"/>
        <w:left w:val="none" w:sz="0" w:space="0" w:color="auto"/>
        <w:bottom w:val="none" w:sz="0" w:space="0" w:color="auto"/>
        <w:right w:val="none" w:sz="0" w:space="0" w:color="auto"/>
      </w:divBdr>
    </w:div>
    <w:div w:id="2086023811">
      <w:bodyDiv w:val="1"/>
      <w:marLeft w:val="0"/>
      <w:marRight w:val="0"/>
      <w:marTop w:val="0"/>
      <w:marBottom w:val="0"/>
      <w:divBdr>
        <w:top w:val="none" w:sz="0" w:space="0" w:color="auto"/>
        <w:left w:val="none" w:sz="0" w:space="0" w:color="auto"/>
        <w:bottom w:val="none" w:sz="0" w:space="0" w:color="auto"/>
        <w:right w:val="none" w:sz="0" w:space="0" w:color="auto"/>
      </w:divBdr>
    </w:div>
    <w:div w:id="209014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27A71-5170-4C3A-91C5-0BD706115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4319</Words>
  <Characters>24621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зс</dc:creator>
  <cp:keywords/>
  <dc:description/>
  <cp:lastModifiedBy>зс</cp:lastModifiedBy>
  <cp:revision>2</cp:revision>
  <dcterms:created xsi:type="dcterms:W3CDTF">2018-01-14T06:32:00Z</dcterms:created>
  <dcterms:modified xsi:type="dcterms:W3CDTF">2018-01-14T06:53:00Z</dcterms:modified>
</cp:coreProperties>
</file>