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8EA" w:rsidRPr="00406FF9" w:rsidRDefault="004907F6" w:rsidP="00406FF9">
      <w:pPr>
        <w:spacing w:after="0" w:line="360" w:lineRule="auto"/>
        <w:ind w:firstLine="709"/>
        <w:jc w:val="center"/>
        <w:rPr>
          <w:rFonts w:ascii="Times New Roman" w:hAnsi="Times New Roman" w:cs="Times New Roman"/>
          <w:b/>
          <w:sz w:val="28"/>
          <w:szCs w:val="28"/>
        </w:rPr>
      </w:pPr>
      <w:r w:rsidRPr="00406FF9">
        <w:rPr>
          <w:rFonts w:ascii="Times New Roman" w:hAnsi="Times New Roman" w:cs="Times New Roman"/>
          <w:b/>
          <w:sz w:val="28"/>
          <w:szCs w:val="28"/>
        </w:rPr>
        <w:t>Содержание</w:t>
      </w:r>
    </w:p>
    <w:p w:rsidR="004907F6" w:rsidRPr="00AE6597" w:rsidRDefault="004907F6" w:rsidP="00AE6597">
      <w:pPr>
        <w:spacing w:after="0" w:line="360" w:lineRule="auto"/>
        <w:ind w:firstLine="709"/>
        <w:jc w:val="both"/>
        <w:rPr>
          <w:rFonts w:ascii="Times New Roman" w:hAnsi="Times New Roman" w:cs="Times New Roman"/>
          <w:sz w:val="28"/>
          <w:szCs w:val="28"/>
        </w:rPr>
      </w:pPr>
    </w:p>
    <w:sdt>
      <w:sdtPr>
        <w:rPr>
          <w:rFonts w:asciiTheme="minorHAnsi" w:eastAsiaTheme="minorHAnsi" w:hAnsiTheme="minorHAnsi" w:cstheme="minorBidi"/>
          <w:b w:val="0"/>
          <w:bCs w:val="0"/>
          <w:color w:val="auto"/>
          <w:sz w:val="22"/>
          <w:szCs w:val="22"/>
        </w:rPr>
        <w:id w:val="5460548"/>
        <w:docPartObj>
          <w:docPartGallery w:val="Table of Contents"/>
          <w:docPartUnique/>
        </w:docPartObj>
      </w:sdtPr>
      <w:sdtContent>
        <w:p w:rsidR="00C7698B" w:rsidRDefault="00C7698B">
          <w:pPr>
            <w:pStyle w:val="af1"/>
          </w:pPr>
        </w:p>
        <w:p w:rsidR="00C7698B" w:rsidRPr="00C7698B" w:rsidRDefault="003F390B" w:rsidP="00C7698B">
          <w:pPr>
            <w:pStyle w:val="31"/>
            <w:tabs>
              <w:tab w:val="right" w:leader="dot" w:pos="9345"/>
            </w:tabs>
            <w:ind w:left="0"/>
            <w:rPr>
              <w:rFonts w:ascii="Times New Roman" w:hAnsi="Times New Roman" w:cs="Times New Roman"/>
              <w:noProof/>
              <w:sz w:val="28"/>
              <w:szCs w:val="28"/>
            </w:rPr>
          </w:pPr>
          <w:r>
            <w:fldChar w:fldCharType="begin"/>
          </w:r>
          <w:r w:rsidR="00C7698B">
            <w:instrText xml:space="preserve"> TOC \o "1-3" \h \z \u </w:instrText>
          </w:r>
          <w:r>
            <w:fldChar w:fldCharType="separate"/>
          </w:r>
          <w:hyperlink w:anchor="_Toc500346394" w:history="1">
            <w:r w:rsidR="00C7698B" w:rsidRPr="00C7698B">
              <w:rPr>
                <w:rStyle w:val="a4"/>
                <w:rFonts w:ascii="Times New Roman" w:hAnsi="Times New Roman" w:cs="Times New Roman"/>
                <w:noProof/>
                <w:sz w:val="28"/>
                <w:szCs w:val="28"/>
              </w:rPr>
              <w:t>Введение</w:t>
            </w:r>
            <w:r w:rsidR="00C7698B" w:rsidRPr="00C7698B">
              <w:rPr>
                <w:rFonts w:ascii="Times New Roman" w:hAnsi="Times New Roman" w:cs="Times New Roman"/>
                <w:noProof/>
                <w:webHidden/>
                <w:sz w:val="28"/>
                <w:szCs w:val="28"/>
              </w:rPr>
              <w:tab/>
            </w:r>
            <w:r w:rsidRPr="00C7698B">
              <w:rPr>
                <w:rFonts w:ascii="Times New Roman" w:hAnsi="Times New Roman" w:cs="Times New Roman"/>
                <w:noProof/>
                <w:webHidden/>
                <w:sz w:val="28"/>
                <w:szCs w:val="28"/>
              </w:rPr>
              <w:fldChar w:fldCharType="begin"/>
            </w:r>
            <w:r w:rsidR="00C7698B" w:rsidRPr="00C7698B">
              <w:rPr>
                <w:rFonts w:ascii="Times New Roman" w:hAnsi="Times New Roman" w:cs="Times New Roman"/>
                <w:noProof/>
                <w:webHidden/>
                <w:sz w:val="28"/>
                <w:szCs w:val="28"/>
              </w:rPr>
              <w:instrText xml:space="preserve"> PAGEREF _Toc500346394 \h </w:instrText>
            </w:r>
            <w:r w:rsidRPr="00C7698B">
              <w:rPr>
                <w:rFonts w:ascii="Times New Roman" w:hAnsi="Times New Roman" w:cs="Times New Roman"/>
                <w:noProof/>
                <w:webHidden/>
                <w:sz w:val="28"/>
                <w:szCs w:val="28"/>
              </w:rPr>
            </w:r>
            <w:r w:rsidRPr="00C7698B">
              <w:rPr>
                <w:rFonts w:ascii="Times New Roman" w:hAnsi="Times New Roman" w:cs="Times New Roman"/>
                <w:noProof/>
                <w:webHidden/>
                <w:sz w:val="28"/>
                <w:szCs w:val="28"/>
              </w:rPr>
              <w:fldChar w:fldCharType="separate"/>
            </w:r>
            <w:r w:rsidR="00C7698B" w:rsidRPr="00C7698B">
              <w:rPr>
                <w:rFonts w:ascii="Times New Roman" w:hAnsi="Times New Roman" w:cs="Times New Roman"/>
                <w:noProof/>
                <w:webHidden/>
                <w:sz w:val="28"/>
                <w:szCs w:val="28"/>
              </w:rPr>
              <w:t>3</w:t>
            </w:r>
            <w:r w:rsidRPr="00C7698B">
              <w:rPr>
                <w:rFonts w:ascii="Times New Roman" w:hAnsi="Times New Roman" w:cs="Times New Roman"/>
                <w:noProof/>
                <w:webHidden/>
                <w:sz w:val="28"/>
                <w:szCs w:val="28"/>
              </w:rPr>
              <w:fldChar w:fldCharType="end"/>
            </w:r>
          </w:hyperlink>
        </w:p>
        <w:p w:rsidR="00C7698B" w:rsidRPr="00C7698B" w:rsidRDefault="003F390B" w:rsidP="00C7698B">
          <w:pPr>
            <w:pStyle w:val="31"/>
            <w:tabs>
              <w:tab w:val="right" w:leader="dot" w:pos="9345"/>
            </w:tabs>
            <w:ind w:left="0"/>
            <w:rPr>
              <w:rFonts w:ascii="Times New Roman" w:hAnsi="Times New Roman" w:cs="Times New Roman"/>
              <w:noProof/>
              <w:sz w:val="28"/>
              <w:szCs w:val="28"/>
            </w:rPr>
          </w:pPr>
          <w:hyperlink w:anchor="_Toc500346395" w:history="1">
            <w:r w:rsidR="00C7698B" w:rsidRPr="00C7698B">
              <w:rPr>
                <w:rStyle w:val="a4"/>
                <w:rFonts w:ascii="Times New Roman" w:hAnsi="Times New Roman" w:cs="Times New Roman"/>
                <w:noProof/>
                <w:sz w:val="28"/>
                <w:szCs w:val="28"/>
              </w:rPr>
              <w:t>1.Участие государства в поддержке банковской сферы</w:t>
            </w:r>
            <w:r w:rsidR="00C7698B" w:rsidRPr="00C7698B">
              <w:rPr>
                <w:rFonts w:ascii="Times New Roman" w:hAnsi="Times New Roman" w:cs="Times New Roman"/>
                <w:noProof/>
                <w:webHidden/>
                <w:sz w:val="28"/>
                <w:szCs w:val="28"/>
              </w:rPr>
              <w:tab/>
            </w:r>
            <w:r w:rsidRPr="00C7698B">
              <w:rPr>
                <w:rFonts w:ascii="Times New Roman" w:hAnsi="Times New Roman" w:cs="Times New Roman"/>
                <w:noProof/>
                <w:webHidden/>
                <w:sz w:val="28"/>
                <w:szCs w:val="28"/>
              </w:rPr>
              <w:fldChar w:fldCharType="begin"/>
            </w:r>
            <w:r w:rsidR="00C7698B" w:rsidRPr="00C7698B">
              <w:rPr>
                <w:rFonts w:ascii="Times New Roman" w:hAnsi="Times New Roman" w:cs="Times New Roman"/>
                <w:noProof/>
                <w:webHidden/>
                <w:sz w:val="28"/>
                <w:szCs w:val="28"/>
              </w:rPr>
              <w:instrText xml:space="preserve"> PAGEREF _Toc500346395 \h </w:instrText>
            </w:r>
            <w:r w:rsidRPr="00C7698B">
              <w:rPr>
                <w:rFonts w:ascii="Times New Roman" w:hAnsi="Times New Roman" w:cs="Times New Roman"/>
                <w:noProof/>
                <w:webHidden/>
                <w:sz w:val="28"/>
                <w:szCs w:val="28"/>
              </w:rPr>
            </w:r>
            <w:r w:rsidRPr="00C7698B">
              <w:rPr>
                <w:rFonts w:ascii="Times New Roman" w:hAnsi="Times New Roman" w:cs="Times New Roman"/>
                <w:noProof/>
                <w:webHidden/>
                <w:sz w:val="28"/>
                <w:szCs w:val="28"/>
              </w:rPr>
              <w:fldChar w:fldCharType="separate"/>
            </w:r>
            <w:r w:rsidR="00C7698B" w:rsidRPr="00C7698B">
              <w:rPr>
                <w:rFonts w:ascii="Times New Roman" w:hAnsi="Times New Roman" w:cs="Times New Roman"/>
                <w:noProof/>
                <w:webHidden/>
                <w:sz w:val="28"/>
                <w:szCs w:val="28"/>
              </w:rPr>
              <w:t>5</w:t>
            </w:r>
            <w:r w:rsidRPr="00C7698B">
              <w:rPr>
                <w:rFonts w:ascii="Times New Roman" w:hAnsi="Times New Roman" w:cs="Times New Roman"/>
                <w:noProof/>
                <w:webHidden/>
                <w:sz w:val="28"/>
                <w:szCs w:val="28"/>
              </w:rPr>
              <w:fldChar w:fldCharType="end"/>
            </w:r>
          </w:hyperlink>
        </w:p>
        <w:p w:rsidR="00C7698B" w:rsidRPr="00C7698B" w:rsidRDefault="003F390B" w:rsidP="00C7698B">
          <w:pPr>
            <w:pStyle w:val="31"/>
            <w:tabs>
              <w:tab w:val="right" w:leader="dot" w:pos="9345"/>
            </w:tabs>
            <w:ind w:left="0"/>
            <w:rPr>
              <w:rFonts w:ascii="Times New Roman" w:hAnsi="Times New Roman" w:cs="Times New Roman"/>
              <w:noProof/>
              <w:sz w:val="28"/>
              <w:szCs w:val="28"/>
            </w:rPr>
          </w:pPr>
          <w:hyperlink w:anchor="_Toc500346396" w:history="1">
            <w:r w:rsidR="00C7698B" w:rsidRPr="00C7698B">
              <w:rPr>
                <w:rStyle w:val="a4"/>
                <w:rFonts w:ascii="Times New Roman" w:hAnsi="Times New Roman" w:cs="Times New Roman"/>
                <w:noProof/>
                <w:sz w:val="28"/>
                <w:szCs w:val="28"/>
              </w:rPr>
              <w:t>2. Меры государственной поддержки банковской сферы в 2014-2015 гг. и их влияние на капитализацию банковской сферы России</w:t>
            </w:r>
            <w:r w:rsidR="00C7698B" w:rsidRPr="00C7698B">
              <w:rPr>
                <w:rFonts w:ascii="Times New Roman" w:hAnsi="Times New Roman" w:cs="Times New Roman"/>
                <w:noProof/>
                <w:webHidden/>
                <w:sz w:val="28"/>
                <w:szCs w:val="28"/>
              </w:rPr>
              <w:tab/>
            </w:r>
            <w:r w:rsidRPr="00C7698B">
              <w:rPr>
                <w:rFonts w:ascii="Times New Roman" w:hAnsi="Times New Roman" w:cs="Times New Roman"/>
                <w:noProof/>
                <w:webHidden/>
                <w:sz w:val="28"/>
                <w:szCs w:val="28"/>
              </w:rPr>
              <w:fldChar w:fldCharType="begin"/>
            </w:r>
            <w:r w:rsidR="00C7698B" w:rsidRPr="00C7698B">
              <w:rPr>
                <w:rFonts w:ascii="Times New Roman" w:hAnsi="Times New Roman" w:cs="Times New Roman"/>
                <w:noProof/>
                <w:webHidden/>
                <w:sz w:val="28"/>
                <w:szCs w:val="28"/>
              </w:rPr>
              <w:instrText xml:space="preserve"> PAGEREF _Toc500346396 \h </w:instrText>
            </w:r>
            <w:r w:rsidRPr="00C7698B">
              <w:rPr>
                <w:rFonts w:ascii="Times New Roman" w:hAnsi="Times New Roman" w:cs="Times New Roman"/>
                <w:noProof/>
                <w:webHidden/>
                <w:sz w:val="28"/>
                <w:szCs w:val="28"/>
              </w:rPr>
            </w:r>
            <w:r w:rsidRPr="00C7698B">
              <w:rPr>
                <w:rFonts w:ascii="Times New Roman" w:hAnsi="Times New Roman" w:cs="Times New Roman"/>
                <w:noProof/>
                <w:webHidden/>
                <w:sz w:val="28"/>
                <w:szCs w:val="28"/>
              </w:rPr>
              <w:fldChar w:fldCharType="separate"/>
            </w:r>
            <w:r w:rsidR="00C7698B" w:rsidRPr="00C7698B">
              <w:rPr>
                <w:rFonts w:ascii="Times New Roman" w:hAnsi="Times New Roman" w:cs="Times New Roman"/>
                <w:noProof/>
                <w:webHidden/>
                <w:sz w:val="28"/>
                <w:szCs w:val="28"/>
              </w:rPr>
              <w:t>10</w:t>
            </w:r>
            <w:r w:rsidRPr="00C7698B">
              <w:rPr>
                <w:rFonts w:ascii="Times New Roman" w:hAnsi="Times New Roman" w:cs="Times New Roman"/>
                <w:noProof/>
                <w:webHidden/>
                <w:sz w:val="28"/>
                <w:szCs w:val="28"/>
              </w:rPr>
              <w:fldChar w:fldCharType="end"/>
            </w:r>
          </w:hyperlink>
        </w:p>
        <w:p w:rsidR="00C7698B" w:rsidRPr="00C7698B" w:rsidRDefault="003F390B" w:rsidP="00C7698B">
          <w:pPr>
            <w:pStyle w:val="31"/>
            <w:tabs>
              <w:tab w:val="right" w:leader="dot" w:pos="9345"/>
            </w:tabs>
            <w:ind w:left="0"/>
            <w:rPr>
              <w:rFonts w:ascii="Times New Roman" w:hAnsi="Times New Roman" w:cs="Times New Roman"/>
              <w:noProof/>
              <w:sz w:val="28"/>
              <w:szCs w:val="28"/>
            </w:rPr>
          </w:pPr>
          <w:hyperlink w:anchor="_Toc500346397" w:history="1">
            <w:r w:rsidR="00C7698B" w:rsidRPr="00C7698B">
              <w:rPr>
                <w:rStyle w:val="a4"/>
                <w:rFonts w:ascii="Times New Roman" w:hAnsi="Times New Roman" w:cs="Times New Roman"/>
                <w:noProof/>
                <w:sz w:val="28"/>
                <w:szCs w:val="28"/>
              </w:rPr>
              <w:t>Заключение</w:t>
            </w:r>
            <w:r w:rsidR="00C7698B" w:rsidRPr="00C7698B">
              <w:rPr>
                <w:rFonts w:ascii="Times New Roman" w:hAnsi="Times New Roman" w:cs="Times New Roman"/>
                <w:noProof/>
                <w:webHidden/>
                <w:sz w:val="28"/>
                <w:szCs w:val="28"/>
              </w:rPr>
              <w:tab/>
            </w:r>
            <w:r w:rsidRPr="00C7698B">
              <w:rPr>
                <w:rFonts w:ascii="Times New Roman" w:hAnsi="Times New Roman" w:cs="Times New Roman"/>
                <w:noProof/>
                <w:webHidden/>
                <w:sz w:val="28"/>
                <w:szCs w:val="28"/>
              </w:rPr>
              <w:fldChar w:fldCharType="begin"/>
            </w:r>
            <w:r w:rsidR="00C7698B" w:rsidRPr="00C7698B">
              <w:rPr>
                <w:rFonts w:ascii="Times New Roman" w:hAnsi="Times New Roman" w:cs="Times New Roman"/>
                <w:noProof/>
                <w:webHidden/>
                <w:sz w:val="28"/>
                <w:szCs w:val="28"/>
              </w:rPr>
              <w:instrText xml:space="preserve"> PAGEREF _Toc500346397 \h </w:instrText>
            </w:r>
            <w:r w:rsidRPr="00C7698B">
              <w:rPr>
                <w:rFonts w:ascii="Times New Roman" w:hAnsi="Times New Roman" w:cs="Times New Roman"/>
                <w:noProof/>
                <w:webHidden/>
                <w:sz w:val="28"/>
                <w:szCs w:val="28"/>
              </w:rPr>
            </w:r>
            <w:r w:rsidRPr="00C7698B">
              <w:rPr>
                <w:rFonts w:ascii="Times New Roman" w:hAnsi="Times New Roman" w:cs="Times New Roman"/>
                <w:noProof/>
                <w:webHidden/>
                <w:sz w:val="28"/>
                <w:szCs w:val="28"/>
              </w:rPr>
              <w:fldChar w:fldCharType="separate"/>
            </w:r>
            <w:r w:rsidR="00C7698B" w:rsidRPr="00C7698B">
              <w:rPr>
                <w:rFonts w:ascii="Times New Roman" w:hAnsi="Times New Roman" w:cs="Times New Roman"/>
                <w:noProof/>
                <w:webHidden/>
                <w:sz w:val="28"/>
                <w:szCs w:val="28"/>
              </w:rPr>
              <w:t>15</w:t>
            </w:r>
            <w:r w:rsidRPr="00C7698B">
              <w:rPr>
                <w:rFonts w:ascii="Times New Roman" w:hAnsi="Times New Roman" w:cs="Times New Roman"/>
                <w:noProof/>
                <w:webHidden/>
                <w:sz w:val="28"/>
                <w:szCs w:val="28"/>
              </w:rPr>
              <w:fldChar w:fldCharType="end"/>
            </w:r>
          </w:hyperlink>
        </w:p>
        <w:p w:rsidR="00C7698B" w:rsidRPr="00C7698B" w:rsidRDefault="003F390B" w:rsidP="00C7698B">
          <w:pPr>
            <w:pStyle w:val="31"/>
            <w:tabs>
              <w:tab w:val="right" w:leader="dot" w:pos="9345"/>
            </w:tabs>
            <w:ind w:left="0"/>
            <w:rPr>
              <w:rFonts w:ascii="Times New Roman" w:hAnsi="Times New Roman" w:cs="Times New Roman"/>
              <w:noProof/>
              <w:sz w:val="28"/>
              <w:szCs w:val="28"/>
            </w:rPr>
          </w:pPr>
          <w:hyperlink w:anchor="_Toc500346398" w:history="1">
            <w:r w:rsidR="00C7698B" w:rsidRPr="00C7698B">
              <w:rPr>
                <w:rStyle w:val="a4"/>
                <w:rFonts w:ascii="Times New Roman" w:hAnsi="Times New Roman" w:cs="Times New Roman"/>
                <w:noProof/>
                <w:sz w:val="28"/>
                <w:szCs w:val="28"/>
              </w:rPr>
              <w:t>Список использованной литературы</w:t>
            </w:r>
            <w:r w:rsidR="00C7698B" w:rsidRPr="00C7698B">
              <w:rPr>
                <w:rFonts w:ascii="Times New Roman" w:hAnsi="Times New Roman" w:cs="Times New Roman"/>
                <w:noProof/>
                <w:webHidden/>
                <w:sz w:val="28"/>
                <w:szCs w:val="28"/>
              </w:rPr>
              <w:tab/>
            </w:r>
            <w:r w:rsidRPr="00C7698B">
              <w:rPr>
                <w:rFonts w:ascii="Times New Roman" w:hAnsi="Times New Roman" w:cs="Times New Roman"/>
                <w:noProof/>
                <w:webHidden/>
                <w:sz w:val="28"/>
                <w:szCs w:val="28"/>
              </w:rPr>
              <w:fldChar w:fldCharType="begin"/>
            </w:r>
            <w:r w:rsidR="00C7698B" w:rsidRPr="00C7698B">
              <w:rPr>
                <w:rFonts w:ascii="Times New Roman" w:hAnsi="Times New Roman" w:cs="Times New Roman"/>
                <w:noProof/>
                <w:webHidden/>
                <w:sz w:val="28"/>
                <w:szCs w:val="28"/>
              </w:rPr>
              <w:instrText xml:space="preserve"> PAGEREF _Toc500346398 \h </w:instrText>
            </w:r>
            <w:r w:rsidRPr="00C7698B">
              <w:rPr>
                <w:rFonts w:ascii="Times New Roman" w:hAnsi="Times New Roman" w:cs="Times New Roman"/>
                <w:noProof/>
                <w:webHidden/>
                <w:sz w:val="28"/>
                <w:szCs w:val="28"/>
              </w:rPr>
            </w:r>
            <w:r w:rsidRPr="00C7698B">
              <w:rPr>
                <w:rFonts w:ascii="Times New Roman" w:hAnsi="Times New Roman" w:cs="Times New Roman"/>
                <w:noProof/>
                <w:webHidden/>
                <w:sz w:val="28"/>
                <w:szCs w:val="28"/>
              </w:rPr>
              <w:fldChar w:fldCharType="separate"/>
            </w:r>
            <w:r w:rsidR="00C7698B" w:rsidRPr="00C7698B">
              <w:rPr>
                <w:rFonts w:ascii="Times New Roman" w:hAnsi="Times New Roman" w:cs="Times New Roman"/>
                <w:noProof/>
                <w:webHidden/>
                <w:sz w:val="28"/>
                <w:szCs w:val="28"/>
              </w:rPr>
              <w:t>16</w:t>
            </w:r>
            <w:r w:rsidRPr="00C7698B">
              <w:rPr>
                <w:rFonts w:ascii="Times New Roman" w:hAnsi="Times New Roman" w:cs="Times New Roman"/>
                <w:noProof/>
                <w:webHidden/>
                <w:sz w:val="28"/>
                <w:szCs w:val="28"/>
              </w:rPr>
              <w:fldChar w:fldCharType="end"/>
            </w:r>
          </w:hyperlink>
        </w:p>
        <w:p w:rsidR="00C7698B" w:rsidRDefault="003F390B">
          <w:r>
            <w:fldChar w:fldCharType="end"/>
          </w:r>
        </w:p>
      </w:sdtContent>
    </w:sdt>
    <w:p w:rsidR="00C7698B" w:rsidRDefault="00C7698B">
      <w:pPr>
        <w:rPr>
          <w:rFonts w:ascii="Times New Roman" w:hAnsi="Times New Roman" w:cs="Times New Roman"/>
          <w:b/>
          <w:sz w:val="28"/>
          <w:szCs w:val="28"/>
        </w:rPr>
      </w:pPr>
      <w:bookmarkStart w:id="0" w:name="_Toc500346394"/>
      <w:r>
        <w:rPr>
          <w:rFonts w:ascii="Times New Roman" w:hAnsi="Times New Roman" w:cs="Times New Roman"/>
          <w:b/>
          <w:sz w:val="28"/>
          <w:szCs w:val="28"/>
        </w:rPr>
        <w:br w:type="page"/>
      </w:r>
    </w:p>
    <w:p w:rsidR="004907F6" w:rsidRPr="00406FF9" w:rsidRDefault="004907F6" w:rsidP="00C7698B">
      <w:pPr>
        <w:spacing w:after="0" w:line="360" w:lineRule="auto"/>
        <w:ind w:firstLine="709"/>
        <w:jc w:val="center"/>
        <w:outlineLvl w:val="2"/>
        <w:rPr>
          <w:rFonts w:ascii="Times New Roman" w:hAnsi="Times New Roman" w:cs="Times New Roman"/>
          <w:b/>
          <w:sz w:val="28"/>
          <w:szCs w:val="28"/>
        </w:rPr>
      </w:pPr>
      <w:r w:rsidRPr="00406FF9">
        <w:rPr>
          <w:rFonts w:ascii="Times New Roman" w:hAnsi="Times New Roman" w:cs="Times New Roman"/>
          <w:b/>
          <w:sz w:val="28"/>
          <w:szCs w:val="28"/>
        </w:rPr>
        <w:lastRenderedPageBreak/>
        <w:t>Введение</w:t>
      </w:r>
      <w:bookmarkEnd w:id="0"/>
    </w:p>
    <w:p w:rsidR="00406FF9" w:rsidRDefault="00406FF9" w:rsidP="00AE6597">
      <w:pPr>
        <w:spacing w:after="0" w:line="360" w:lineRule="auto"/>
        <w:ind w:firstLine="709"/>
        <w:jc w:val="both"/>
        <w:rPr>
          <w:rFonts w:ascii="Times New Roman" w:hAnsi="Times New Roman" w:cs="Times New Roman"/>
          <w:sz w:val="28"/>
          <w:szCs w:val="28"/>
        </w:rPr>
      </w:pPr>
    </w:p>
    <w:p w:rsidR="00DB384B" w:rsidRPr="00AE6597" w:rsidRDefault="000F6FF3" w:rsidP="00AE659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Актуальность темы. </w:t>
      </w:r>
      <w:r w:rsidR="00DB384B" w:rsidRPr="00AE6597">
        <w:rPr>
          <w:rFonts w:ascii="Times New Roman" w:hAnsi="Times New Roman" w:cs="Times New Roman"/>
          <w:sz w:val="28"/>
          <w:szCs w:val="28"/>
        </w:rPr>
        <w:t>Необходимость банковского регулирования связана в первую очередь с проблемой надежности и потенциальной нестабильности</w:t>
      </w:r>
      <w:r>
        <w:rPr>
          <w:rFonts w:ascii="Times New Roman" w:hAnsi="Times New Roman" w:cs="Times New Roman"/>
          <w:sz w:val="28"/>
          <w:szCs w:val="28"/>
        </w:rPr>
        <w:t xml:space="preserve"> </w:t>
      </w:r>
      <w:r w:rsidR="00DB384B" w:rsidRPr="00AE6597">
        <w:rPr>
          <w:rFonts w:ascii="Times New Roman" w:hAnsi="Times New Roman" w:cs="Times New Roman"/>
          <w:sz w:val="28"/>
          <w:szCs w:val="28"/>
        </w:rPr>
        <w:t>отдельного банка и банковской системы в целом. Банкротство и закрытие банков влечет массовое разорение частного бизнеса и потерю сбережений частных лиц. Такая ситуация естественного вызывает пристальное внимание со стороны государства в разных экономических системах. В то же время следует отметить, что наблюдающийся в последнее время рост реальной поддержки банковского сектора со стороны государства выделяет банки среди обычных субъектов и участников рыночных отношений.</w:t>
      </w:r>
    </w:p>
    <w:p w:rsidR="00DB384B" w:rsidRPr="00AE6597" w:rsidRDefault="00DB384B" w:rsidP="00AE6597">
      <w:pPr>
        <w:spacing w:after="0" w:line="360" w:lineRule="auto"/>
        <w:ind w:firstLine="709"/>
        <w:jc w:val="both"/>
        <w:rPr>
          <w:rFonts w:ascii="Times New Roman" w:hAnsi="Times New Roman" w:cs="Times New Roman"/>
          <w:sz w:val="28"/>
          <w:szCs w:val="28"/>
        </w:rPr>
      </w:pPr>
      <w:r w:rsidRPr="00AE6597">
        <w:rPr>
          <w:rFonts w:ascii="Times New Roman" w:hAnsi="Times New Roman" w:cs="Times New Roman"/>
          <w:sz w:val="28"/>
          <w:szCs w:val="28"/>
        </w:rPr>
        <w:t>Необходимость пристального внимания государства за процессами, происходящими в банковском секторе экономики, вытекают из самой природы банков и их ведущего положения на финансовом рынке. Высокий уровень финансовой взаимозависимости, опора на легко изымаемых денежных средствах, многократное превышение активов над величиной собственного капитала всегда угрожают банку потерей ликвидности и кризисом платежеспособности. Однако проблемы одного (особенно системообразующего) банка быстро могут оказаться проблемами всей банковской системы, так как банкротство одного банка вследствие изъятия привлеченных банковских ресурсов, способно вызвать цепную реакцию по всей банковской системе.</w:t>
      </w:r>
    </w:p>
    <w:p w:rsidR="00DB384B" w:rsidRDefault="000F6FF3" w:rsidP="00AE659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00DB384B" w:rsidRPr="00AE6597">
        <w:rPr>
          <w:rFonts w:ascii="Times New Roman" w:hAnsi="Times New Roman" w:cs="Times New Roman"/>
          <w:sz w:val="28"/>
          <w:szCs w:val="28"/>
        </w:rPr>
        <w:t xml:space="preserve">сновной целью государственного регулирования банковской сферы является обеспечение надежной и устойчивой банковской системы, способной противостоять финансовым кризисам, ведущим к поражению всей финансовой системы страны. Под устойчивостью в данном случае следует понимать способность коммерческого банка выполнять свои обязательства перед клиентами, кредиторами и вкладчиками и обеспечивать потребности в </w:t>
      </w:r>
      <w:r w:rsidR="00DB384B" w:rsidRPr="00AE6597">
        <w:rPr>
          <w:rFonts w:ascii="Times New Roman" w:hAnsi="Times New Roman" w:cs="Times New Roman"/>
          <w:sz w:val="28"/>
          <w:szCs w:val="28"/>
        </w:rPr>
        <w:lastRenderedPageBreak/>
        <w:t>краткосрочном и долгосрочном кредитовании в условиях взаимодействия изменяющихся внешних и внутренних факторов.</w:t>
      </w:r>
    </w:p>
    <w:p w:rsidR="000F6FF3" w:rsidRPr="003D2482" w:rsidRDefault="000F6FF3" w:rsidP="000F6FF3">
      <w:pPr>
        <w:pStyle w:val="a3"/>
        <w:spacing w:before="0" w:beforeAutospacing="0" w:after="0" w:afterAutospacing="0" w:line="360" w:lineRule="auto"/>
        <w:ind w:firstLine="851"/>
        <w:jc w:val="both"/>
        <w:rPr>
          <w:sz w:val="28"/>
          <w:szCs w:val="28"/>
        </w:rPr>
      </w:pPr>
      <w:r w:rsidRPr="003D2482">
        <w:rPr>
          <w:sz w:val="28"/>
          <w:szCs w:val="28"/>
        </w:rPr>
        <w:t xml:space="preserve">Целью данной работы является </w:t>
      </w:r>
      <w:r>
        <w:rPr>
          <w:sz w:val="28"/>
          <w:szCs w:val="28"/>
        </w:rPr>
        <w:t>анализ мер государственной поддержки банковской сферы в России в 2014-2015 гг и их влияние на капитализацию банковской сферы России.</w:t>
      </w:r>
    </w:p>
    <w:p w:rsidR="000F6FF3" w:rsidRPr="003D2482" w:rsidRDefault="000F6FF3" w:rsidP="000F6FF3">
      <w:pPr>
        <w:pStyle w:val="a3"/>
        <w:spacing w:before="0" w:beforeAutospacing="0" w:after="0" w:afterAutospacing="0" w:line="360" w:lineRule="auto"/>
        <w:ind w:firstLine="851"/>
        <w:jc w:val="both"/>
        <w:rPr>
          <w:sz w:val="28"/>
          <w:szCs w:val="28"/>
        </w:rPr>
      </w:pPr>
      <w:r w:rsidRPr="003D2482">
        <w:rPr>
          <w:sz w:val="28"/>
          <w:szCs w:val="28"/>
        </w:rPr>
        <w:t xml:space="preserve">Исходя из этой цели, были поставлены задачи: </w:t>
      </w:r>
    </w:p>
    <w:p w:rsidR="000F6FF3" w:rsidRPr="003D2482" w:rsidRDefault="000F6FF3" w:rsidP="000F6FF3">
      <w:pPr>
        <w:pStyle w:val="a3"/>
        <w:spacing w:before="0" w:beforeAutospacing="0" w:after="0" w:afterAutospacing="0" w:line="360" w:lineRule="auto"/>
        <w:ind w:firstLine="851"/>
        <w:jc w:val="both"/>
        <w:rPr>
          <w:sz w:val="28"/>
          <w:szCs w:val="28"/>
        </w:rPr>
      </w:pPr>
      <w:r>
        <w:rPr>
          <w:sz w:val="28"/>
          <w:szCs w:val="28"/>
        </w:rPr>
        <w:t xml:space="preserve">- </w:t>
      </w:r>
      <w:r w:rsidRPr="003D2482">
        <w:rPr>
          <w:sz w:val="28"/>
          <w:szCs w:val="28"/>
        </w:rPr>
        <w:t>изучить</w:t>
      </w:r>
      <w:r>
        <w:rPr>
          <w:sz w:val="28"/>
          <w:szCs w:val="28"/>
        </w:rPr>
        <w:t xml:space="preserve"> направления участия государства в  поддержке банковской сферы</w:t>
      </w:r>
      <w:r w:rsidRPr="003D2482">
        <w:rPr>
          <w:sz w:val="28"/>
          <w:szCs w:val="28"/>
        </w:rPr>
        <w:t>;</w:t>
      </w:r>
    </w:p>
    <w:p w:rsidR="000F6FF3" w:rsidRPr="003D2482" w:rsidRDefault="000F6FF3" w:rsidP="000F6FF3">
      <w:pPr>
        <w:pStyle w:val="a3"/>
        <w:spacing w:before="0" w:beforeAutospacing="0" w:after="0" w:afterAutospacing="0" w:line="360" w:lineRule="auto"/>
        <w:ind w:firstLine="851"/>
        <w:jc w:val="both"/>
        <w:rPr>
          <w:sz w:val="28"/>
          <w:szCs w:val="28"/>
        </w:rPr>
      </w:pPr>
      <w:r>
        <w:rPr>
          <w:sz w:val="28"/>
          <w:szCs w:val="28"/>
        </w:rPr>
        <w:t xml:space="preserve">- </w:t>
      </w:r>
      <w:r w:rsidRPr="003D2482">
        <w:rPr>
          <w:sz w:val="28"/>
          <w:szCs w:val="28"/>
        </w:rPr>
        <w:t xml:space="preserve">рассмотреть </w:t>
      </w:r>
      <w:r>
        <w:rPr>
          <w:sz w:val="28"/>
          <w:szCs w:val="28"/>
        </w:rPr>
        <w:t>м</w:t>
      </w:r>
      <w:r w:rsidRPr="000F6FF3">
        <w:rPr>
          <w:sz w:val="28"/>
          <w:szCs w:val="28"/>
        </w:rPr>
        <w:t>еры государственной поддержки банковской сферы в 2014-2015 гг.</w:t>
      </w:r>
      <w:r w:rsidRPr="003D2482">
        <w:rPr>
          <w:sz w:val="28"/>
          <w:szCs w:val="28"/>
        </w:rPr>
        <w:t>;</w:t>
      </w:r>
    </w:p>
    <w:p w:rsidR="000F6FF3" w:rsidRPr="003D2482" w:rsidRDefault="000F6FF3" w:rsidP="000F6FF3">
      <w:pPr>
        <w:pStyle w:val="a3"/>
        <w:spacing w:before="0" w:beforeAutospacing="0" w:after="0" w:afterAutospacing="0" w:line="360" w:lineRule="auto"/>
        <w:ind w:firstLine="851"/>
        <w:jc w:val="both"/>
        <w:rPr>
          <w:sz w:val="28"/>
          <w:szCs w:val="28"/>
        </w:rPr>
      </w:pPr>
      <w:r>
        <w:rPr>
          <w:sz w:val="28"/>
          <w:szCs w:val="28"/>
        </w:rPr>
        <w:t xml:space="preserve">- </w:t>
      </w:r>
      <w:r w:rsidRPr="003D2482">
        <w:rPr>
          <w:sz w:val="28"/>
          <w:szCs w:val="28"/>
        </w:rPr>
        <w:t xml:space="preserve">выявить </w:t>
      </w:r>
      <w:r w:rsidRPr="000F6FF3">
        <w:rPr>
          <w:sz w:val="28"/>
          <w:szCs w:val="28"/>
        </w:rPr>
        <w:t>их влияние на капитализацию банковской сферы России</w:t>
      </w:r>
      <w:r>
        <w:rPr>
          <w:sz w:val="28"/>
          <w:szCs w:val="28"/>
        </w:rPr>
        <w:t>.</w:t>
      </w:r>
    </w:p>
    <w:p w:rsidR="000F6FF3" w:rsidRPr="003D2482" w:rsidRDefault="000F6FF3" w:rsidP="000F6FF3">
      <w:pPr>
        <w:pStyle w:val="a3"/>
        <w:spacing w:before="0" w:beforeAutospacing="0" w:after="0" w:afterAutospacing="0" w:line="360" w:lineRule="auto"/>
        <w:ind w:firstLine="851"/>
        <w:jc w:val="both"/>
        <w:rPr>
          <w:sz w:val="28"/>
          <w:szCs w:val="28"/>
        </w:rPr>
      </w:pPr>
      <w:r w:rsidRPr="003D2482">
        <w:rPr>
          <w:sz w:val="28"/>
          <w:szCs w:val="28"/>
        </w:rPr>
        <w:t>В работе использовались труды отечественных и зарубежных ученых по вопросам развития банковского дела. В их числе работы ведущих отечественных ученых Жукова Е.Ф., Лаврушина О.И., Бабич</w:t>
      </w:r>
      <w:r>
        <w:rPr>
          <w:sz w:val="28"/>
          <w:szCs w:val="28"/>
        </w:rPr>
        <w:t>евой Ю.А., Колесникова В. и др</w:t>
      </w:r>
      <w:r w:rsidRPr="003D2482">
        <w:rPr>
          <w:sz w:val="28"/>
          <w:szCs w:val="28"/>
        </w:rPr>
        <w:t xml:space="preserve">. </w:t>
      </w:r>
    </w:p>
    <w:p w:rsidR="000F6FF3" w:rsidRPr="00AE6597" w:rsidRDefault="000F6FF3" w:rsidP="00AE6597">
      <w:pPr>
        <w:spacing w:after="0" w:line="360" w:lineRule="auto"/>
        <w:ind w:firstLine="709"/>
        <w:jc w:val="both"/>
        <w:rPr>
          <w:rFonts w:ascii="Times New Roman" w:hAnsi="Times New Roman" w:cs="Times New Roman"/>
          <w:sz w:val="28"/>
          <w:szCs w:val="28"/>
        </w:rPr>
      </w:pPr>
    </w:p>
    <w:p w:rsidR="00DB384B" w:rsidRPr="00AE6597" w:rsidRDefault="00DB384B" w:rsidP="00AE6597">
      <w:pPr>
        <w:spacing w:after="0" w:line="360" w:lineRule="auto"/>
        <w:ind w:firstLine="709"/>
        <w:jc w:val="both"/>
        <w:rPr>
          <w:rFonts w:ascii="Times New Roman" w:hAnsi="Times New Roman" w:cs="Times New Roman"/>
          <w:sz w:val="28"/>
          <w:szCs w:val="28"/>
        </w:rPr>
      </w:pPr>
      <w:r w:rsidRPr="00AE6597">
        <w:rPr>
          <w:rFonts w:ascii="Times New Roman" w:hAnsi="Times New Roman" w:cs="Times New Roman"/>
          <w:sz w:val="28"/>
          <w:szCs w:val="28"/>
        </w:rPr>
        <w:br/>
      </w:r>
    </w:p>
    <w:p w:rsidR="00DB384B" w:rsidRPr="00AE6597" w:rsidRDefault="00DB384B" w:rsidP="00AE6597">
      <w:pPr>
        <w:spacing w:after="0" w:line="360" w:lineRule="auto"/>
        <w:ind w:firstLine="709"/>
        <w:jc w:val="both"/>
        <w:rPr>
          <w:rFonts w:ascii="Times New Roman" w:hAnsi="Times New Roman" w:cs="Times New Roman"/>
          <w:sz w:val="28"/>
          <w:szCs w:val="28"/>
        </w:rPr>
      </w:pPr>
      <w:r w:rsidRPr="00AE6597">
        <w:rPr>
          <w:rFonts w:ascii="Times New Roman" w:hAnsi="Times New Roman" w:cs="Times New Roman"/>
          <w:sz w:val="28"/>
          <w:szCs w:val="28"/>
        </w:rPr>
        <w:br w:type="page"/>
      </w:r>
    </w:p>
    <w:p w:rsidR="004907F6" w:rsidRPr="00406FF9" w:rsidRDefault="004907F6" w:rsidP="00C7698B">
      <w:pPr>
        <w:spacing w:after="0" w:line="360" w:lineRule="auto"/>
        <w:ind w:firstLine="709"/>
        <w:jc w:val="center"/>
        <w:outlineLvl w:val="2"/>
        <w:rPr>
          <w:rFonts w:ascii="Times New Roman" w:hAnsi="Times New Roman" w:cs="Times New Roman"/>
          <w:b/>
          <w:sz w:val="28"/>
          <w:szCs w:val="28"/>
        </w:rPr>
      </w:pPr>
      <w:bookmarkStart w:id="1" w:name="_Toc500346395"/>
      <w:r w:rsidRPr="00406FF9">
        <w:rPr>
          <w:rFonts w:ascii="Times New Roman" w:hAnsi="Times New Roman" w:cs="Times New Roman"/>
          <w:b/>
          <w:sz w:val="28"/>
          <w:szCs w:val="28"/>
        </w:rPr>
        <w:lastRenderedPageBreak/>
        <w:t>1.</w:t>
      </w:r>
      <w:r w:rsidR="000F6FF3">
        <w:rPr>
          <w:rFonts w:ascii="Times New Roman" w:hAnsi="Times New Roman" w:cs="Times New Roman"/>
          <w:b/>
          <w:sz w:val="28"/>
          <w:szCs w:val="28"/>
        </w:rPr>
        <w:t>Участие государства в</w:t>
      </w:r>
      <w:r w:rsidRPr="00406FF9">
        <w:rPr>
          <w:rFonts w:ascii="Times New Roman" w:hAnsi="Times New Roman" w:cs="Times New Roman"/>
          <w:b/>
          <w:sz w:val="28"/>
          <w:szCs w:val="28"/>
        </w:rPr>
        <w:t xml:space="preserve"> поддержк</w:t>
      </w:r>
      <w:r w:rsidR="000F6FF3">
        <w:rPr>
          <w:rFonts w:ascii="Times New Roman" w:hAnsi="Times New Roman" w:cs="Times New Roman"/>
          <w:b/>
          <w:sz w:val="28"/>
          <w:szCs w:val="28"/>
        </w:rPr>
        <w:t>е</w:t>
      </w:r>
      <w:r w:rsidRPr="00406FF9">
        <w:rPr>
          <w:rFonts w:ascii="Times New Roman" w:hAnsi="Times New Roman" w:cs="Times New Roman"/>
          <w:b/>
          <w:sz w:val="28"/>
          <w:szCs w:val="28"/>
        </w:rPr>
        <w:t xml:space="preserve"> банковской сферы</w:t>
      </w:r>
      <w:bookmarkEnd w:id="1"/>
    </w:p>
    <w:p w:rsidR="00406FF9" w:rsidRDefault="00406FF9" w:rsidP="00AE6597">
      <w:pPr>
        <w:spacing w:after="0" w:line="360" w:lineRule="auto"/>
        <w:ind w:firstLine="709"/>
        <w:jc w:val="both"/>
        <w:rPr>
          <w:rFonts w:ascii="Times New Roman" w:hAnsi="Times New Roman" w:cs="Times New Roman"/>
          <w:sz w:val="28"/>
          <w:szCs w:val="28"/>
        </w:rPr>
      </w:pPr>
    </w:p>
    <w:p w:rsidR="00406FF9" w:rsidRDefault="000F6FF3" w:rsidP="00AE659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Э</w:t>
      </w:r>
      <w:r w:rsidR="004907F6" w:rsidRPr="00AE6597">
        <w:rPr>
          <w:rFonts w:ascii="Times New Roman" w:hAnsi="Times New Roman" w:cs="Times New Roman"/>
          <w:sz w:val="28"/>
          <w:szCs w:val="28"/>
        </w:rPr>
        <w:t xml:space="preserve">кономика  России  вошла  в  рецессию,  что  обусловлено  комплексом  проблем  как  внешнего  (падение  цен  на  нефть,  санкции  со  стороны  ведущих  стран),  так  и  внутреннего  характера  (низкая  производительность  труда,  высокие  коррупционные  риски  системы).  В  этой  ситуации  необходимо  обратить  внимание  на  состояние  банковского  сектора  страны,  который  является  основным  инструментом  перераспределения  капитала.  С  одной  стороны,  банковская  система  как  отрасль  экономики  при  наступлении  проблем  находится  </w:t>
      </w:r>
      <w:r>
        <w:rPr>
          <w:rFonts w:ascii="Times New Roman" w:hAnsi="Times New Roman" w:cs="Times New Roman"/>
          <w:sz w:val="28"/>
          <w:szCs w:val="28"/>
        </w:rPr>
        <w:t>«</w:t>
      </w:r>
      <w:r w:rsidR="004907F6" w:rsidRPr="00AE6597">
        <w:rPr>
          <w:rFonts w:ascii="Times New Roman" w:hAnsi="Times New Roman" w:cs="Times New Roman"/>
          <w:sz w:val="28"/>
          <w:szCs w:val="28"/>
        </w:rPr>
        <w:t>в  первых  рядах</w:t>
      </w:r>
      <w:r>
        <w:rPr>
          <w:rFonts w:ascii="Times New Roman" w:hAnsi="Times New Roman" w:cs="Times New Roman"/>
          <w:sz w:val="28"/>
          <w:szCs w:val="28"/>
        </w:rPr>
        <w:t>»</w:t>
      </w:r>
      <w:r w:rsidR="004907F6" w:rsidRPr="00AE6597">
        <w:rPr>
          <w:rFonts w:ascii="Times New Roman" w:hAnsi="Times New Roman" w:cs="Times New Roman"/>
          <w:sz w:val="28"/>
          <w:szCs w:val="28"/>
        </w:rPr>
        <w:t>  на  получение  финансовой  поддержки  от  российских  властей,  что  отчетливо  показал  кризис  2008  г.,  а  также  реализация  программы  по  докапитализации  банков  в  2014–2015  гг. </w:t>
      </w:r>
    </w:p>
    <w:p w:rsidR="000F6FF3" w:rsidRPr="00AE6597" w:rsidRDefault="000F6FF3" w:rsidP="000F6FF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Ц</w:t>
      </w:r>
      <w:r w:rsidRPr="00AE6597">
        <w:rPr>
          <w:rFonts w:ascii="Times New Roman" w:hAnsi="Times New Roman" w:cs="Times New Roman"/>
          <w:sz w:val="28"/>
          <w:szCs w:val="28"/>
        </w:rPr>
        <w:t>елями государственного регулирования банковской сферы являются:</w:t>
      </w:r>
    </w:p>
    <w:p w:rsidR="000F6FF3" w:rsidRPr="00AE6597" w:rsidRDefault="000F6FF3" w:rsidP="000F6FF3">
      <w:pPr>
        <w:spacing w:after="0" w:line="360" w:lineRule="auto"/>
        <w:ind w:firstLine="709"/>
        <w:jc w:val="both"/>
        <w:rPr>
          <w:rFonts w:ascii="Times New Roman" w:hAnsi="Times New Roman" w:cs="Times New Roman"/>
          <w:sz w:val="28"/>
          <w:szCs w:val="28"/>
        </w:rPr>
      </w:pPr>
      <w:r w:rsidRPr="00AE6597">
        <w:rPr>
          <w:rFonts w:ascii="Times New Roman" w:hAnsi="Times New Roman" w:cs="Times New Roman"/>
          <w:sz w:val="28"/>
          <w:szCs w:val="28"/>
        </w:rPr>
        <w:t>- поддержание стабильности финансовой системы страны посредством обеспечения платежеспособности и финансовой устойчивости банков;</w:t>
      </w:r>
    </w:p>
    <w:p w:rsidR="000F6FF3" w:rsidRPr="00AE6597" w:rsidRDefault="000F6FF3" w:rsidP="000F6FF3">
      <w:pPr>
        <w:spacing w:after="0" w:line="360" w:lineRule="auto"/>
        <w:ind w:firstLine="709"/>
        <w:jc w:val="both"/>
        <w:rPr>
          <w:rFonts w:ascii="Times New Roman" w:hAnsi="Times New Roman" w:cs="Times New Roman"/>
          <w:sz w:val="28"/>
          <w:szCs w:val="28"/>
        </w:rPr>
      </w:pPr>
      <w:r w:rsidRPr="00AE6597">
        <w:rPr>
          <w:rFonts w:ascii="Times New Roman" w:hAnsi="Times New Roman" w:cs="Times New Roman"/>
          <w:sz w:val="28"/>
          <w:szCs w:val="28"/>
        </w:rPr>
        <w:t>- предотвращение системного кризиса, заключающегося в ситуации, когда банкротство одного или нескольких кредитных институтов приводит к кризису всей финансовой системы;</w:t>
      </w:r>
    </w:p>
    <w:p w:rsidR="000F6FF3" w:rsidRPr="00AE6597" w:rsidRDefault="000F6FF3" w:rsidP="000F6FF3">
      <w:pPr>
        <w:spacing w:after="0" w:line="360" w:lineRule="auto"/>
        <w:ind w:firstLine="709"/>
        <w:jc w:val="both"/>
        <w:rPr>
          <w:rFonts w:ascii="Times New Roman" w:hAnsi="Times New Roman" w:cs="Times New Roman"/>
          <w:sz w:val="28"/>
          <w:szCs w:val="28"/>
        </w:rPr>
      </w:pPr>
      <w:r w:rsidRPr="00AE6597">
        <w:rPr>
          <w:rFonts w:ascii="Times New Roman" w:hAnsi="Times New Roman" w:cs="Times New Roman"/>
          <w:sz w:val="28"/>
          <w:szCs w:val="28"/>
        </w:rPr>
        <w:t>- защита инвесторов, заемщиков и других агентов финансового рынка от ущерба, возникающего в результате банкротства, мошенничества или других злоупотреблений со стороны банков.</w:t>
      </w:r>
      <w:r w:rsidR="00C7698B">
        <w:rPr>
          <w:rStyle w:val="af0"/>
          <w:rFonts w:ascii="Times New Roman" w:hAnsi="Times New Roman" w:cs="Times New Roman"/>
          <w:sz w:val="28"/>
          <w:szCs w:val="28"/>
        </w:rPr>
        <w:footnoteReference w:id="2"/>
      </w:r>
    </w:p>
    <w:p w:rsidR="004907F6" w:rsidRPr="00AE6597" w:rsidRDefault="004907F6" w:rsidP="00AE6597">
      <w:pPr>
        <w:spacing w:after="0" w:line="360" w:lineRule="auto"/>
        <w:ind w:firstLine="709"/>
        <w:jc w:val="both"/>
        <w:rPr>
          <w:rFonts w:ascii="Times New Roman" w:hAnsi="Times New Roman" w:cs="Times New Roman"/>
          <w:sz w:val="28"/>
          <w:szCs w:val="28"/>
        </w:rPr>
      </w:pPr>
      <w:r w:rsidRPr="00AE6597">
        <w:rPr>
          <w:rFonts w:ascii="Times New Roman" w:hAnsi="Times New Roman" w:cs="Times New Roman"/>
          <w:sz w:val="28"/>
          <w:szCs w:val="28"/>
        </w:rPr>
        <w:t xml:space="preserve"> Так,  по  данным  международного  рейтингового  агентства  S&amp;P,  объем  государственной  помощи  банкам  РФ  превысил  2,5  трлн  рублей.  С  другой  стороны,  принимая  во  внимание,  что  банковская  система  РФ  представлена  порядка  800  кредитными  организациями,  стоит  отметить,  что  поддержка  зачастую  носит  </w:t>
      </w:r>
      <w:r w:rsidR="000F6FF3">
        <w:rPr>
          <w:rFonts w:ascii="Times New Roman" w:hAnsi="Times New Roman" w:cs="Times New Roman"/>
          <w:sz w:val="28"/>
          <w:szCs w:val="28"/>
        </w:rPr>
        <w:t>«</w:t>
      </w:r>
      <w:r w:rsidRPr="00AE6597">
        <w:rPr>
          <w:rFonts w:ascii="Times New Roman" w:hAnsi="Times New Roman" w:cs="Times New Roman"/>
          <w:sz w:val="28"/>
          <w:szCs w:val="28"/>
        </w:rPr>
        <w:t>избирательный</w:t>
      </w:r>
      <w:r w:rsidR="000F6FF3">
        <w:rPr>
          <w:rFonts w:ascii="Times New Roman" w:hAnsi="Times New Roman" w:cs="Times New Roman"/>
          <w:sz w:val="28"/>
          <w:szCs w:val="28"/>
        </w:rPr>
        <w:t>»</w:t>
      </w:r>
      <w:r w:rsidRPr="00AE6597">
        <w:rPr>
          <w:rFonts w:ascii="Times New Roman" w:hAnsi="Times New Roman" w:cs="Times New Roman"/>
          <w:sz w:val="28"/>
          <w:szCs w:val="28"/>
        </w:rPr>
        <w:t>  характер  и  не  распространяется  на  все  банки. </w:t>
      </w:r>
    </w:p>
    <w:p w:rsidR="004907F6" w:rsidRPr="00AE6597" w:rsidRDefault="004907F6" w:rsidP="00AE6597">
      <w:pPr>
        <w:spacing w:after="0" w:line="360" w:lineRule="auto"/>
        <w:ind w:firstLine="709"/>
        <w:jc w:val="both"/>
        <w:rPr>
          <w:rFonts w:ascii="Times New Roman" w:hAnsi="Times New Roman" w:cs="Times New Roman"/>
          <w:sz w:val="28"/>
          <w:szCs w:val="28"/>
        </w:rPr>
      </w:pPr>
      <w:r w:rsidRPr="00AE6597">
        <w:rPr>
          <w:rFonts w:ascii="Times New Roman" w:hAnsi="Times New Roman" w:cs="Times New Roman"/>
          <w:sz w:val="28"/>
          <w:szCs w:val="28"/>
        </w:rPr>
        <w:lastRenderedPageBreak/>
        <w:t xml:space="preserve">В  качестве  яркого  примера  такой  избирательности  следует  привести  ситуацию  с  государственной  поддержкой  финансового  сектора  в  2008–2009  гг.  13  октября  2008  года  был  принят  Федеральный  Закон  №  173-ФЗ  </w:t>
      </w:r>
      <w:r w:rsidR="000F6FF3">
        <w:rPr>
          <w:rFonts w:ascii="Times New Roman" w:hAnsi="Times New Roman" w:cs="Times New Roman"/>
          <w:sz w:val="28"/>
          <w:szCs w:val="28"/>
        </w:rPr>
        <w:t>«</w:t>
      </w:r>
      <w:r w:rsidRPr="00AE6597">
        <w:rPr>
          <w:rFonts w:ascii="Times New Roman" w:hAnsi="Times New Roman" w:cs="Times New Roman"/>
          <w:sz w:val="28"/>
          <w:szCs w:val="28"/>
        </w:rPr>
        <w:t>О  дополнительных  мерах  по  поддержке  финансовой  системы  Российской  Федерации</w:t>
      </w:r>
      <w:r w:rsidR="000F6FF3">
        <w:rPr>
          <w:rFonts w:ascii="Times New Roman" w:hAnsi="Times New Roman" w:cs="Times New Roman"/>
          <w:sz w:val="28"/>
          <w:szCs w:val="28"/>
        </w:rPr>
        <w:t>»</w:t>
      </w:r>
      <w:r w:rsidRPr="00AE6597">
        <w:rPr>
          <w:rFonts w:ascii="Times New Roman" w:hAnsi="Times New Roman" w:cs="Times New Roman"/>
          <w:sz w:val="28"/>
          <w:szCs w:val="28"/>
        </w:rPr>
        <w:t>,  который  (в  том  числе)  был  направлен  на  поддержание  устойчивости  банковской  системы  РФ  (этому  посвящены  статьи  4–6)  через  предоставление  субординированных  кредитов.  Основными  получателями  государственной  поддержки  стали:</w:t>
      </w:r>
    </w:p>
    <w:p w:rsidR="004907F6" w:rsidRPr="00AE6597" w:rsidRDefault="004907F6" w:rsidP="00AE6597">
      <w:pPr>
        <w:spacing w:after="0" w:line="360" w:lineRule="auto"/>
        <w:ind w:firstLine="709"/>
        <w:jc w:val="both"/>
        <w:rPr>
          <w:rFonts w:ascii="Times New Roman" w:hAnsi="Times New Roman" w:cs="Times New Roman"/>
          <w:sz w:val="28"/>
          <w:szCs w:val="28"/>
        </w:rPr>
      </w:pPr>
      <w:r w:rsidRPr="00AE6597">
        <w:rPr>
          <w:rFonts w:ascii="Times New Roman" w:hAnsi="Times New Roman" w:cs="Times New Roman"/>
          <w:sz w:val="28"/>
          <w:szCs w:val="28"/>
        </w:rPr>
        <w:t xml:space="preserve">·ОАО  </w:t>
      </w:r>
      <w:r w:rsidR="000F6FF3">
        <w:rPr>
          <w:rFonts w:ascii="Times New Roman" w:hAnsi="Times New Roman" w:cs="Times New Roman"/>
          <w:sz w:val="28"/>
          <w:szCs w:val="28"/>
        </w:rPr>
        <w:t>«</w:t>
      </w:r>
      <w:r w:rsidRPr="00AE6597">
        <w:rPr>
          <w:rFonts w:ascii="Times New Roman" w:hAnsi="Times New Roman" w:cs="Times New Roman"/>
          <w:sz w:val="28"/>
          <w:szCs w:val="28"/>
        </w:rPr>
        <w:t>Сбербанк  России</w:t>
      </w:r>
      <w:r w:rsidR="000F6FF3">
        <w:rPr>
          <w:rFonts w:ascii="Times New Roman" w:hAnsi="Times New Roman" w:cs="Times New Roman"/>
          <w:sz w:val="28"/>
          <w:szCs w:val="28"/>
        </w:rPr>
        <w:t>»</w:t>
      </w:r>
      <w:r w:rsidRPr="00AE6597">
        <w:rPr>
          <w:rFonts w:ascii="Times New Roman" w:hAnsi="Times New Roman" w:cs="Times New Roman"/>
          <w:sz w:val="28"/>
          <w:szCs w:val="28"/>
        </w:rPr>
        <w:t xml:space="preserve">.  ЦБ  РФ  в  соответствии  со  ст.  5  закона  предоставлял  банку  субординированные  кредиты  </w:t>
      </w:r>
      <w:r w:rsidR="000F6FF3">
        <w:rPr>
          <w:rFonts w:ascii="Times New Roman" w:hAnsi="Times New Roman" w:cs="Times New Roman"/>
          <w:sz w:val="28"/>
          <w:szCs w:val="28"/>
        </w:rPr>
        <w:t>«</w:t>
      </w:r>
      <w:r w:rsidRPr="00AE6597">
        <w:rPr>
          <w:rFonts w:ascii="Times New Roman" w:hAnsi="Times New Roman" w:cs="Times New Roman"/>
          <w:sz w:val="28"/>
          <w:szCs w:val="28"/>
        </w:rPr>
        <w:t>без  обеспечения  на  общую  сумму,  не  превышающие  500  млрд.  рублей,  на  срок  до  31  декабря  2019  года  включительно  по  ставке  8  процентов  годовых</w:t>
      </w:r>
      <w:r w:rsidR="000F6FF3">
        <w:rPr>
          <w:rFonts w:ascii="Times New Roman" w:hAnsi="Times New Roman" w:cs="Times New Roman"/>
          <w:sz w:val="28"/>
          <w:szCs w:val="28"/>
        </w:rPr>
        <w:t>»</w:t>
      </w:r>
      <w:r w:rsidRPr="00AE6597">
        <w:rPr>
          <w:rFonts w:ascii="Times New Roman" w:hAnsi="Times New Roman" w:cs="Times New Roman"/>
          <w:sz w:val="28"/>
          <w:szCs w:val="28"/>
        </w:rPr>
        <w:t>. </w:t>
      </w:r>
    </w:p>
    <w:p w:rsidR="004907F6" w:rsidRPr="00AE6597" w:rsidRDefault="004907F6" w:rsidP="00AE6597">
      <w:pPr>
        <w:spacing w:after="0" w:line="360" w:lineRule="auto"/>
        <w:ind w:firstLine="709"/>
        <w:jc w:val="both"/>
        <w:rPr>
          <w:rFonts w:ascii="Times New Roman" w:hAnsi="Times New Roman" w:cs="Times New Roman"/>
          <w:sz w:val="28"/>
          <w:szCs w:val="28"/>
        </w:rPr>
      </w:pPr>
      <w:r w:rsidRPr="00AE6597">
        <w:rPr>
          <w:rFonts w:ascii="Times New Roman" w:hAnsi="Times New Roman" w:cs="Times New Roman"/>
          <w:sz w:val="28"/>
          <w:szCs w:val="28"/>
        </w:rPr>
        <w:t xml:space="preserve">·ОАО  </w:t>
      </w:r>
      <w:r w:rsidR="000F6FF3">
        <w:rPr>
          <w:rFonts w:ascii="Times New Roman" w:hAnsi="Times New Roman" w:cs="Times New Roman"/>
          <w:sz w:val="28"/>
          <w:szCs w:val="28"/>
        </w:rPr>
        <w:t>«</w:t>
      </w:r>
      <w:r w:rsidRPr="00AE6597">
        <w:rPr>
          <w:rFonts w:ascii="Times New Roman" w:hAnsi="Times New Roman" w:cs="Times New Roman"/>
          <w:sz w:val="28"/>
          <w:szCs w:val="28"/>
        </w:rPr>
        <w:t>Банк  ВТБ</w:t>
      </w:r>
      <w:r w:rsidR="000F6FF3">
        <w:rPr>
          <w:rFonts w:ascii="Times New Roman" w:hAnsi="Times New Roman" w:cs="Times New Roman"/>
          <w:sz w:val="28"/>
          <w:szCs w:val="28"/>
        </w:rPr>
        <w:t>»</w:t>
      </w:r>
      <w:r w:rsidRPr="00AE6597">
        <w:rPr>
          <w:rFonts w:ascii="Times New Roman" w:hAnsi="Times New Roman" w:cs="Times New Roman"/>
          <w:sz w:val="28"/>
          <w:szCs w:val="28"/>
        </w:rPr>
        <w:t xml:space="preserve">  –  субординированные  кредиты  от  Внешэкономбанка  </w:t>
      </w:r>
      <w:r w:rsidR="000F6FF3">
        <w:rPr>
          <w:rFonts w:ascii="Times New Roman" w:hAnsi="Times New Roman" w:cs="Times New Roman"/>
          <w:sz w:val="28"/>
          <w:szCs w:val="28"/>
        </w:rPr>
        <w:t>«</w:t>
      </w:r>
      <w:r w:rsidRPr="00AE6597">
        <w:rPr>
          <w:rFonts w:ascii="Times New Roman" w:hAnsi="Times New Roman" w:cs="Times New Roman"/>
          <w:sz w:val="28"/>
          <w:szCs w:val="28"/>
        </w:rPr>
        <w:t>без  обеспечения  на  общую  сумму,  не  превышающие  200  млрд.  рублей,  на  срок  до  31  декабря  2019  года  включительно  по  ставке  8  процентов  годовых</w:t>
      </w:r>
      <w:r w:rsidR="000F6FF3">
        <w:rPr>
          <w:rFonts w:ascii="Times New Roman" w:hAnsi="Times New Roman" w:cs="Times New Roman"/>
          <w:sz w:val="28"/>
          <w:szCs w:val="28"/>
        </w:rPr>
        <w:t>»</w:t>
      </w:r>
      <w:r w:rsidRPr="00AE6597">
        <w:rPr>
          <w:rFonts w:ascii="Times New Roman" w:hAnsi="Times New Roman" w:cs="Times New Roman"/>
          <w:sz w:val="28"/>
          <w:szCs w:val="28"/>
        </w:rPr>
        <w:t>  (ст.  6).</w:t>
      </w:r>
    </w:p>
    <w:p w:rsidR="004907F6" w:rsidRPr="00AE6597" w:rsidRDefault="004907F6" w:rsidP="00AE6597">
      <w:pPr>
        <w:spacing w:after="0" w:line="360" w:lineRule="auto"/>
        <w:ind w:firstLine="709"/>
        <w:jc w:val="both"/>
        <w:rPr>
          <w:rFonts w:ascii="Times New Roman" w:hAnsi="Times New Roman" w:cs="Times New Roman"/>
          <w:sz w:val="28"/>
          <w:szCs w:val="28"/>
        </w:rPr>
      </w:pPr>
      <w:r w:rsidRPr="00AE6597">
        <w:rPr>
          <w:rFonts w:ascii="Times New Roman" w:hAnsi="Times New Roman" w:cs="Times New Roman"/>
          <w:sz w:val="28"/>
          <w:szCs w:val="28"/>
        </w:rPr>
        <w:t xml:space="preserve">·ОАО  </w:t>
      </w:r>
      <w:r w:rsidR="000F6FF3">
        <w:rPr>
          <w:rFonts w:ascii="Times New Roman" w:hAnsi="Times New Roman" w:cs="Times New Roman"/>
          <w:sz w:val="28"/>
          <w:szCs w:val="28"/>
        </w:rPr>
        <w:t>«</w:t>
      </w:r>
      <w:r w:rsidRPr="00AE6597">
        <w:rPr>
          <w:rFonts w:ascii="Times New Roman" w:hAnsi="Times New Roman" w:cs="Times New Roman"/>
          <w:sz w:val="28"/>
          <w:szCs w:val="28"/>
        </w:rPr>
        <w:t>Россельхозбанк</w:t>
      </w:r>
      <w:r w:rsidR="000F6FF3">
        <w:rPr>
          <w:rFonts w:ascii="Times New Roman" w:hAnsi="Times New Roman" w:cs="Times New Roman"/>
          <w:sz w:val="28"/>
          <w:szCs w:val="28"/>
        </w:rPr>
        <w:t>»</w:t>
      </w:r>
      <w:r w:rsidRPr="00AE6597">
        <w:rPr>
          <w:rFonts w:ascii="Times New Roman" w:hAnsi="Times New Roman" w:cs="Times New Roman"/>
          <w:sz w:val="28"/>
          <w:szCs w:val="28"/>
        </w:rPr>
        <w:t xml:space="preserve">  –  аналогичные  ОАО  </w:t>
      </w:r>
      <w:r w:rsidR="000F6FF3">
        <w:rPr>
          <w:rFonts w:ascii="Times New Roman" w:hAnsi="Times New Roman" w:cs="Times New Roman"/>
          <w:sz w:val="28"/>
          <w:szCs w:val="28"/>
        </w:rPr>
        <w:t>«</w:t>
      </w:r>
      <w:r w:rsidRPr="00AE6597">
        <w:rPr>
          <w:rFonts w:ascii="Times New Roman" w:hAnsi="Times New Roman" w:cs="Times New Roman"/>
          <w:sz w:val="28"/>
          <w:szCs w:val="28"/>
        </w:rPr>
        <w:t>Банк  ВТБ</w:t>
      </w:r>
      <w:r w:rsidR="000F6FF3">
        <w:rPr>
          <w:rFonts w:ascii="Times New Roman" w:hAnsi="Times New Roman" w:cs="Times New Roman"/>
          <w:sz w:val="28"/>
          <w:szCs w:val="28"/>
        </w:rPr>
        <w:t>»</w:t>
      </w:r>
      <w:r w:rsidRPr="00AE6597">
        <w:rPr>
          <w:rFonts w:ascii="Times New Roman" w:hAnsi="Times New Roman" w:cs="Times New Roman"/>
          <w:sz w:val="28"/>
          <w:szCs w:val="28"/>
        </w:rPr>
        <w:t>  условия  кредитования  на  сумму  не  более  25  млрд.  рублей.</w:t>
      </w:r>
      <w:r w:rsidR="00C7698B">
        <w:rPr>
          <w:rStyle w:val="af0"/>
          <w:rFonts w:ascii="Times New Roman" w:hAnsi="Times New Roman" w:cs="Times New Roman"/>
          <w:sz w:val="28"/>
          <w:szCs w:val="28"/>
        </w:rPr>
        <w:footnoteReference w:id="3"/>
      </w:r>
    </w:p>
    <w:p w:rsidR="004907F6" w:rsidRPr="00AE6597" w:rsidRDefault="004907F6" w:rsidP="00AE6597">
      <w:pPr>
        <w:spacing w:after="0" w:line="360" w:lineRule="auto"/>
        <w:ind w:firstLine="709"/>
        <w:jc w:val="both"/>
        <w:rPr>
          <w:rFonts w:ascii="Times New Roman" w:hAnsi="Times New Roman" w:cs="Times New Roman"/>
          <w:sz w:val="28"/>
          <w:szCs w:val="28"/>
        </w:rPr>
      </w:pPr>
      <w:r w:rsidRPr="00AE6597">
        <w:rPr>
          <w:rFonts w:ascii="Times New Roman" w:hAnsi="Times New Roman" w:cs="Times New Roman"/>
          <w:sz w:val="28"/>
          <w:szCs w:val="28"/>
        </w:rPr>
        <w:t xml:space="preserve">Внешэкономбанк  в  соответствии  с  п.  2  ч.  1  ст.  6  ФЗ  №  173  от  13.10.2008  получал  право  предоставлять  субординированные  кредиты  другим  кредитным  организациям,  общая  сумма  которых  ограничивалась  185  млрд.  рублей.  Порядок  предоставления  поддержки  был  определен  государственной  корпорацией  на  основании  решения  ее  Наблюдательного  Совета  (протокол  №  13  от  20  октября  2008  г.).  С  октября  2008  года  по  декабрь  2009  было  проведено  8  заседаний  Наблюдательного  Совета  банка,  по  итогам  которых  субординированные  кредиты  получили  15  банков  (без  учета  ОАО  </w:t>
      </w:r>
      <w:r w:rsidR="000F6FF3">
        <w:rPr>
          <w:rFonts w:ascii="Times New Roman" w:hAnsi="Times New Roman" w:cs="Times New Roman"/>
          <w:sz w:val="28"/>
          <w:szCs w:val="28"/>
        </w:rPr>
        <w:t>«</w:t>
      </w:r>
      <w:r w:rsidRPr="00AE6597">
        <w:rPr>
          <w:rFonts w:ascii="Times New Roman" w:hAnsi="Times New Roman" w:cs="Times New Roman"/>
          <w:sz w:val="28"/>
          <w:szCs w:val="28"/>
        </w:rPr>
        <w:t>Банк  ВТБ</w:t>
      </w:r>
      <w:r w:rsidR="000F6FF3">
        <w:rPr>
          <w:rFonts w:ascii="Times New Roman" w:hAnsi="Times New Roman" w:cs="Times New Roman"/>
          <w:sz w:val="28"/>
          <w:szCs w:val="28"/>
        </w:rPr>
        <w:t>»</w:t>
      </w:r>
      <w:r w:rsidRPr="00AE6597">
        <w:rPr>
          <w:rFonts w:ascii="Times New Roman" w:hAnsi="Times New Roman" w:cs="Times New Roman"/>
          <w:sz w:val="28"/>
          <w:szCs w:val="28"/>
        </w:rPr>
        <w:t xml:space="preserve">  и  ОАО  </w:t>
      </w:r>
      <w:r w:rsidR="000F6FF3">
        <w:rPr>
          <w:rFonts w:ascii="Times New Roman" w:hAnsi="Times New Roman" w:cs="Times New Roman"/>
          <w:sz w:val="28"/>
          <w:szCs w:val="28"/>
        </w:rPr>
        <w:t>«</w:t>
      </w:r>
      <w:r w:rsidRPr="00AE6597">
        <w:rPr>
          <w:rFonts w:ascii="Times New Roman" w:hAnsi="Times New Roman" w:cs="Times New Roman"/>
          <w:sz w:val="28"/>
          <w:szCs w:val="28"/>
        </w:rPr>
        <w:t>Россельхозбанк</w:t>
      </w:r>
      <w:r w:rsidR="000F6FF3">
        <w:rPr>
          <w:rFonts w:ascii="Times New Roman" w:hAnsi="Times New Roman" w:cs="Times New Roman"/>
          <w:sz w:val="28"/>
          <w:szCs w:val="28"/>
        </w:rPr>
        <w:t>»</w:t>
      </w:r>
      <w:r w:rsidRPr="00AE6597">
        <w:rPr>
          <w:rFonts w:ascii="Times New Roman" w:hAnsi="Times New Roman" w:cs="Times New Roman"/>
          <w:sz w:val="28"/>
          <w:szCs w:val="28"/>
        </w:rPr>
        <w:t xml:space="preserve">).  Среди  них  основная  поддержка  в  денежном  </w:t>
      </w:r>
      <w:r w:rsidRPr="00AE6597">
        <w:rPr>
          <w:rFonts w:ascii="Times New Roman" w:hAnsi="Times New Roman" w:cs="Times New Roman"/>
          <w:sz w:val="28"/>
          <w:szCs w:val="28"/>
        </w:rPr>
        <w:lastRenderedPageBreak/>
        <w:t xml:space="preserve">выражении  пришлась  на  государственные  коммерческие  банки,  т.е.  банки,  находившиеся  под  контролем  или  значительным  влиянием  государственных  институтов  (табл.  </w:t>
      </w:r>
      <w:r w:rsidR="00406FF9">
        <w:rPr>
          <w:rFonts w:ascii="Times New Roman" w:hAnsi="Times New Roman" w:cs="Times New Roman"/>
          <w:sz w:val="28"/>
          <w:szCs w:val="28"/>
        </w:rPr>
        <w:t>1</w:t>
      </w:r>
      <w:r w:rsidRPr="00AE6597">
        <w:rPr>
          <w:rFonts w:ascii="Times New Roman" w:hAnsi="Times New Roman" w:cs="Times New Roman"/>
          <w:sz w:val="28"/>
          <w:szCs w:val="28"/>
        </w:rPr>
        <w:t>).</w:t>
      </w:r>
    </w:p>
    <w:p w:rsidR="004907F6" w:rsidRPr="00AE6597" w:rsidRDefault="00406FF9" w:rsidP="00406FF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Таблица  1. - </w:t>
      </w:r>
      <w:r w:rsidR="004907F6" w:rsidRPr="00AE6597">
        <w:rPr>
          <w:rFonts w:ascii="Times New Roman" w:hAnsi="Times New Roman" w:cs="Times New Roman"/>
          <w:sz w:val="28"/>
          <w:szCs w:val="28"/>
        </w:rPr>
        <w:t>Группировка  банков,  получивших  субординированные  кредиты  в  2008–2009  гг.  в  разрезе  государственных  и  частных</w:t>
      </w:r>
    </w:p>
    <w:tbl>
      <w:tblPr>
        <w:tblW w:w="9747" w:type="dxa"/>
        <w:jc w:val="center"/>
        <w:tblCellMar>
          <w:left w:w="0" w:type="dxa"/>
          <w:right w:w="0" w:type="dxa"/>
        </w:tblCellMar>
        <w:tblLook w:val="04A0"/>
      </w:tblPr>
      <w:tblGrid>
        <w:gridCol w:w="3085"/>
        <w:gridCol w:w="1701"/>
        <w:gridCol w:w="3260"/>
        <w:gridCol w:w="1701"/>
      </w:tblGrid>
      <w:tr w:rsidR="004907F6" w:rsidRPr="00406FF9" w:rsidTr="004907F6">
        <w:trPr>
          <w:trHeight w:val="77"/>
          <w:tblHeader/>
          <w:jc w:val="center"/>
        </w:trPr>
        <w:tc>
          <w:tcPr>
            <w:tcW w:w="30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br/>
            </w:r>
          </w:p>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t>Государственные  коммерческие  банки</w:t>
            </w:r>
          </w:p>
        </w:tc>
        <w:tc>
          <w:tcPr>
            <w:tcW w:w="170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br/>
            </w:r>
          </w:p>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t>Сумма,  млн.рублей</w:t>
            </w:r>
          </w:p>
        </w:tc>
        <w:tc>
          <w:tcPr>
            <w:tcW w:w="326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br/>
            </w:r>
          </w:p>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t>Частные  коммерческие  банки</w:t>
            </w:r>
          </w:p>
        </w:tc>
        <w:tc>
          <w:tcPr>
            <w:tcW w:w="170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br/>
            </w:r>
          </w:p>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t>Сумма,  млн.рублей</w:t>
            </w:r>
          </w:p>
        </w:tc>
      </w:tr>
      <w:tr w:rsidR="004907F6" w:rsidRPr="00406FF9" w:rsidTr="004907F6">
        <w:trPr>
          <w:trHeight w:val="77"/>
          <w:jc w:val="center"/>
        </w:trPr>
        <w:tc>
          <w:tcPr>
            <w:tcW w:w="308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br/>
            </w:r>
          </w:p>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t xml:space="preserve">ОАО  </w:t>
            </w:r>
            <w:r w:rsidR="000F6FF3">
              <w:rPr>
                <w:rFonts w:ascii="Times New Roman" w:hAnsi="Times New Roman" w:cs="Times New Roman"/>
                <w:sz w:val="24"/>
                <w:szCs w:val="24"/>
              </w:rPr>
              <w:t>«</w:t>
            </w:r>
            <w:r w:rsidRPr="00406FF9">
              <w:rPr>
                <w:rFonts w:ascii="Times New Roman" w:hAnsi="Times New Roman" w:cs="Times New Roman"/>
                <w:sz w:val="24"/>
                <w:szCs w:val="24"/>
              </w:rPr>
              <w:t>Газпромбанк</w:t>
            </w:r>
            <w:r w:rsidR="000F6FF3">
              <w:rPr>
                <w:rFonts w:ascii="Times New Roman" w:hAnsi="Times New Roman" w:cs="Times New Roman"/>
                <w:sz w:val="24"/>
                <w:szCs w:val="24"/>
              </w:rPr>
              <w:t>»</w:t>
            </w:r>
          </w:p>
        </w:tc>
        <w:tc>
          <w:tcPr>
            <w:tcW w:w="1701" w:type="dxa"/>
            <w:tcBorders>
              <w:top w:val="nil"/>
              <w:left w:val="nil"/>
              <w:right w:val="single" w:sz="8" w:space="0" w:color="auto"/>
            </w:tcBorders>
            <w:shd w:val="clear" w:color="auto" w:fill="FFFFFF"/>
            <w:vAlign w:val="center"/>
            <w:hideMark/>
          </w:tcPr>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br/>
            </w:r>
          </w:p>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t>89  954</w:t>
            </w:r>
          </w:p>
        </w:tc>
        <w:tc>
          <w:tcPr>
            <w:tcW w:w="3260" w:type="dxa"/>
            <w:tcBorders>
              <w:top w:val="nil"/>
              <w:left w:val="nil"/>
              <w:right w:val="single" w:sz="8" w:space="0" w:color="auto"/>
            </w:tcBorders>
            <w:tcMar>
              <w:top w:w="0" w:type="dxa"/>
              <w:left w:w="108" w:type="dxa"/>
              <w:bottom w:w="0" w:type="dxa"/>
              <w:right w:w="108" w:type="dxa"/>
            </w:tcMar>
            <w:vAlign w:val="center"/>
            <w:hideMark/>
          </w:tcPr>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br/>
            </w:r>
          </w:p>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t xml:space="preserve">ОАО  </w:t>
            </w:r>
            <w:r w:rsidR="000F6FF3">
              <w:rPr>
                <w:rFonts w:ascii="Times New Roman" w:hAnsi="Times New Roman" w:cs="Times New Roman"/>
                <w:sz w:val="24"/>
                <w:szCs w:val="24"/>
              </w:rPr>
              <w:t>«</w:t>
            </w:r>
            <w:r w:rsidRPr="00406FF9">
              <w:rPr>
                <w:rFonts w:ascii="Times New Roman" w:hAnsi="Times New Roman" w:cs="Times New Roman"/>
                <w:sz w:val="24"/>
                <w:szCs w:val="24"/>
              </w:rPr>
              <w:t>Альфа-Банк</w:t>
            </w:r>
            <w:r w:rsidR="000F6FF3">
              <w:rPr>
                <w:rFonts w:ascii="Times New Roman" w:hAnsi="Times New Roman" w:cs="Times New Roman"/>
                <w:sz w:val="24"/>
                <w:szCs w:val="24"/>
              </w:rPr>
              <w:t>»</w:t>
            </w:r>
          </w:p>
        </w:tc>
        <w:tc>
          <w:tcPr>
            <w:tcW w:w="1701" w:type="dxa"/>
            <w:tcBorders>
              <w:top w:val="nil"/>
              <w:left w:val="nil"/>
              <w:right w:val="single" w:sz="8" w:space="0" w:color="auto"/>
            </w:tcBorders>
            <w:shd w:val="clear" w:color="auto" w:fill="FFFFFF"/>
            <w:vAlign w:val="center"/>
            <w:hideMark/>
          </w:tcPr>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br/>
            </w:r>
          </w:p>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t>39  613</w:t>
            </w:r>
          </w:p>
        </w:tc>
      </w:tr>
      <w:tr w:rsidR="004907F6" w:rsidRPr="00406FF9" w:rsidTr="004907F6">
        <w:trPr>
          <w:trHeight w:val="77"/>
          <w:jc w:val="center"/>
        </w:trPr>
        <w:tc>
          <w:tcPr>
            <w:tcW w:w="308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br/>
            </w:r>
          </w:p>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t xml:space="preserve">АКБ  </w:t>
            </w:r>
            <w:r w:rsidR="000F6FF3">
              <w:rPr>
                <w:rFonts w:ascii="Times New Roman" w:hAnsi="Times New Roman" w:cs="Times New Roman"/>
                <w:sz w:val="24"/>
                <w:szCs w:val="24"/>
              </w:rPr>
              <w:t>«</w:t>
            </w:r>
            <w:r w:rsidRPr="00406FF9">
              <w:rPr>
                <w:rFonts w:ascii="Times New Roman" w:hAnsi="Times New Roman" w:cs="Times New Roman"/>
                <w:sz w:val="24"/>
                <w:szCs w:val="24"/>
              </w:rPr>
              <w:t>Связь-Банк</w:t>
            </w:r>
            <w:r w:rsidR="000F6FF3">
              <w:rPr>
                <w:rFonts w:ascii="Times New Roman" w:hAnsi="Times New Roman" w:cs="Times New Roman"/>
                <w:sz w:val="24"/>
                <w:szCs w:val="24"/>
              </w:rPr>
              <w:t>»</w:t>
            </w:r>
          </w:p>
        </w:tc>
        <w:tc>
          <w:tcPr>
            <w:tcW w:w="1701" w:type="dxa"/>
            <w:tcBorders>
              <w:top w:val="nil"/>
              <w:left w:val="nil"/>
              <w:right w:val="single" w:sz="8" w:space="0" w:color="auto"/>
            </w:tcBorders>
            <w:shd w:val="clear" w:color="auto" w:fill="FFFFFF"/>
            <w:vAlign w:val="center"/>
            <w:hideMark/>
          </w:tcPr>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br/>
            </w:r>
          </w:p>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t>15  977</w:t>
            </w:r>
          </w:p>
        </w:tc>
        <w:tc>
          <w:tcPr>
            <w:tcW w:w="3260" w:type="dxa"/>
            <w:tcBorders>
              <w:top w:val="nil"/>
              <w:left w:val="nil"/>
              <w:right w:val="single" w:sz="8" w:space="0" w:color="auto"/>
            </w:tcBorders>
            <w:tcMar>
              <w:top w:w="0" w:type="dxa"/>
              <w:left w:w="108" w:type="dxa"/>
              <w:bottom w:w="0" w:type="dxa"/>
              <w:right w:w="108" w:type="dxa"/>
            </w:tcMar>
            <w:vAlign w:val="center"/>
            <w:hideMark/>
          </w:tcPr>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br/>
            </w:r>
          </w:p>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t xml:space="preserve">ЗАО  </w:t>
            </w:r>
            <w:r w:rsidR="000F6FF3">
              <w:rPr>
                <w:rFonts w:ascii="Times New Roman" w:hAnsi="Times New Roman" w:cs="Times New Roman"/>
                <w:sz w:val="24"/>
                <w:szCs w:val="24"/>
              </w:rPr>
              <w:t>«</w:t>
            </w:r>
            <w:r w:rsidRPr="00406FF9">
              <w:rPr>
                <w:rFonts w:ascii="Times New Roman" w:hAnsi="Times New Roman" w:cs="Times New Roman"/>
                <w:sz w:val="24"/>
                <w:szCs w:val="24"/>
              </w:rPr>
              <w:t>Банк  Русский  Стандарт</w:t>
            </w:r>
            <w:r w:rsidR="000F6FF3">
              <w:rPr>
                <w:rFonts w:ascii="Times New Roman" w:hAnsi="Times New Roman" w:cs="Times New Roman"/>
                <w:sz w:val="24"/>
                <w:szCs w:val="24"/>
              </w:rPr>
              <w:t>»</w:t>
            </w:r>
          </w:p>
        </w:tc>
        <w:tc>
          <w:tcPr>
            <w:tcW w:w="1701" w:type="dxa"/>
            <w:tcBorders>
              <w:top w:val="nil"/>
              <w:left w:val="nil"/>
              <w:right w:val="single" w:sz="8" w:space="0" w:color="auto"/>
            </w:tcBorders>
            <w:shd w:val="clear" w:color="auto" w:fill="FFFFFF"/>
            <w:vAlign w:val="center"/>
            <w:hideMark/>
          </w:tcPr>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br/>
            </w:r>
          </w:p>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t>4  959</w:t>
            </w:r>
          </w:p>
        </w:tc>
      </w:tr>
      <w:tr w:rsidR="004907F6" w:rsidRPr="00406FF9" w:rsidTr="004907F6">
        <w:trPr>
          <w:trHeight w:val="70"/>
          <w:jc w:val="center"/>
        </w:trPr>
        <w:tc>
          <w:tcPr>
            <w:tcW w:w="308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br/>
            </w:r>
          </w:p>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t xml:space="preserve">ОАО  </w:t>
            </w:r>
            <w:r w:rsidR="000F6FF3">
              <w:rPr>
                <w:rFonts w:ascii="Times New Roman" w:hAnsi="Times New Roman" w:cs="Times New Roman"/>
                <w:sz w:val="24"/>
                <w:szCs w:val="24"/>
              </w:rPr>
              <w:t>«</w:t>
            </w:r>
            <w:r w:rsidRPr="00406FF9">
              <w:rPr>
                <w:rFonts w:ascii="Times New Roman" w:hAnsi="Times New Roman" w:cs="Times New Roman"/>
                <w:sz w:val="24"/>
                <w:szCs w:val="24"/>
              </w:rPr>
              <w:t>Банк  Москвы</w:t>
            </w:r>
            <w:r w:rsidR="000F6FF3">
              <w:rPr>
                <w:rFonts w:ascii="Times New Roman" w:hAnsi="Times New Roman" w:cs="Times New Roman"/>
                <w:sz w:val="24"/>
                <w:szCs w:val="24"/>
              </w:rPr>
              <w:t>»</w:t>
            </w:r>
          </w:p>
        </w:tc>
        <w:tc>
          <w:tcPr>
            <w:tcW w:w="1701" w:type="dxa"/>
            <w:tcBorders>
              <w:top w:val="nil"/>
              <w:left w:val="nil"/>
              <w:right w:val="single" w:sz="8" w:space="0" w:color="auto"/>
            </w:tcBorders>
            <w:shd w:val="clear" w:color="auto" w:fill="FFFFFF"/>
            <w:vAlign w:val="center"/>
            <w:hideMark/>
          </w:tcPr>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br/>
            </w:r>
          </w:p>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t>11  108</w:t>
            </w:r>
          </w:p>
        </w:tc>
        <w:tc>
          <w:tcPr>
            <w:tcW w:w="3260" w:type="dxa"/>
            <w:tcBorders>
              <w:top w:val="nil"/>
              <w:left w:val="nil"/>
              <w:right w:val="single" w:sz="8" w:space="0" w:color="auto"/>
            </w:tcBorders>
            <w:tcMar>
              <w:top w:w="0" w:type="dxa"/>
              <w:left w:w="108" w:type="dxa"/>
              <w:bottom w:w="0" w:type="dxa"/>
              <w:right w:w="108" w:type="dxa"/>
            </w:tcMar>
            <w:vAlign w:val="center"/>
            <w:hideMark/>
          </w:tcPr>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br/>
            </w:r>
          </w:p>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t xml:space="preserve">ОАО  </w:t>
            </w:r>
            <w:r w:rsidR="000F6FF3">
              <w:rPr>
                <w:rFonts w:ascii="Times New Roman" w:hAnsi="Times New Roman" w:cs="Times New Roman"/>
                <w:sz w:val="24"/>
                <w:szCs w:val="24"/>
              </w:rPr>
              <w:t>«</w:t>
            </w:r>
            <w:r w:rsidRPr="00406FF9">
              <w:rPr>
                <w:rFonts w:ascii="Times New Roman" w:hAnsi="Times New Roman" w:cs="Times New Roman"/>
                <w:sz w:val="24"/>
                <w:szCs w:val="24"/>
              </w:rPr>
              <w:t>Номос-Банк</w:t>
            </w:r>
            <w:r w:rsidR="000F6FF3">
              <w:rPr>
                <w:rFonts w:ascii="Times New Roman" w:hAnsi="Times New Roman" w:cs="Times New Roman"/>
                <w:sz w:val="24"/>
                <w:szCs w:val="24"/>
              </w:rPr>
              <w:t>»</w:t>
            </w:r>
          </w:p>
        </w:tc>
        <w:tc>
          <w:tcPr>
            <w:tcW w:w="1701" w:type="dxa"/>
            <w:tcBorders>
              <w:top w:val="nil"/>
              <w:left w:val="nil"/>
              <w:right w:val="single" w:sz="8" w:space="0" w:color="auto"/>
            </w:tcBorders>
            <w:shd w:val="clear" w:color="auto" w:fill="FFFFFF"/>
            <w:vAlign w:val="center"/>
            <w:hideMark/>
          </w:tcPr>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br/>
            </w:r>
          </w:p>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t>4  900</w:t>
            </w:r>
          </w:p>
        </w:tc>
      </w:tr>
      <w:tr w:rsidR="004907F6" w:rsidRPr="00406FF9" w:rsidTr="00C7698B">
        <w:trPr>
          <w:trHeight w:val="77"/>
          <w:jc w:val="center"/>
        </w:trPr>
        <w:tc>
          <w:tcPr>
            <w:tcW w:w="3085" w:type="dxa"/>
            <w:tcBorders>
              <w:top w:val="single" w:sz="8" w:space="0" w:color="auto"/>
              <w:left w:val="single" w:sz="8" w:space="0" w:color="auto"/>
              <w:bottom w:val="single" w:sz="4" w:space="0" w:color="auto"/>
              <w:right w:val="single" w:sz="8" w:space="0" w:color="auto"/>
            </w:tcBorders>
            <w:shd w:val="clear" w:color="auto" w:fill="FFFFFF"/>
            <w:tcMar>
              <w:top w:w="0" w:type="dxa"/>
              <w:left w:w="108" w:type="dxa"/>
              <w:bottom w:w="0" w:type="dxa"/>
              <w:right w:w="108" w:type="dxa"/>
            </w:tcMar>
            <w:vAlign w:val="center"/>
            <w:hideMark/>
          </w:tcPr>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br/>
            </w:r>
          </w:p>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t xml:space="preserve">ОАО  </w:t>
            </w:r>
            <w:r w:rsidR="000F6FF3">
              <w:rPr>
                <w:rFonts w:ascii="Times New Roman" w:hAnsi="Times New Roman" w:cs="Times New Roman"/>
                <w:sz w:val="24"/>
                <w:szCs w:val="24"/>
              </w:rPr>
              <w:t>«</w:t>
            </w:r>
            <w:r w:rsidRPr="00406FF9">
              <w:rPr>
                <w:rFonts w:ascii="Times New Roman" w:hAnsi="Times New Roman" w:cs="Times New Roman"/>
                <w:sz w:val="24"/>
                <w:szCs w:val="24"/>
              </w:rPr>
              <w:t>ТрансКредитБанк</w:t>
            </w:r>
            <w:r w:rsidR="000F6FF3">
              <w:rPr>
                <w:rFonts w:ascii="Times New Roman" w:hAnsi="Times New Roman" w:cs="Times New Roman"/>
                <w:sz w:val="24"/>
                <w:szCs w:val="24"/>
              </w:rPr>
              <w:t>»</w:t>
            </w:r>
          </w:p>
        </w:tc>
        <w:tc>
          <w:tcPr>
            <w:tcW w:w="1701" w:type="dxa"/>
            <w:tcBorders>
              <w:top w:val="nil"/>
              <w:left w:val="nil"/>
              <w:bottom w:val="single" w:sz="4" w:space="0" w:color="auto"/>
              <w:right w:val="single" w:sz="8" w:space="0" w:color="auto"/>
            </w:tcBorders>
            <w:shd w:val="clear" w:color="auto" w:fill="FFFFFF"/>
            <w:vAlign w:val="center"/>
            <w:hideMark/>
          </w:tcPr>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br/>
            </w:r>
          </w:p>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t>2  930</w:t>
            </w:r>
          </w:p>
        </w:tc>
        <w:tc>
          <w:tcPr>
            <w:tcW w:w="326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br/>
            </w:r>
          </w:p>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t xml:space="preserve">ОАО  </w:t>
            </w:r>
            <w:r w:rsidR="000F6FF3">
              <w:rPr>
                <w:rFonts w:ascii="Times New Roman" w:hAnsi="Times New Roman" w:cs="Times New Roman"/>
                <w:sz w:val="24"/>
                <w:szCs w:val="24"/>
              </w:rPr>
              <w:t>«</w:t>
            </w:r>
            <w:r w:rsidRPr="00406FF9">
              <w:rPr>
                <w:rFonts w:ascii="Times New Roman" w:hAnsi="Times New Roman" w:cs="Times New Roman"/>
                <w:sz w:val="24"/>
                <w:szCs w:val="24"/>
              </w:rPr>
              <w:t>Ханты-Мансийский  Банк</w:t>
            </w:r>
            <w:r w:rsidR="000F6FF3">
              <w:rPr>
                <w:rFonts w:ascii="Times New Roman" w:hAnsi="Times New Roman" w:cs="Times New Roman"/>
                <w:sz w:val="24"/>
                <w:szCs w:val="24"/>
              </w:rPr>
              <w:t>»</w:t>
            </w:r>
          </w:p>
        </w:tc>
        <w:tc>
          <w:tcPr>
            <w:tcW w:w="1701" w:type="dxa"/>
            <w:tcBorders>
              <w:top w:val="nil"/>
              <w:left w:val="nil"/>
              <w:bottom w:val="single" w:sz="4" w:space="0" w:color="auto"/>
              <w:right w:val="single" w:sz="8" w:space="0" w:color="auto"/>
            </w:tcBorders>
            <w:shd w:val="clear" w:color="auto" w:fill="FFFFFF"/>
            <w:vAlign w:val="center"/>
            <w:hideMark/>
          </w:tcPr>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br/>
            </w:r>
          </w:p>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t>1  995</w:t>
            </w:r>
          </w:p>
        </w:tc>
      </w:tr>
      <w:tr w:rsidR="004907F6" w:rsidRPr="00406FF9" w:rsidTr="00C7698B">
        <w:trPr>
          <w:trHeight w:val="77"/>
          <w:jc w:val="center"/>
        </w:trPr>
        <w:tc>
          <w:tcPr>
            <w:tcW w:w="308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br/>
            </w:r>
          </w:p>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t xml:space="preserve">ОАО  </w:t>
            </w:r>
            <w:r w:rsidR="000F6FF3">
              <w:rPr>
                <w:rFonts w:ascii="Times New Roman" w:hAnsi="Times New Roman" w:cs="Times New Roman"/>
                <w:sz w:val="24"/>
                <w:szCs w:val="24"/>
              </w:rPr>
              <w:t>«</w:t>
            </w:r>
            <w:r w:rsidRPr="00406FF9">
              <w:rPr>
                <w:rFonts w:ascii="Times New Roman" w:hAnsi="Times New Roman" w:cs="Times New Roman"/>
                <w:sz w:val="24"/>
                <w:szCs w:val="24"/>
              </w:rPr>
              <w:t>Банк  ЗЕНИТ</w:t>
            </w:r>
            <w:r w:rsidR="000F6FF3">
              <w:rPr>
                <w:rFonts w:ascii="Times New Roman" w:hAnsi="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br/>
            </w:r>
          </w:p>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t>2  140</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br/>
            </w:r>
          </w:p>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t xml:space="preserve">ОАО  </w:t>
            </w:r>
            <w:r w:rsidR="000F6FF3">
              <w:rPr>
                <w:rFonts w:ascii="Times New Roman" w:hAnsi="Times New Roman" w:cs="Times New Roman"/>
                <w:sz w:val="24"/>
                <w:szCs w:val="24"/>
              </w:rPr>
              <w:t>«</w:t>
            </w:r>
            <w:r w:rsidRPr="00406FF9">
              <w:rPr>
                <w:rFonts w:ascii="Times New Roman" w:hAnsi="Times New Roman" w:cs="Times New Roman"/>
                <w:sz w:val="24"/>
                <w:szCs w:val="24"/>
              </w:rPr>
              <w:t>Банк  Санкт-Петербург</w:t>
            </w:r>
            <w:r w:rsidR="000F6FF3">
              <w:rPr>
                <w:rFonts w:ascii="Times New Roman" w:hAnsi="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br/>
            </w:r>
          </w:p>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t>1  466</w:t>
            </w:r>
          </w:p>
        </w:tc>
      </w:tr>
      <w:tr w:rsidR="004907F6" w:rsidRPr="00406FF9" w:rsidTr="00C7698B">
        <w:trPr>
          <w:trHeight w:val="77"/>
          <w:jc w:val="center"/>
        </w:trPr>
        <w:tc>
          <w:tcPr>
            <w:tcW w:w="30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907F6" w:rsidRPr="00406FF9" w:rsidRDefault="004907F6" w:rsidP="00406FF9">
            <w:pPr>
              <w:spacing w:after="0" w:line="240" w:lineRule="auto"/>
              <w:jc w:val="both"/>
              <w:rPr>
                <w:rFonts w:ascii="Times New Roman" w:hAnsi="Times New Roman" w:cs="Times New Roman"/>
                <w:sz w:val="24"/>
                <w:szCs w:val="24"/>
              </w:rPr>
            </w:pPr>
          </w:p>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t xml:space="preserve">ЗАО  АКБ  </w:t>
            </w:r>
            <w:r w:rsidR="000F6FF3">
              <w:rPr>
                <w:rFonts w:ascii="Times New Roman" w:hAnsi="Times New Roman" w:cs="Times New Roman"/>
                <w:sz w:val="24"/>
                <w:szCs w:val="24"/>
              </w:rPr>
              <w:t>«</w:t>
            </w:r>
            <w:r w:rsidRPr="00406FF9">
              <w:rPr>
                <w:rFonts w:ascii="Times New Roman" w:hAnsi="Times New Roman" w:cs="Times New Roman"/>
                <w:sz w:val="24"/>
                <w:szCs w:val="24"/>
              </w:rPr>
              <w:t>НОВИКОМБАНК</w:t>
            </w:r>
            <w:r w:rsidR="000F6FF3">
              <w:rPr>
                <w:rFonts w:ascii="Times New Roman" w:hAnsi="Times New Roman" w:cs="Times New Roman"/>
                <w:sz w:val="24"/>
                <w:szCs w:val="24"/>
              </w:rPr>
              <w:t>»</w:t>
            </w:r>
            <w:r w:rsidRPr="00406FF9">
              <w:rPr>
                <w:rFonts w:ascii="Times New Roman" w:hAnsi="Times New Roman"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br/>
            </w:r>
          </w:p>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t>479</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br/>
            </w:r>
          </w:p>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t xml:space="preserve">АКБ  </w:t>
            </w:r>
            <w:r w:rsidR="000F6FF3">
              <w:rPr>
                <w:rFonts w:ascii="Times New Roman" w:hAnsi="Times New Roman" w:cs="Times New Roman"/>
                <w:sz w:val="24"/>
                <w:szCs w:val="24"/>
              </w:rPr>
              <w:t>«</w:t>
            </w:r>
            <w:r w:rsidRPr="00406FF9">
              <w:rPr>
                <w:rFonts w:ascii="Times New Roman" w:hAnsi="Times New Roman" w:cs="Times New Roman"/>
                <w:sz w:val="24"/>
                <w:szCs w:val="24"/>
              </w:rPr>
              <w:t>Транскапиталбанк</w:t>
            </w:r>
            <w:r w:rsidR="000F6FF3">
              <w:rPr>
                <w:rFonts w:ascii="Times New Roman" w:hAnsi="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br/>
            </w:r>
          </w:p>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t>987</w:t>
            </w:r>
          </w:p>
        </w:tc>
      </w:tr>
      <w:tr w:rsidR="004907F6" w:rsidRPr="00406FF9" w:rsidTr="00C7698B">
        <w:trPr>
          <w:trHeight w:val="77"/>
          <w:jc w:val="center"/>
        </w:trPr>
        <w:tc>
          <w:tcPr>
            <w:tcW w:w="3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t>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t> </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br/>
            </w:r>
          </w:p>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t xml:space="preserve">ОАО  АКБ  </w:t>
            </w:r>
            <w:r w:rsidR="000F6FF3">
              <w:rPr>
                <w:rFonts w:ascii="Times New Roman" w:hAnsi="Times New Roman" w:cs="Times New Roman"/>
                <w:sz w:val="24"/>
                <w:szCs w:val="24"/>
              </w:rPr>
              <w:t>«</w:t>
            </w:r>
            <w:r w:rsidRPr="00406FF9">
              <w:rPr>
                <w:rFonts w:ascii="Times New Roman" w:hAnsi="Times New Roman" w:cs="Times New Roman"/>
                <w:sz w:val="24"/>
                <w:szCs w:val="24"/>
              </w:rPr>
              <w:t>РОСЕВРОБАНК</w:t>
            </w:r>
            <w:r w:rsidR="000F6FF3">
              <w:rPr>
                <w:rFonts w:ascii="Times New Roman" w:hAnsi="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br/>
            </w:r>
          </w:p>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t>980</w:t>
            </w:r>
          </w:p>
        </w:tc>
      </w:tr>
      <w:tr w:rsidR="004907F6" w:rsidRPr="00406FF9" w:rsidTr="00C7698B">
        <w:trPr>
          <w:trHeight w:val="77"/>
          <w:jc w:val="center"/>
        </w:trPr>
        <w:tc>
          <w:tcPr>
            <w:tcW w:w="3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t>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t> </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br/>
            </w:r>
          </w:p>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t xml:space="preserve">ОАО  </w:t>
            </w:r>
            <w:r w:rsidR="000F6FF3">
              <w:rPr>
                <w:rFonts w:ascii="Times New Roman" w:hAnsi="Times New Roman" w:cs="Times New Roman"/>
                <w:sz w:val="24"/>
                <w:szCs w:val="24"/>
              </w:rPr>
              <w:t>«</w:t>
            </w:r>
            <w:r w:rsidRPr="00406FF9">
              <w:rPr>
                <w:rFonts w:ascii="Times New Roman" w:hAnsi="Times New Roman" w:cs="Times New Roman"/>
                <w:sz w:val="24"/>
                <w:szCs w:val="24"/>
              </w:rPr>
              <w:t>СКБ-банк</w:t>
            </w:r>
            <w:r w:rsidR="000F6FF3">
              <w:rPr>
                <w:rFonts w:ascii="Times New Roman" w:hAnsi="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br/>
            </w:r>
          </w:p>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t>810</w:t>
            </w:r>
          </w:p>
        </w:tc>
      </w:tr>
      <w:tr w:rsidR="004907F6" w:rsidRPr="00406FF9" w:rsidTr="00C7698B">
        <w:trPr>
          <w:trHeight w:val="70"/>
          <w:jc w:val="center"/>
        </w:trPr>
        <w:tc>
          <w:tcPr>
            <w:tcW w:w="30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t> </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br/>
            </w:r>
          </w:p>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t xml:space="preserve">ОАО  </w:t>
            </w:r>
            <w:r w:rsidR="000F6FF3">
              <w:rPr>
                <w:rFonts w:ascii="Times New Roman" w:hAnsi="Times New Roman" w:cs="Times New Roman"/>
                <w:sz w:val="24"/>
                <w:szCs w:val="24"/>
              </w:rPr>
              <w:t>«</w:t>
            </w:r>
            <w:r w:rsidRPr="00406FF9">
              <w:rPr>
                <w:rFonts w:ascii="Times New Roman" w:hAnsi="Times New Roman" w:cs="Times New Roman"/>
                <w:sz w:val="24"/>
                <w:szCs w:val="24"/>
              </w:rPr>
              <w:t>Первобанк</w:t>
            </w:r>
            <w:r w:rsidR="000F6FF3">
              <w:rPr>
                <w:rFonts w:ascii="Times New Roman" w:hAnsi="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br/>
            </w:r>
          </w:p>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t>725</w:t>
            </w:r>
          </w:p>
        </w:tc>
      </w:tr>
      <w:tr w:rsidR="004907F6" w:rsidRPr="00406FF9" w:rsidTr="00C7698B">
        <w:trPr>
          <w:trHeight w:val="70"/>
          <w:jc w:val="center"/>
        </w:trPr>
        <w:tc>
          <w:tcPr>
            <w:tcW w:w="308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br/>
            </w:r>
          </w:p>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t>Итого  сумма  субординированных  кредитов,  полученных  группой  государственных  коммерческих  банков</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br/>
            </w:r>
          </w:p>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t>122  587</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br/>
            </w:r>
          </w:p>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t>Итого  сумма  субординированных  кредитов,  полученных  группой  частных  коммерческих  банков</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br/>
            </w:r>
          </w:p>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t>56  435</w:t>
            </w:r>
          </w:p>
        </w:tc>
      </w:tr>
      <w:tr w:rsidR="004907F6" w:rsidRPr="00406FF9" w:rsidTr="00C7698B">
        <w:trPr>
          <w:trHeight w:val="1000"/>
          <w:jc w:val="center"/>
        </w:trPr>
        <w:tc>
          <w:tcPr>
            <w:tcW w:w="308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lastRenderedPageBreak/>
              <w:br/>
            </w:r>
          </w:p>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t>В  процентах  от  общей  суммы,  полученной  банками  в  соответствии  с  порядком,  утвержденным  протоколом  Наблюдательного  Совета  Внешэкономбанка  №  13  от  20.10.2008.</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br/>
            </w:r>
          </w:p>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t>68,5  %</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br/>
            </w:r>
          </w:p>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t>В  процентах  от  общей  суммы,  полученной  банками  в  соответствии  с  порядком,  утвержденным  протоколом  Наблюдательного  Совета  Внешэкономбанка  №  13  от  20.10.2008.</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br/>
            </w:r>
          </w:p>
          <w:p w:rsidR="004907F6" w:rsidRPr="00406FF9" w:rsidRDefault="004907F6" w:rsidP="00406FF9">
            <w:pPr>
              <w:spacing w:after="0" w:line="240" w:lineRule="auto"/>
              <w:jc w:val="both"/>
              <w:rPr>
                <w:rFonts w:ascii="Times New Roman" w:hAnsi="Times New Roman" w:cs="Times New Roman"/>
                <w:sz w:val="24"/>
                <w:szCs w:val="24"/>
              </w:rPr>
            </w:pPr>
            <w:r w:rsidRPr="00406FF9">
              <w:rPr>
                <w:rFonts w:ascii="Times New Roman" w:hAnsi="Times New Roman" w:cs="Times New Roman"/>
                <w:sz w:val="24"/>
                <w:szCs w:val="24"/>
              </w:rPr>
              <w:t>31,5  %</w:t>
            </w:r>
          </w:p>
        </w:tc>
      </w:tr>
    </w:tbl>
    <w:p w:rsidR="004907F6" w:rsidRPr="00AE6597" w:rsidRDefault="004907F6" w:rsidP="00AE6597">
      <w:pPr>
        <w:spacing w:after="0" w:line="360" w:lineRule="auto"/>
        <w:ind w:firstLine="709"/>
        <w:jc w:val="both"/>
        <w:rPr>
          <w:rFonts w:ascii="Times New Roman" w:hAnsi="Times New Roman" w:cs="Times New Roman"/>
          <w:sz w:val="28"/>
          <w:szCs w:val="28"/>
        </w:rPr>
      </w:pPr>
      <w:r w:rsidRPr="00AE6597">
        <w:rPr>
          <w:rFonts w:ascii="Times New Roman" w:hAnsi="Times New Roman" w:cs="Times New Roman"/>
          <w:sz w:val="28"/>
          <w:szCs w:val="28"/>
        </w:rPr>
        <w:t> </w:t>
      </w:r>
    </w:p>
    <w:p w:rsidR="004907F6" w:rsidRPr="00AE6597" w:rsidRDefault="004907F6" w:rsidP="00AE6597">
      <w:pPr>
        <w:spacing w:after="0" w:line="360" w:lineRule="auto"/>
        <w:ind w:firstLine="709"/>
        <w:jc w:val="both"/>
        <w:rPr>
          <w:rFonts w:ascii="Times New Roman" w:hAnsi="Times New Roman" w:cs="Times New Roman"/>
          <w:sz w:val="28"/>
          <w:szCs w:val="28"/>
        </w:rPr>
      </w:pPr>
      <w:r w:rsidRPr="00AE6597">
        <w:rPr>
          <w:rFonts w:ascii="Times New Roman" w:hAnsi="Times New Roman" w:cs="Times New Roman"/>
          <w:sz w:val="28"/>
          <w:szCs w:val="28"/>
        </w:rPr>
        <w:t>Отметим,  что  круг  банков,  которые  имели  потенциальную  возможность  на  подачу  заявки  для  получения  средств,  указанных  в  таблице  1,  был  изначально  сужен  за  счет  требования  к  минимальному  уровню  собственного  капитала  (3,5  млрд.  рублей).  По  состоянию  на  01.03.2009  данному  критерию  соответствовали  не  более  90  банков.</w:t>
      </w:r>
    </w:p>
    <w:p w:rsidR="004907F6" w:rsidRPr="00AE6597" w:rsidRDefault="004907F6" w:rsidP="00AE6597">
      <w:pPr>
        <w:spacing w:after="0" w:line="360" w:lineRule="auto"/>
        <w:ind w:firstLine="709"/>
        <w:jc w:val="both"/>
        <w:rPr>
          <w:rFonts w:ascii="Times New Roman" w:hAnsi="Times New Roman" w:cs="Times New Roman"/>
          <w:sz w:val="28"/>
          <w:szCs w:val="28"/>
        </w:rPr>
      </w:pPr>
      <w:r w:rsidRPr="00AE6597">
        <w:rPr>
          <w:rFonts w:ascii="Times New Roman" w:hAnsi="Times New Roman" w:cs="Times New Roman"/>
          <w:sz w:val="28"/>
          <w:szCs w:val="28"/>
        </w:rPr>
        <w:t xml:space="preserve">Первоначально  для  получения  кредитов  под  8  %  годовых  банк-заявитель  должен  был  обеспечить  привлечение  после  1  октября  2008  года  субординированных  кредитов  (займов)  или  взносов  в  уставный  капитал  в  размере  не  менее,  чем  сумма  запрашиваемого  у  Внешэкономбанка  кредита.  Однако  17  июля  2009  в  ФЗ  №  173  от  13.10.2008  был  введен  дополнительный  пункт,  позволявший  Внешэкономбанку  выдавать  кредиты  под  9,5  %  годовых,  но  вложение  собственных  средств  и  кредита  ВЭБа  соотносились  как  1  к  3  (ФЗ  №  168  от  17.07.2009).  Изменения  в  законодательстве  были  опубликованы  20  июля  2009  года,  а  уже  27  июля  Наблюдательный  Совет  ВЭБа  принял  решение  о  выделении  ОАО  </w:t>
      </w:r>
      <w:r w:rsidR="000F6FF3">
        <w:rPr>
          <w:rFonts w:ascii="Times New Roman" w:hAnsi="Times New Roman" w:cs="Times New Roman"/>
          <w:sz w:val="28"/>
          <w:szCs w:val="28"/>
        </w:rPr>
        <w:t>«</w:t>
      </w:r>
      <w:r w:rsidRPr="00AE6597">
        <w:rPr>
          <w:rFonts w:ascii="Times New Roman" w:hAnsi="Times New Roman" w:cs="Times New Roman"/>
          <w:sz w:val="28"/>
          <w:szCs w:val="28"/>
        </w:rPr>
        <w:t>Газпромбанк</w:t>
      </w:r>
      <w:r w:rsidR="000F6FF3">
        <w:rPr>
          <w:rFonts w:ascii="Times New Roman" w:hAnsi="Times New Roman" w:cs="Times New Roman"/>
          <w:sz w:val="28"/>
          <w:szCs w:val="28"/>
        </w:rPr>
        <w:t>»</w:t>
      </w:r>
      <w:r w:rsidRPr="00AE6597">
        <w:rPr>
          <w:rFonts w:ascii="Times New Roman" w:hAnsi="Times New Roman" w:cs="Times New Roman"/>
          <w:sz w:val="28"/>
          <w:szCs w:val="28"/>
        </w:rPr>
        <w:t xml:space="preserve">  по  данной  схеме  74,3  млрд.  рублей  (порядка  41,5  %  от  всего  объема  распределяемых  через  положение  ВЭБа  средств).  Подобная  </w:t>
      </w:r>
      <w:r w:rsidR="000F6FF3">
        <w:rPr>
          <w:rFonts w:ascii="Times New Roman" w:hAnsi="Times New Roman" w:cs="Times New Roman"/>
          <w:sz w:val="28"/>
          <w:szCs w:val="28"/>
        </w:rPr>
        <w:t>«</w:t>
      </w:r>
      <w:r w:rsidRPr="00AE6597">
        <w:rPr>
          <w:rFonts w:ascii="Times New Roman" w:hAnsi="Times New Roman" w:cs="Times New Roman"/>
          <w:sz w:val="28"/>
          <w:szCs w:val="28"/>
        </w:rPr>
        <w:t>оперативность</w:t>
      </w:r>
      <w:r w:rsidR="000F6FF3">
        <w:rPr>
          <w:rFonts w:ascii="Times New Roman" w:hAnsi="Times New Roman" w:cs="Times New Roman"/>
          <w:sz w:val="28"/>
          <w:szCs w:val="28"/>
        </w:rPr>
        <w:t>»</w:t>
      </w:r>
      <w:r w:rsidRPr="00AE6597">
        <w:rPr>
          <w:rFonts w:ascii="Times New Roman" w:hAnsi="Times New Roman" w:cs="Times New Roman"/>
          <w:sz w:val="28"/>
          <w:szCs w:val="28"/>
        </w:rPr>
        <w:t xml:space="preserve">,  а  также  значительность  суммы  кредита  позволяют  сделать  предположение  о  том,  что  изменения  в  законодательство  были  введены  конкретно  под  данную  сделку.  Тот  факт,  что  на  момент  прекращения  приема  заявок  ВЭБом  (6  </w:t>
      </w:r>
      <w:r w:rsidRPr="00AE6597">
        <w:rPr>
          <w:rFonts w:ascii="Times New Roman" w:hAnsi="Times New Roman" w:cs="Times New Roman"/>
          <w:sz w:val="28"/>
          <w:szCs w:val="28"/>
        </w:rPr>
        <w:lastRenderedPageBreak/>
        <w:t xml:space="preserve">октября  2009  года)  в  банке  рассматривалось  20  заявок  на  сумму  95,02  млрд.  рублей  (это  превышало  остаток  средств  у  ВЭБа  к  выдаче  более,  чем  в  5  раз)  лишний  раз  подчеркивает,  что  дефицита  в  спросе  на  ресурсы  не  было,  так  что  смягчение  условий  доступности  ресурсов  является  крайне  спорным.  Таким  образом,  можно  сделать  вывод  о  наличии  неформального  института  поддержки  государственных  финансовых  организаций,  что  отчетливо  видно  из  </w:t>
      </w:r>
      <w:r w:rsidR="000F6FF3">
        <w:rPr>
          <w:rFonts w:ascii="Times New Roman" w:hAnsi="Times New Roman" w:cs="Times New Roman"/>
          <w:sz w:val="28"/>
          <w:szCs w:val="28"/>
        </w:rPr>
        <w:t>«</w:t>
      </w:r>
      <w:r w:rsidRPr="00AE6597">
        <w:rPr>
          <w:rFonts w:ascii="Times New Roman" w:hAnsi="Times New Roman" w:cs="Times New Roman"/>
          <w:sz w:val="28"/>
          <w:szCs w:val="28"/>
        </w:rPr>
        <w:t>перекоса</w:t>
      </w:r>
      <w:r w:rsidR="000F6FF3">
        <w:rPr>
          <w:rFonts w:ascii="Times New Roman" w:hAnsi="Times New Roman" w:cs="Times New Roman"/>
          <w:sz w:val="28"/>
          <w:szCs w:val="28"/>
        </w:rPr>
        <w:t>»</w:t>
      </w:r>
      <w:r w:rsidRPr="00AE6597">
        <w:rPr>
          <w:rFonts w:ascii="Times New Roman" w:hAnsi="Times New Roman" w:cs="Times New Roman"/>
          <w:sz w:val="28"/>
          <w:szCs w:val="28"/>
        </w:rPr>
        <w:t xml:space="preserve">  общего  распределения  субординированных  кредитов  (с  учетом  </w:t>
      </w:r>
      <w:r w:rsidR="000F6FF3">
        <w:rPr>
          <w:rFonts w:ascii="Times New Roman" w:hAnsi="Times New Roman" w:cs="Times New Roman"/>
          <w:sz w:val="28"/>
          <w:szCs w:val="28"/>
        </w:rPr>
        <w:t>«</w:t>
      </w:r>
      <w:r w:rsidRPr="00AE6597">
        <w:rPr>
          <w:rFonts w:ascii="Times New Roman" w:hAnsi="Times New Roman" w:cs="Times New Roman"/>
          <w:sz w:val="28"/>
          <w:szCs w:val="28"/>
        </w:rPr>
        <w:t>Сбербанка</w:t>
      </w:r>
      <w:r w:rsidR="000F6FF3">
        <w:rPr>
          <w:rFonts w:ascii="Times New Roman" w:hAnsi="Times New Roman" w:cs="Times New Roman"/>
          <w:sz w:val="28"/>
          <w:szCs w:val="28"/>
        </w:rPr>
        <w:t>»</w:t>
      </w:r>
      <w:r w:rsidRPr="00AE6597">
        <w:rPr>
          <w:rFonts w:ascii="Times New Roman" w:hAnsi="Times New Roman" w:cs="Times New Roman"/>
          <w:sz w:val="28"/>
          <w:szCs w:val="28"/>
        </w:rPr>
        <w:t xml:space="preserve">,  </w:t>
      </w:r>
      <w:r w:rsidR="000F6FF3">
        <w:rPr>
          <w:rFonts w:ascii="Times New Roman" w:hAnsi="Times New Roman" w:cs="Times New Roman"/>
          <w:sz w:val="28"/>
          <w:szCs w:val="28"/>
        </w:rPr>
        <w:t>«</w:t>
      </w:r>
      <w:r w:rsidRPr="00AE6597">
        <w:rPr>
          <w:rFonts w:ascii="Times New Roman" w:hAnsi="Times New Roman" w:cs="Times New Roman"/>
          <w:sz w:val="28"/>
          <w:szCs w:val="28"/>
        </w:rPr>
        <w:t>ВТБ</w:t>
      </w:r>
      <w:r w:rsidR="000F6FF3">
        <w:rPr>
          <w:rFonts w:ascii="Times New Roman" w:hAnsi="Times New Roman" w:cs="Times New Roman"/>
          <w:sz w:val="28"/>
          <w:szCs w:val="28"/>
        </w:rPr>
        <w:t>»</w:t>
      </w:r>
      <w:r w:rsidRPr="00AE6597">
        <w:rPr>
          <w:rFonts w:ascii="Times New Roman" w:hAnsi="Times New Roman" w:cs="Times New Roman"/>
          <w:sz w:val="28"/>
          <w:szCs w:val="28"/>
        </w:rPr>
        <w:t xml:space="preserve">  и  </w:t>
      </w:r>
      <w:r w:rsidR="000F6FF3">
        <w:rPr>
          <w:rFonts w:ascii="Times New Roman" w:hAnsi="Times New Roman" w:cs="Times New Roman"/>
          <w:sz w:val="28"/>
          <w:szCs w:val="28"/>
        </w:rPr>
        <w:t>«</w:t>
      </w:r>
      <w:r w:rsidRPr="00AE6597">
        <w:rPr>
          <w:rFonts w:ascii="Times New Roman" w:hAnsi="Times New Roman" w:cs="Times New Roman"/>
          <w:sz w:val="28"/>
          <w:szCs w:val="28"/>
        </w:rPr>
        <w:t>Россельхозбанка</w:t>
      </w:r>
      <w:r w:rsidR="000F6FF3">
        <w:rPr>
          <w:rFonts w:ascii="Times New Roman" w:hAnsi="Times New Roman" w:cs="Times New Roman"/>
          <w:sz w:val="28"/>
          <w:szCs w:val="28"/>
        </w:rPr>
        <w:t>»</w:t>
      </w:r>
      <w:r w:rsidRPr="00AE6597">
        <w:rPr>
          <w:rFonts w:ascii="Times New Roman" w:hAnsi="Times New Roman" w:cs="Times New Roman"/>
          <w:sz w:val="28"/>
          <w:szCs w:val="28"/>
        </w:rPr>
        <w:t>)  в  пользу  государственных  банков.</w:t>
      </w:r>
      <w:r w:rsidR="00C7698B">
        <w:rPr>
          <w:rStyle w:val="af0"/>
          <w:rFonts w:ascii="Times New Roman" w:hAnsi="Times New Roman" w:cs="Times New Roman"/>
          <w:sz w:val="28"/>
          <w:szCs w:val="28"/>
        </w:rPr>
        <w:footnoteReference w:id="4"/>
      </w:r>
    </w:p>
    <w:p w:rsidR="004907F6" w:rsidRPr="00AE6597" w:rsidRDefault="004907F6" w:rsidP="00AE6597">
      <w:pPr>
        <w:spacing w:after="0" w:line="360" w:lineRule="auto"/>
        <w:ind w:firstLine="709"/>
        <w:jc w:val="both"/>
        <w:rPr>
          <w:rFonts w:ascii="Times New Roman" w:hAnsi="Times New Roman" w:cs="Times New Roman"/>
          <w:sz w:val="28"/>
          <w:szCs w:val="28"/>
        </w:rPr>
      </w:pPr>
      <w:r w:rsidRPr="00AE6597">
        <w:rPr>
          <w:rFonts w:ascii="Times New Roman" w:hAnsi="Times New Roman" w:cs="Times New Roman"/>
          <w:sz w:val="28"/>
          <w:szCs w:val="28"/>
        </w:rPr>
        <w:t>Дешевизна  ресурсов  была  обусловлена  стремлением  правительства  к  стимулированию  промышленности  в  условиях  экономической  рецессии.  Порядок  получения  кредитов  закреплял  финансирование  промышленности  как  целевое  направление  выдачи  ссуд.  Формально  это  позволяет  кредитовать  как  сложные  инвестиционные  проекты  с  продолжительными  сроками  окупаемости,  так  и  текущую  деятельность  крупного  предприятия,  которое  оптимизирует  стоимость  кредитного  портфеля.  Стоимость  выданных  из  субординированного  кредита  ссуд  предприятиям  не  могла  превышать  ставки  рефинансирования,  увеличенной  на  3  пункта.</w:t>
      </w:r>
      <w:r w:rsidR="00C7698B">
        <w:rPr>
          <w:rStyle w:val="af0"/>
          <w:rFonts w:ascii="Times New Roman" w:hAnsi="Times New Roman" w:cs="Times New Roman"/>
          <w:sz w:val="28"/>
          <w:szCs w:val="28"/>
        </w:rPr>
        <w:footnoteReference w:id="5"/>
      </w:r>
      <w:r w:rsidRPr="00AE6597">
        <w:rPr>
          <w:rFonts w:ascii="Times New Roman" w:hAnsi="Times New Roman" w:cs="Times New Roman"/>
          <w:sz w:val="28"/>
          <w:szCs w:val="28"/>
        </w:rPr>
        <w:t> </w:t>
      </w:r>
    </w:p>
    <w:p w:rsidR="00406FF9" w:rsidRDefault="004907F6" w:rsidP="00AE6597">
      <w:pPr>
        <w:spacing w:after="0" w:line="360" w:lineRule="auto"/>
        <w:ind w:firstLine="709"/>
        <w:jc w:val="both"/>
        <w:rPr>
          <w:rFonts w:ascii="Times New Roman" w:hAnsi="Times New Roman" w:cs="Times New Roman"/>
          <w:sz w:val="28"/>
          <w:szCs w:val="28"/>
        </w:rPr>
      </w:pPr>
      <w:r w:rsidRPr="00AE6597">
        <w:rPr>
          <w:rFonts w:ascii="Times New Roman" w:hAnsi="Times New Roman" w:cs="Times New Roman"/>
          <w:sz w:val="28"/>
          <w:szCs w:val="28"/>
        </w:rPr>
        <w:t xml:space="preserve">Таким  образом,  можно  сделать  вывод  о  том,  что  в  условиях  кризиса  ликвидности  2008  г.  была  созданы  инструменты  и  механизмы  по  поддержке  банковской  системы,  направленные,  главным  образом,  на  поддержку  государственных  коммерческих  банков.  Такой  дисбаланс  между  поддержкой  частного  и  государственного  секторов  в  банковской  системе  явно  свидетельствует  о  преимуществах  государственных  коммерческих  банков  в  вопросах  получения  ликвидности  от  </w:t>
      </w:r>
      <w:r w:rsidRPr="00AE6597">
        <w:rPr>
          <w:rFonts w:ascii="Times New Roman" w:hAnsi="Times New Roman" w:cs="Times New Roman"/>
          <w:sz w:val="28"/>
          <w:szCs w:val="28"/>
        </w:rPr>
        <w:lastRenderedPageBreak/>
        <w:t xml:space="preserve">государственных  институтов  и  делает  данные  преимущества  одной  из  основных  характеристик  государственного  коммерческого  банка  и  банковской  системы  России  в  целом. </w:t>
      </w:r>
    </w:p>
    <w:p w:rsidR="00406FF9" w:rsidRDefault="00406FF9" w:rsidP="00AE6597">
      <w:pPr>
        <w:spacing w:after="0" w:line="360" w:lineRule="auto"/>
        <w:ind w:firstLine="709"/>
        <w:jc w:val="both"/>
        <w:rPr>
          <w:rFonts w:ascii="Times New Roman" w:hAnsi="Times New Roman" w:cs="Times New Roman"/>
          <w:sz w:val="28"/>
          <w:szCs w:val="28"/>
        </w:rPr>
      </w:pPr>
    </w:p>
    <w:p w:rsidR="00BF31E9" w:rsidRPr="00406FF9" w:rsidRDefault="00BF31E9" w:rsidP="00C7698B">
      <w:pPr>
        <w:spacing w:after="0" w:line="360" w:lineRule="auto"/>
        <w:ind w:firstLine="709"/>
        <w:jc w:val="center"/>
        <w:outlineLvl w:val="2"/>
        <w:rPr>
          <w:rFonts w:ascii="Times New Roman" w:hAnsi="Times New Roman" w:cs="Times New Roman"/>
          <w:b/>
          <w:sz w:val="28"/>
          <w:szCs w:val="28"/>
        </w:rPr>
      </w:pPr>
      <w:bookmarkStart w:id="2" w:name="_Toc500346396"/>
      <w:r w:rsidRPr="00406FF9">
        <w:rPr>
          <w:rFonts w:ascii="Times New Roman" w:hAnsi="Times New Roman" w:cs="Times New Roman"/>
          <w:b/>
          <w:sz w:val="28"/>
          <w:szCs w:val="28"/>
        </w:rPr>
        <w:t>2. Меры государственной поддержки банковской сферы в 2014-2015 гг.</w:t>
      </w:r>
      <w:r w:rsidR="00AE6597" w:rsidRPr="00406FF9">
        <w:rPr>
          <w:rFonts w:ascii="Times New Roman" w:hAnsi="Times New Roman" w:cs="Times New Roman"/>
          <w:b/>
          <w:sz w:val="28"/>
          <w:szCs w:val="28"/>
        </w:rPr>
        <w:t xml:space="preserve"> и их в</w:t>
      </w:r>
      <w:r w:rsidRPr="00406FF9">
        <w:rPr>
          <w:rFonts w:ascii="Times New Roman" w:hAnsi="Times New Roman" w:cs="Times New Roman"/>
          <w:b/>
          <w:sz w:val="28"/>
          <w:szCs w:val="28"/>
        </w:rPr>
        <w:t>лияние на капитализацию банковской сферы России</w:t>
      </w:r>
      <w:bookmarkEnd w:id="2"/>
    </w:p>
    <w:p w:rsidR="00406FF9" w:rsidRDefault="00406FF9" w:rsidP="00AE6597">
      <w:pPr>
        <w:spacing w:after="0" w:line="360" w:lineRule="auto"/>
        <w:ind w:firstLine="709"/>
        <w:jc w:val="both"/>
        <w:rPr>
          <w:rFonts w:ascii="Times New Roman" w:hAnsi="Times New Roman" w:cs="Times New Roman"/>
          <w:sz w:val="28"/>
          <w:szCs w:val="28"/>
        </w:rPr>
      </w:pPr>
    </w:p>
    <w:p w:rsidR="00AE6597" w:rsidRPr="00AE6597" w:rsidRDefault="00AE6597" w:rsidP="00AE6597">
      <w:pPr>
        <w:spacing w:after="0" w:line="360" w:lineRule="auto"/>
        <w:ind w:firstLine="709"/>
        <w:jc w:val="both"/>
        <w:rPr>
          <w:rFonts w:ascii="Times New Roman" w:hAnsi="Times New Roman" w:cs="Times New Roman"/>
          <w:sz w:val="28"/>
          <w:szCs w:val="28"/>
        </w:rPr>
      </w:pPr>
      <w:r w:rsidRPr="00AE6597">
        <w:rPr>
          <w:rFonts w:ascii="Times New Roman" w:hAnsi="Times New Roman" w:cs="Times New Roman"/>
          <w:sz w:val="28"/>
          <w:szCs w:val="28"/>
        </w:rPr>
        <w:t xml:space="preserve">В конце 2014-го - начале 2015 г. в России наблюдалось резкое ухудшение экономической ситуации. Наиболее явными причинами возникновения кризиса стали внешние факторы. Средняя цена на нефть Urals снизилась со 105 долл. за баррель в июле до 61 долл. в декабре 2014 г. В январе 2015 г. она составляла уже 46 долл. за баррель. Высокая чувствительность курса рубля к нефтяным ценам обусловила процесс быстрой девальвации национальной валюты. </w:t>
      </w:r>
    </w:p>
    <w:p w:rsidR="00AE6597" w:rsidRPr="00AE6597" w:rsidRDefault="00AE6597" w:rsidP="00AE6597">
      <w:pPr>
        <w:spacing w:after="0" w:line="360" w:lineRule="auto"/>
        <w:ind w:firstLine="709"/>
        <w:jc w:val="both"/>
        <w:rPr>
          <w:rFonts w:ascii="Times New Roman" w:hAnsi="Times New Roman" w:cs="Times New Roman"/>
          <w:sz w:val="28"/>
          <w:szCs w:val="28"/>
        </w:rPr>
      </w:pPr>
      <w:r w:rsidRPr="00AE6597">
        <w:rPr>
          <w:rFonts w:ascii="Times New Roman" w:hAnsi="Times New Roman" w:cs="Times New Roman"/>
          <w:sz w:val="28"/>
          <w:szCs w:val="28"/>
        </w:rPr>
        <w:t>Обесценению рубля также способствовали действия участников валютного рынка и населения, предъявлявших повышенный спрос на иностранную валюту. Произошедшая в декабре 2014 г. паника на валютном рынке привела к решению ЦБ РФ о повышении ключевой ставки до 17%. Помимо ухудшения конъюнктуры нефтяного рынка, российская экономика также вынуждена адаптироваться к финансовым санкциям, которые фактически закрыли для отечественных банков и компаний доступ к зарубежным рынкам капитала.</w:t>
      </w:r>
      <w:r w:rsidR="00C7698B">
        <w:rPr>
          <w:rStyle w:val="af0"/>
          <w:rFonts w:ascii="Times New Roman" w:hAnsi="Times New Roman" w:cs="Times New Roman"/>
          <w:sz w:val="28"/>
          <w:szCs w:val="28"/>
        </w:rPr>
        <w:footnoteReference w:id="6"/>
      </w:r>
      <w:r w:rsidRPr="00AE6597">
        <w:rPr>
          <w:rFonts w:ascii="Times New Roman" w:hAnsi="Times New Roman" w:cs="Times New Roman"/>
          <w:sz w:val="28"/>
          <w:szCs w:val="28"/>
        </w:rPr>
        <w:t xml:space="preserve"> </w:t>
      </w:r>
    </w:p>
    <w:p w:rsidR="00AE6597" w:rsidRPr="00AE6597" w:rsidRDefault="00AE6597" w:rsidP="00AE6597">
      <w:pPr>
        <w:spacing w:after="0" w:line="360" w:lineRule="auto"/>
        <w:ind w:firstLine="709"/>
        <w:jc w:val="both"/>
        <w:rPr>
          <w:rFonts w:ascii="Times New Roman" w:hAnsi="Times New Roman" w:cs="Times New Roman"/>
          <w:sz w:val="28"/>
          <w:szCs w:val="28"/>
        </w:rPr>
      </w:pPr>
      <w:r w:rsidRPr="00AE6597">
        <w:rPr>
          <w:rFonts w:ascii="Times New Roman" w:hAnsi="Times New Roman" w:cs="Times New Roman"/>
          <w:sz w:val="28"/>
          <w:szCs w:val="28"/>
        </w:rPr>
        <w:t xml:space="preserve">Однако начавшийся в России кризис не был обусловлен лишь внешними факторами. Начиная с 2011 г. темпы прироста ВВП ежегодно сокращались, быстрыми темпами снижался уровень инвестиций. Замедление темпов роста имело признаки и циклического, и структурного спада. Следовательно, в 2015 г. российская экономика, вероятнее всего, столкнулась бы с кризисными явлениями и без воздействия внешних шоков. </w:t>
      </w:r>
    </w:p>
    <w:p w:rsidR="00AE6597" w:rsidRPr="00AE6597" w:rsidRDefault="00AE6597" w:rsidP="00AE6597">
      <w:pPr>
        <w:spacing w:after="0" w:line="360" w:lineRule="auto"/>
        <w:ind w:firstLine="709"/>
        <w:jc w:val="both"/>
        <w:rPr>
          <w:rFonts w:ascii="Times New Roman" w:hAnsi="Times New Roman" w:cs="Times New Roman"/>
          <w:sz w:val="28"/>
          <w:szCs w:val="28"/>
        </w:rPr>
      </w:pPr>
      <w:r w:rsidRPr="00AE6597">
        <w:rPr>
          <w:rFonts w:ascii="Times New Roman" w:hAnsi="Times New Roman" w:cs="Times New Roman"/>
          <w:sz w:val="28"/>
          <w:szCs w:val="28"/>
        </w:rPr>
        <w:lastRenderedPageBreak/>
        <w:t>Последствия ухудшения макроэкономических условий в полной мере проявятся в 2015 г. Падение ВВП за I квартал 2015 г., по оценкам Минэкономразвития России, составило 2,2%, а потребительская инфляция за этот период достигла 7,4%. В годовом выражении индекс потребительских цен в апреле 2015 г. был на уровне 16,4%. Большинство прогнозов свидетельствует о том, что за 2015 г. ВВП снизится не менее чем на 3%, а инфляция останется двухзначной.</w:t>
      </w:r>
      <w:r w:rsidR="00C7698B">
        <w:rPr>
          <w:rStyle w:val="af0"/>
          <w:rFonts w:ascii="Times New Roman" w:hAnsi="Times New Roman" w:cs="Times New Roman"/>
          <w:sz w:val="28"/>
          <w:szCs w:val="28"/>
        </w:rPr>
        <w:footnoteReference w:id="7"/>
      </w:r>
      <w:r w:rsidRPr="00AE6597">
        <w:rPr>
          <w:rFonts w:ascii="Times New Roman" w:hAnsi="Times New Roman" w:cs="Times New Roman"/>
          <w:sz w:val="28"/>
          <w:szCs w:val="28"/>
        </w:rPr>
        <w:t xml:space="preserve"> </w:t>
      </w:r>
    </w:p>
    <w:p w:rsidR="00AE6597" w:rsidRPr="00AE6597" w:rsidRDefault="00AE6597" w:rsidP="00AE6597">
      <w:pPr>
        <w:spacing w:after="0" w:line="360" w:lineRule="auto"/>
        <w:ind w:firstLine="709"/>
        <w:jc w:val="both"/>
        <w:rPr>
          <w:rFonts w:ascii="Times New Roman" w:hAnsi="Times New Roman" w:cs="Times New Roman"/>
          <w:sz w:val="28"/>
          <w:szCs w:val="28"/>
        </w:rPr>
      </w:pPr>
      <w:r w:rsidRPr="00AE6597">
        <w:rPr>
          <w:rFonts w:ascii="Times New Roman" w:hAnsi="Times New Roman" w:cs="Times New Roman"/>
          <w:sz w:val="28"/>
          <w:szCs w:val="28"/>
        </w:rPr>
        <w:t xml:space="preserve">Государственная поддержка банков по антикризисному плану </w:t>
      </w:r>
    </w:p>
    <w:p w:rsidR="00AE6597" w:rsidRPr="00AE6597" w:rsidRDefault="00AE6597" w:rsidP="00AE6597">
      <w:pPr>
        <w:spacing w:after="0" w:line="360" w:lineRule="auto"/>
        <w:ind w:firstLine="709"/>
        <w:jc w:val="both"/>
        <w:rPr>
          <w:rFonts w:ascii="Times New Roman" w:hAnsi="Times New Roman" w:cs="Times New Roman"/>
          <w:sz w:val="28"/>
          <w:szCs w:val="28"/>
        </w:rPr>
      </w:pPr>
      <w:r w:rsidRPr="00AE6597">
        <w:rPr>
          <w:rFonts w:ascii="Times New Roman" w:hAnsi="Times New Roman" w:cs="Times New Roman"/>
          <w:sz w:val="28"/>
          <w:szCs w:val="28"/>
        </w:rPr>
        <w:t>В ответ на ухудшающиеся макроэкономические условия и негативные среднесрочные прогнозы Правительством РФ был разработан антикризисный план, одним из пунктов которого является повышение капитализации кредитных организаций. Решение о докапитализации банков как одной из первоочередных мер государства по преодолению спада было продиктовано имеющимся опытом 2008-2009 гг.</w:t>
      </w:r>
      <w:r w:rsidR="00406FF9">
        <w:rPr>
          <w:rFonts w:ascii="Times New Roman" w:hAnsi="Times New Roman" w:cs="Times New Roman"/>
          <w:sz w:val="28"/>
          <w:szCs w:val="28"/>
        </w:rPr>
        <w:t xml:space="preserve"> </w:t>
      </w:r>
      <w:r w:rsidRPr="00AE6597">
        <w:rPr>
          <w:rFonts w:ascii="Times New Roman" w:hAnsi="Times New Roman" w:cs="Times New Roman"/>
          <w:sz w:val="28"/>
          <w:szCs w:val="28"/>
        </w:rPr>
        <w:t xml:space="preserve">Тогда предоставление средств банкам было оценено как фактор быстрого выхода из кризиса. </w:t>
      </w:r>
    </w:p>
    <w:p w:rsidR="00AE6597" w:rsidRPr="00AE6597" w:rsidRDefault="00AE6597" w:rsidP="00AE6597">
      <w:pPr>
        <w:spacing w:after="0" w:line="360" w:lineRule="auto"/>
        <w:ind w:firstLine="709"/>
        <w:jc w:val="both"/>
        <w:rPr>
          <w:rFonts w:ascii="Times New Roman" w:hAnsi="Times New Roman" w:cs="Times New Roman"/>
          <w:sz w:val="28"/>
          <w:szCs w:val="28"/>
        </w:rPr>
      </w:pPr>
      <w:r w:rsidRPr="00AE6597">
        <w:rPr>
          <w:rFonts w:ascii="Times New Roman" w:hAnsi="Times New Roman" w:cs="Times New Roman"/>
          <w:sz w:val="28"/>
          <w:szCs w:val="28"/>
        </w:rPr>
        <w:t>Внешэкономбанк выдавал субординированные кредиты за счет средств ФНБ, в общей сложности разместив в банках 404 млрд руб. Сбербанк был докапитализирован за счет средств ЦБ РФ, который предоставил крупнейшему в России банку субординированные займы на сумму 500 млрд руб. В 2014 г. кредитным организациям было разрешено конвертировать полученные во время прошлого кризиса субординированные обязательства в привилегированные акции.</w:t>
      </w:r>
      <w:r w:rsidR="00C7698B">
        <w:rPr>
          <w:rStyle w:val="af0"/>
          <w:rFonts w:ascii="Times New Roman" w:hAnsi="Times New Roman" w:cs="Times New Roman"/>
          <w:sz w:val="28"/>
          <w:szCs w:val="28"/>
        </w:rPr>
        <w:footnoteReference w:id="8"/>
      </w:r>
      <w:r w:rsidRPr="00AE6597">
        <w:rPr>
          <w:rFonts w:ascii="Times New Roman" w:hAnsi="Times New Roman" w:cs="Times New Roman"/>
          <w:sz w:val="28"/>
          <w:szCs w:val="28"/>
        </w:rPr>
        <w:t xml:space="preserve"> </w:t>
      </w:r>
    </w:p>
    <w:p w:rsidR="00AE6597" w:rsidRPr="00AE6597" w:rsidRDefault="00AE6597" w:rsidP="00AE6597">
      <w:pPr>
        <w:spacing w:after="0" w:line="360" w:lineRule="auto"/>
        <w:ind w:firstLine="709"/>
        <w:jc w:val="both"/>
        <w:rPr>
          <w:rFonts w:ascii="Times New Roman" w:hAnsi="Times New Roman" w:cs="Times New Roman"/>
          <w:sz w:val="28"/>
          <w:szCs w:val="28"/>
        </w:rPr>
      </w:pPr>
      <w:r w:rsidRPr="00AE6597">
        <w:rPr>
          <w:rFonts w:ascii="Times New Roman" w:hAnsi="Times New Roman" w:cs="Times New Roman"/>
          <w:sz w:val="28"/>
          <w:szCs w:val="28"/>
        </w:rPr>
        <w:t xml:space="preserve">В качестве мер государственной поддержки в 2015 г. Правительство РФ одобрило выделение 1 трлн руб. для повышения капитализации банков. Нынешняя схема докапитализации выглядит несколько сложнее, чем простое предоставление субординированных займов. Минфину России предписано осуществить эмиссию облигаций федерального займа (ОФЗ) на сумму 1 трлн </w:t>
      </w:r>
      <w:r w:rsidRPr="00AE6597">
        <w:rPr>
          <w:rFonts w:ascii="Times New Roman" w:hAnsi="Times New Roman" w:cs="Times New Roman"/>
          <w:sz w:val="28"/>
          <w:szCs w:val="28"/>
        </w:rPr>
        <w:lastRenderedPageBreak/>
        <w:t xml:space="preserve">руб. и внести их в качестве имущественного взноса в Агентство по страхованию вкладов. Банкам необходимо направлять заявку на получение средств в Агентство. После ее одобрения советом директоров АСВ банку предоставляются ОФЗ, учитываемые в активах, а в пассивах отражается получение субординированного займа (или выпуска субординированных облигаций). </w:t>
      </w:r>
    </w:p>
    <w:p w:rsidR="00AE6597" w:rsidRPr="00AE6597" w:rsidRDefault="00AE6597" w:rsidP="00AE6597">
      <w:pPr>
        <w:spacing w:after="0" w:line="360" w:lineRule="auto"/>
        <w:ind w:firstLine="709"/>
        <w:jc w:val="both"/>
        <w:rPr>
          <w:rFonts w:ascii="Times New Roman" w:hAnsi="Times New Roman" w:cs="Times New Roman"/>
          <w:sz w:val="28"/>
          <w:szCs w:val="28"/>
        </w:rPr>
      </w:pPr>
      <w:r w:rsidRPr="00AE6597">
        <w:rPr>
          <w:rFonts w:ascii="Times New Roman" w:hAnsi="Times New Roman" w:cs="Times New Roman"/>
          <w:sz w:val="28"/>
          <w:szCs w:val="28"/>
        </w:rPr>
        <w:t>Срок займа не может превышать срок погашения ОФЗ. Это условие, а также возможность конвертации субординированного обязательства в обыкновенные акции банка позволяет учитывать его в капитале кредитной организации. Стоимость обслуживания субординированного обязательства должна на 1% превышать размер купонного дохода, начисляемого на полученные банком ОФЗ.</w:t>
      </w:r>
      <w:r w:rsidR="00C7698B">
        <w:rPr>
          <w:rStyle w:val="af0"/>
          <w:rFonts w:ascii="Times New Roman" w:hAnsi="Times New Roman" w:cs="Times New Roman"/>
          <w:sz w:val="28"/>
          <w:szCs w:val="28"/>
        </w:rPr>
        <w:footnoteReference w:id="9"/>
      </w:r>
      <w:r w:rsidRPr="00AE6597">
        <w:rPr>
          <w:rFonts w:ascii="Times New Roman" w:hAnsi="Times New Roman" w:cs="Times New Roman"/>
          <w:sz w:val="28"/>
          <w:szCs w:val="28"/>
        </w:rPr>
        <w:t xml:space="preserve"> </w:t>
      </w:r>
    </w:p>
    <w:p w:rsidR="00AE6597" w:rsidRPr="00AE6597" w:rsidRDefault="00AE6597" w:rsidP="00AE6597">
      <w:pPr>
        <w:spacing w:after="0" w:line="360" w:lineRule="auto"/>
        <w:ind w:firstLine="709"/>
        <w:jc w:val="both"/>
        <w:rPr>
          <w:rFonts w:ascii="Times New Roman" w:hAnsi="Times New Roman" w:cs="Times New Roman"/>
          <w:sz w:val="28"/>
          <w:szCs w:val="28"/>
        </w:rPr>
      </w:pPr>
      <w:r w:rsidRPr="00AE6597">
        <w:rPr>
          <w:rFonts w:ascii="Times New Roman" w:hAnsi="Times New Roman" w:cs="Times New Roman"/>
          <w:sz w:val="28"/>
          <w:szCs w:val="28"/>
        </w:rPr>
        <w:t>Еще одной особенностью схемы является то, что процентные доходы, которые АСВ получит от банков, должны быть в полном объеме зачислены в федеральный бюджет. Из этого следует, что фактически бюджет не будет нести расходы на обслуживание выпущенных для докапитализации гособлигаций.</w:t>
      </w:r>
      <w:r w:rsidR="00C7698B">
        <w:rPr>
          <w:rStyle w:val="af0"/>
          <w:rFonts w:ascii="Times New Roman" w:hAnsi="Times New Roman" w:cs="Times New Roman"/>
          <w:sz w:val="28"/>
          <w:szCs w:val="28"/>
        </w:rPr>
        <w:footnoteReference w:id="10"/>
      </w:r>
      <w:r w:rsidRPr="00AE6597">
        <w:rPr>
          <w:rFonts w:ascii="Times New Roman" w:hAnsi="Times New Roman" w:cs="Times New Roman"/>
          <w:sz w:val="28"/>
          <w:szCs w:val="28"/>
        </w:rPr>
        <w:t xml:space="preserve"> </w:t>
      </w:r>
    </w:p>
    <w:p w:rsidR="00406FF9" w:rsidRDefault="00AE6597" w:rsidP="00AE6597">
      <w:pPr>
        <w:spacing w:after="0" w:line="360" w:lineRule="auto"/>
        <w:ind w:firstLine="709"/>
        <w:jc w:val="both"/>
        <w:rPr>
          <w:rFonts w:ascii="Times New Roman" w:hAnsi="Times New Roman" w:cs="Times New Roman"/>
          <w:sz w:val="28"/>
          <w:szCs w:val="28"/>
        </w:rPr>
      </w:pPr>
      <w:r w:rsidRPr="00AE6597">
        <w:rPr>
          <w:rFonts w:ascii="Times New Roman" w:hAnsi="Times New Roman" w:cs="Times New Roman"/>
          <w:sz w:val="28"/>
          <w:szCs w:val="28"/>
        </w:rPr>
        <w:t xml:space="preserve">Для получения государственной поддержки банки должны выполнить ряд условий. Во-первых, средства предоставляются банкам с капиталом не менее 25 млрд руб. и в сумме не более 25% от капитала. Во-вторых, банки, получившие средства от АСВ, должны дать согласие на проведение мониторинга их деятельности. В-третьих, банк должен обеспечивать в течение трех лет рост портфеля кредитов нефинансовому сектору (ипотечные кредиты, кредиты субъектам малого и среднего бизнеса и ряду отраслей экономики) на 1% в месяц, ограничить вознаграждения совета директоров и </w:t>
      </w:r>
      <w:r w:rsidRPr="00AE6597">
        <w:rPr>
          <w:rFonts w:ascii="Times New Roman" w:hAnsi="Times New Roman" w:cs="Times New Roman"/>
          <w:sz w:val="28"/>
          <w:szCs w:val="28"/>
        </w:rPr>
        <w:lastRenderedPageBreak/>
        <w:t xml:space="preserve">менеджмента, а также фонд оплаты труда иных сотрудников кредитной организации на уровне, достигнутом на 1 января 2015 г. </w:t>
      </w:r>
    </w:p>
    <w:p w:rsidR="00AE6597" w:rsidRPr="00AE6597" w:rsidRDefault="00AE6597" w:rsidP="00AE6597">
      <w:pPr>
        <w:spacing w:after="0" w:line="360" w:lineRule="auto"/>
        <w:ind w:firstLine="709"/>
        <w:jc w:val="both"/>
        <w:rPr>
          <w:rFonts w:ascii="Times New Roman" w:hAnsi="Times New Roman" w:cs="Times New Roman"/>
          <w:sz w:val="28"/>
          <w:szCs w:val="28"/>
        </w:rPr>
      </w:pPr>
      <w:r w:rsidRPr="00AE6597">
        <w:rPr>
          <w:rFonts w:ascii="Times New Roman" w:hAnsi="Times New Roman" w:cs="Times New Roman"/>
          <w:sz w:val="28"/>
          <w:szCs w:val="28"/>
        </w:rPr>
        <w:t xml:space="preserve">Собственники банка должны за счет собственных средств увеличить капитал банка на сумму не менее 50% от суммы средств, полученной от АСВ, либо направлять до 75% прибыли банка для повышения капитала на аналогичную сумму. Эти условия утверждены решением совета директоров АСВ от 13 января 2015 г. </w:t>
      </w:r>
    </w:p>
    <w:p w:rsidR="00AE6597" w:rsidRPr="00AE6597" w:rsidRDefault="00AE6597" w:rsidP="00AE6597">
      <w:pPr>
        <w:spacing w:after="0" w:line="360" w:lineRule="auto"/>
        <w:ind w:firstLine="709"/>
        <w:jc w:val="both"/>
        <w:rPr>
          <w:rFonts w:ascii="Times New Roman" w:hAnsi="Times New Roman" w:cs="Times New Roman"/>
          <w:sz w:val="28"/>
          <w:szCs w:val="28"/>
        </w:rPr>
      </w:pPr>
      <w:r w:rsidRPr="00AE6597">
        <w:rPr>
          <w:rFonts w:ascii="Times New Roman" w:hAnsi="Times New Roman" w:cs="Times New Roman"/>
          <w:sz w:val="28"/>
          <w:szCs w:val="28"/>
        </w:rPr>
        <w:t>План по увеличению капитализации банков имеет некоторые исключения. Так, банки, имеющие капитал ниже 25 млрд руб., но попавшие под международные санкции, также могут рассчитывать на докапитализацию. Кроме того, некоторые банки (их перечень не раскрыт) смогут увеличить капитал 1-го уровня путем обмена ОФЗ на привилегированные акции.</w:t>
      </w:r>
      <w:r w:rsidR="00C7698B">
        <w:rPr>
          <w:rStyle w:val="af0"/>
          <w:rFonts w:ascii="Times New Roman" w:hAnsi="Times New Roman" w:cs="Times New Roman"/>
          <w:sz w:val="28"/>
          <w:szCs w:val="28"/>
        </w:rPr>
        <w:footnoteReference w:id="11"/>
      </w:r>
      <w:r w:rsidRPr="00AE6597">
        <w:rPr>
          <w:rFonts w:ascii="Times New Roman" w:hAnsi="Times New Roman" w:cs="Times New Roman"/>
          <w:sz w:val="28"/>
          <w:szCs w:val="28"/>
        </w:rPr>
        <w:t xml:space="preserve"> </w:t>
      </w:r>
    </w:p>
    <w:p w:rsidR="00AE6597" w:rsidRPr="00AE6597" w:rsidRDefault="00AE6597" w:rsidP="00AE6597">
      <w:pPr>
        <w:spacing w:after="0" w:line="360" w:lineRule="auto"/>
        <w:ind w:firstLine="709"/>
        <w:jc w:val="both"/>
        <w:rPr>
          <w:rFonts w:ascii="Times New Roman" w:hAnsi="Times New Roman" w:cs="Times New Roman"/>
          <w:sz w:val="28"/>
          <w:szCs w:val="28"/>
        </w:rPr>
      </w:pPr>
      <w:r w:rsidRPr="00AE6597">
        <w:rPr>
          <w:rFonts w:ascii="Times New Roman" w:hAnsi="Times New Roman" w:cs="Times New Roman"/>
          <w:sz w:val="28"/>
          <w:szCs w:val="28"/>
        </w:rPr>
        <w:t xml:space="preserve">Отметим, что состояние банковского сектора в полной мере отражает негативные тенденции в российской экономике. Темпы прироста банковских активов замедлялись в 2012-м и в 2013 г., а их резкий рост в 2014 г. был обусловлен валютной переоценкой. На снижение финансовой устойчивости банков повлияло сокращение получаемой прибыли. После незначительного уменьшения прибыли на 1,8% в 2013 г. к уровню предшествующего года последовало 40%-ное падение по итогам 2014 г. С декабря 2014-го по март 2015 г. банковский сектор был убыточен каждый месяц. </w:t>
      </w:r>
    </w:p>
    <w:p w:rsidR="00AE6597" w:rsidRPr="00AE6597" w:rsidRDefault="00AE6597" w:rsidP="00AE6597">
      <w:pPr>
        <w:spacing w:after="0" w:line="360" w:lineRule="auto"/>
        <w:ind w:firstLine="709"/>
        <w:jc w:val="both"/>
        <w:rPr>
          <w:rFonts w:ascii="Times New Roman" w:hAnsi="Times New Roman" w:cs="Times New Roman"/>
          <w:sz w:val="28"/>
          <w:szCs w:val="28"/>
        </w:rPr>
      </w:pPr>
      <w:r w:rsidRPr="00AE6597">
        <w:rPr>
          <w:rFonts w:ascii="Times New Roman" w:hAnsi="Times New Roman" w:cs="Times New Roman"/>
          <w:sz w:val="28"/>
          <w:szCs w:val="28"/>
        </w:rPr>
        <w:t xml:space="preserve">Одной из основных причин падения прибыли стало ухудшение качества кредитного портфеля, доля просроченной задолженности росла в течение всего 2014 г., хотя и оставалась на приемлемом уровне, ниже 4,5% относительно всех размещенных средств банков. Что касается непосредственно ссудной задолженности, то доля проблемных и безнадежных кредитов увеличилась с 6% на конец 2013-го до 6,7% на начало 2015 г. Указанные тенденции привели к повышению объемов </w:t>
      </w:r>
      <w:r w:rsidRPr="00AE6597">
        <w:rPr>
          <w:rFonts w:ascii="Times New Roman" w:hAnsi="Times New Roman" w:cs="Times New Roman"/>
          <w:sz w:val="28"/>
          <w:szCs w:val="28"/>
        </w:rPr>
        <w:lastRenderedPageBreak/>
        <w:t xml:space="preserve">сформированных резервов на возможные потери до 6,7% в конце 2014 г., а в I квартале 2015 г. этот показатель превысил 7%. </w:t>
      </w:r>
    </w:p>
    <w:p w:rsidR="00AE6597" w:rsidRPr="00AE6597" w:rsidRDefault="00AE6597" w:rsidP="00AE6597">
      <w:pPr>
        <w:spacing w:after="0" w:line="360" w:lineRule="auto"/>
        <w:ind w:firstLine="709"/>
        <w:jc w:val="both"/>
        <w:rPr>
          <w:rFonts w:ascii="Times New Roman" w:hAnsi="Times New Roman" w:cs="Times New Roman"/>
          <w:sz w:val="28"/>
          <w:szCs w:val="28"/>
        </w:rPr>
      </w:pPr>
      <w:r w:rsidRPr="00AE6597">
        <w:rPr>
          <w:rFonts w:ascii="Times New Roman" w:hAnsi="Times New Roman" w:cs="Times New Roman"/>
          <w:sz w:val="28"/>
          <w:szCs w:val="28"/>
        </w:rPr>
        <w:t>На банковский сектор значительное влияние оказали внешние шоки 2014 г. Резкий рост курса рубля хотя и привел к положительной переоценке валютных активов, затруднил обслуживание валютных обязательств как самих банков, так и их заемщиков. Введение секторальных санкций против крупнейших банков закрыло источники дешевого фондирования на рынках США и Европы. Снижение кредитных рейтингов российских эмитентов, а также повышение ключевой ставки Банка России привело к росту доходностей корпоративных и государственных облигаций. Вложения в долговые инструменты превышают 10% от величины банковских активов, соответственно, отрицательная переоценка стоимости облигаций снизила финансовый результат банков</w:t>
      </w:r>
      <w:r w:rsidR="00406FF9">
        <w:rPr>
          <w:rFonts w:ascii="Times New Roman" w:hAnsi="Times New Roman" w:cs="Times New Roman"/>
          <w:sz w:val="28"/>
          <w:szCs w:val="28"/>
        </w:rPr>
        <w:t>.</w:t>
      </w:r>
    </w:p>
    <w:p w:rsidR="00BF31E9" w:rsidRPr="00AE6597" w:rsidRDefault="00BF31E9" w:rsidP="00AE6597">
      <w:pPr>
        <w:spacing w:after="0" w:line="360" w:lineRule="auto"/>
        <w:ind w:firstLine="709"/>
        <w:jc w:val="both"/>
        <w:rPr>
          <w:rFonts w:ascii="Times New Roman" w:hAnsi="Times New Roman" w:cs="Times New Roman"/>
          <w:sz w:val="28"/>
          <w:szCs w:val="28"/>
        </w:rPr>
      </w:pPr>
    </w:p>
    <w:p w:rsidR="004907F6" w:rsidRPr="00AE6597" w:rsidRDefault="004907F6" w:rsidP="00AE6597">
      <w:pPr>
        <w:spacing w:after="0" w:line="360" w:lineRule="auto"/>
        <w:ind w:firstLine="709"/>
        <w:jc w:val="both"/>
        <w:rPr>
          <w:rFonts w:ascii="Times New Roman" w:hAnsi="Times New Roman" w:cs="Times New Roman"/>
          <w:sz w:val="28"/>
          <w:szCs w:val="28"/>
        </w:rPr>
      </w:pPr>
      <w:r w:rsidRPr="00AE6597">
        <w:rPr>
          <w:rFonts w:ascii="Times New Roman" w:hAnsi="Times New Roman" w:cs="Times New Roman"/>
          <w:sz w:val="28"/>
          <w:szCs w:val="28"/>
        </w:rPr>
        <w:br/>
      </w:r>
    </w:p>
    <w:p w:rsidR="004907F6" w:rsidRPr="00AE6597" w:rsidRDefault="004907F6" w:rsidP="00AE6597">
      <w:pPr>
        <w:spacing w:after="0" w:line="360" w:lineRule="auto"/>
        <w:ind w:firstLine="709"/>
        <w:jc w:val="both"/>
        <w:rPr>
          <w:rFonts w:ascii="Times New Roman" w:hAnsi="Times New Roman" w:cs="Times New Roman"/>
          <w:sz w:val="28"/>
          <w:szCs w:val="28"/>
        </w:rPr>
      </w:pPr>
    </w:p>
    <w:p w:rsidR="004907F6" w:rsidRPr="00AE6597" w:rsidRDefault="004907F6" w:rsidP="00AE6597">
      <w:pPr>
        <w:spacing w:after="0" w:line="360" w:lineRule="auto"/>
        <w:ind w:firstLine="709"/>
        <w:jc w:val="both"/>
        <w:rPr>
          <w:rFonts w:ascii="Times New Roman" w:hAnsi="Times New Roman" w:cs="Times New Roman"/>
          <w:sz w:val="28"/>
          <w:szCs w:val="28"/>
        </w:rPr>
      </w:pPr>
    </w:p>
    <w:p w:rsidR="004907F6" w:rsidRPr="00AE6597" w:rsidRDefault="004907F6" w:rsidP="00AE6597">
      <w:pPr>
        <w:spacing w:after="0" w:line="360" w:lineRule="auto"/>
        <w:ind w:firstLine="709"/>
        <w:jc w:val="both"/>
        <w:rPr>
          <w:rFonts w:ascii="Times New Roman" w:hAnsi="Times New Roman" w:cs="Times New Roman"/>
          <w:sz w:val="28"/>
          <w:szCs w:val="28"/>
        </w:rPr>
      </w:pPr>
    </w:p>
    <w:p w:rsidR="004907F6" w:rsidRPr="00AE6597" w:rsidRDefault="004907F6" w:rsidP="00AE6597">
      <w:pPr>
        <w:spacing w:after="0" w:line="360" w:lineRule="auto"/>
        <w:ind w:firstLine="709"/>
        <w:jc w:val="both"/>
        <w:rPr>
          <w:rFonts w:ascii="Times New Roman" w:hAnsi="Times New Roman" w:cs="Times New Roman"/>
          <w:sz w:val="28"/>
          <w:szCs w:val="28"/>
        </w:rPr>
      </w:pPr>
      <w:r w:rsidRPr="00AE6597">
        <w:rPr>
          <w:rFonts w:ascii="Times New Roman" w:hAnsi="Times New Roman" w:cs="Times New Roman"/>
          <w:sz w:val="28"/>
          <w:szCs w:val="28"/>
        </w:rPr>
        <w:br w:type="page"/>
      </w:r>
    </w:p>
    <w:p w:rsidR="004907F6" w:rsidRPr="00406FF9" w:rsidRDefault="004907F6" w:rsidP="00C7698B">
      <w:pPr>
        <w:spacing w:after="0" w:line="360" w:lineRule="auto"/>
        <w:ind w:firstLine="709"/>
        <w:jc w:val="center"/>
        <w:outlineLvl w:val="2"/>
        <w:rPr>
          <w:rFonts w:ascii="Times New Roman" w:hAnsi="Times New Roman" w:cs="Times New Roman"/>
          <w:b/>
          <w:sz w:val="28"/>
          <w:szCs w:val="28"/>
        </w:rPr>
      </w:pPr>
      <w:bookmarkStart w:id="3" w:name="_Toc500346397"/>
      <w:r w:rsidRPr="00406FF9">
        <w:rPr>
          <w:rFonts w:ascii="Times New Roman" w:hAnsi="Times New Roman" w:cs="Times New Roman"/>
          <w:b/>
          <w:sz w:val="28"/>
          <w:szCs w:val="28"/>
        </w:rPr>
        <w:lastRenderedPageBreak/>
        <w:t>Заключение</w:t>
      </w:r>
      <w:bookmarkEnd w:id="3"/>
    </w:p>
    <w:p w:rsidR="004907F6" w:rsidRPr="00AE6597" w:rsidRDefault="004907F6" w:rsidP="00AE6597">
      <w:pPr>
        <w:spacing w:after="0" w:line="360" w:lineRule="auto"/>
        <w:ind w:firstLine="709"/>
        <w:jc w:val="both"/>
        <w:rPr>
          <w:rFonts w:ascii="Times New Roman" w:hAnsi="Times New Roman" w:cs="Times New Roman"/>
          <w:sz w:val="28"/>
          <w:szCs w:val="28"/>
        </w:rPr>
      </w:pPr>
    </w:p>
    <w:p w:rsidR="00DB384B" w:rsidRPr="00AE6597" w:rsidRDefault="00DB384B" w:rsidP="00AE6597">
      <w:pPr>
        <w:spacing w:after="0" w:line="360" w:lineRule="auto"/>
        <w:ind w:firstLine="709"/>
        <w:jc w:val="both"/>
        <w:rPr>
          <w:rFonts w:ascii="Times New Roman" w:hAnsi="Times New Roman" w:cs="Times New Roman"/>
          <w:sz w:val="28"/>
          <w:szCs w:val="28"/>
        </w:rPr>
      </w:pPr>
      <w:r w:rsidRPr="00AE6597">
        <w:rPr>
          <w:rFonts w:ascii="Times New Roman" w:hAnsi="Times New Roman" w:cs="Times New Roman"/>
          <w:sz w:val="28"/>
          <w:szCs w:val="28"/>
        </w:rPr>
        <w:t>В заключении необходимо привести ряд аргументов в защиту усиления государственного регулирования банковской сферы в условиях экономической и политической нестабильности в мире.</w:t>
      </w:r>
    </w:p>
    <w:p w:rsidR="00DB384B" w:rsidRPr="00AE6597" w:rsidRDefault="00DB384B" w:rsidP="00AE6597">
      <w:pPr>
        <w:spacing w:after="0" w:line="360" w:lineRule="auto"/>
        <w:ind w:firstLine="709"/>
        <w:jc w:val="both"/>
        <w:rPr>
          <w:rFonts w:ascii="Times New Roman" w:hAnsi="Times New Roman" w:cs="Times New Roman"/>
          <w:sz w:val="28"/>
          <w:szCs w:val="28"/>
        </w:rPr>
      </w:pPr>
      <w:r w:rsidRPr="00AE6597">
        <w:rPr>
          <w:rFonts w:ascii="Times New Roman" w:hAnsi="Times New Roman" w:cs="Times New Roman"/>
          <w:sz w:val="28"/>
          <w:szCs w:val="28"/>
        </w:rPr>
        <w:t>1. Банки способны быть эффективным проводником государственной политики по поддержке экономики страны. Они имеют возможность эффективно участвовать в разработке и реализации антикризисных мер, таких как кредитование приоритетных отраслей экономики, поддержка финансового сектора, кредитование и реструктурирование долгов крупнейших предприятий, кредитование малого и среднего бизнеса, поддержка процессов консолидации в экономике и т.д.</w:t>
      </w:r>
    </w:p>
    <w:p w:rsidR="00DB384B" w:rsidRPr="00AE6597" w:rsidRDefault="00DB384B" w:rsidP="00AE6597">
      <w:pPr>
        <w:spacing w:after="0" w:line="360" w:lineRule="auto"/>
        <w:ind w:firstLine="709"/>
        <w:jc w:val="both"/>
        <w:rPr>
          <w:rFonts w:ascii="Times New Roman" w:hAnsi="Times New Roman" w:cs="Times New Roman"/>
          <w:sz w:val="28"/>
          <w:szCs w:val="28"/>
        </w:rPr>
      </w:pPr>
      <w:r w:rsidRPr="00AE6597">
        <w:rPr>
          <w:rFonts w:ascii="Times New Roman" w:hAnsi="Times New Roman" w:cs="Times New Roman"/>
          <w:sz w:val="28"/>
          <w:szCs w:val="28"/>
        </w:rPr>
        <w:t>2. Государственное регулирование банковской сферы необходимо в целях обеспечения безопасности вкладчиков и других кредиторов банковской системы, укрепления доверия к кредитной системе в целом, поддержание стабильности денежного обращения в экономике. Такие задачи были положены в основу жесткого государственного регулирования банковской деятельности в развитых странах Запада в посткризисные 30-е и 80-е годы XX века.</w:t>
      </w:r>
    </w:p>
    <w:p w:rsidR="00DB384B" w:rsidRPr="00AE6597" w:rsidRDefault="00DB384B" w:rsidP="00AE6597">
      <w:pPr>
        <w:spacing w:after="0" w:line="360" w:lineRule="auto"/>
        <w:ind w:firstLine="709"/>
        <w:jc w:val="both"/>
        <w:rPr>
          <w:rFonts w:ascii="Times New Roman" w:hAnsi="Times New Roman" w:cs="Times New Roman"/>
          <w:sz w:val="28"/>
          <w:szCs w:val="28"/>
        </w:rPr>
      </w:pPr>
      <w:r w:rsidRPr="00AE6597">
        <w:rPr>
          <w:rFonts w:ascii="Times New Roman" w:hAnsi="Times New Roman" w:cs="Times New Roman"/>
          <w:sz w:val="28"/>
          <w:szCs w:val="28"/>
        </w:rPr>
        <w:t>3. Государственное регулирование банковской сферы является необходимым в целях поддержания конкуренции на рынке банковских услуг. В самой банковской деятельности заложена тенденция к монополизации. Поэтому регулирование, например, в виде контроля слияния банков или открытием филиалов, рассматривается как мера, противодействующая тенденции к концентрации.</w:t>
      </w:r>
    </w:p>
    <w:p w:rsidR="00DB384B" w:rsidRPr="00AE6597" w:rsidRDefault="00DB384B" w:rsidP="00AE6597">
      <w:pPr>
        <w:spacing w:after="0" w:line="360" w:lineRule="auto"/>
        <w:ind w:firstLine="709"/>
        <w:jc w:val="both"/>
        <w:rPr>
          <w:rFonts w:ascii="Times New Roman" w:hAnsi="Times New Roman" w:cs="Times New Roman"/>
          <w:sz w:val="28"/>
          <w:szCs w:val="28"/>
        </w:rPr>
      </w:pPr>
      <w:r w:rsidRPr="00AE6597">
        <w:rPr>
          <w:rFonts w:ascii="Times New Roman" w:hAnsi="Times New Roman" w:cs="Times New Roman"/>
          <w:sz w:val="28"/>
          <w:szCs w:val="28"/>
        </w:rPr>
        <w:t xml:space="preserve">4. Следующий аргумент в поддержку государственного регулирования банковского сектора связан с управлением денежной массой. В создании депозитных денежных средств многие исследователи видят источник финансирования инновационного развития. </w:t>
      </w:r>
    </w:p>
    <w:p w:rsidR="004907F6" w:rsidRPr="00AE6597" w:rsidRDefault="004907F6" w:rsidP="00AE6597">
      <w:pPr>
        <w:spacing w:after="0" w:line="360" w:lineRule="auto"/>
        <w:ind w:firstLine="709"/>
        <w:jc w:val="both"/>
        <w:rPr>
          <w:rFonts w:ascii="Times New Roman" w:hAnsi="Times New Roman" w:cs="Times New Roman"/>
          <w:sz w:val="28"/>
          <w:szCs w:val="28"/>
        </w:rPr>
      </w:pPr>
    </w:p>
    <w:p w:rsidR="004907F6" w:rsidRPr="00406FF9" w:rsidRDefault="004907F6" w:rsidP="00C7698B">
      <w:pPr>
        <w:spacing w:after="0" w:line="360" w:lineRule="auto"/>
        <w:ind w:firstLine="709"/>
        <w:jc w:val="center"/>
        <w:outlineLvl w:val="2"/>
        <w:rPr>
          <w:rFonts w:ascii="Times New Roman" w:hAnsi="Times New Roman" w:cs="Times New Roman"/>
          <w:b/>
          <w:sz w:val="28"/>
          <w:szCs w:val="28"/>
        </w:rPr>
      </w:pPr>
      <w:bookmarkStart w:id="4" w:name="_Toc500346398"/>
      <w:r w:rsidRPr="00406FF9">
        <w:rPr>
          <w:rFonts w:ascii="Times New Roman" w:hAnsi="Times New Roman" w:cs="Times New Roman"/>
          <w:b/>
          <w:sz w:val="28"/>
          <w:szCs w:val="28"/>
        </w:rPr>
        <w:lastRenderedPageBreak/>
        <w:t>Список использованной литературы</w:t>
      </w:r>
      <w:bookmarkEnd w:id="4"/>
    </w:p>
    <w:p w:rsidR="00406FF9" w:rsidRDefault="00406FF9" w:rsidP="007C7467">
      <w:pPr>
        <w:spacing w:after="0" w:line="360" w:lineRule="auto"/>
        <w:ind w:firstLine="709"/>
        <w:jc w:val="center"/>
        <w:rPr>
          <w:rFonts w:ascii="Times New Roman" w:hAnsi="Times New Roman" w:cs="Times New Roman"/>
          <w:sz w:val="28"/>
          <w:szCs w:val="28"/>
        </w:rPr>
      </w:pPr>
    </w:p>
    <w:p w:rsidR="007C7467" w:rsidRDefault="007C7467" w:rsidP="007C7467">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Нормативно-правовые акты:</w:t>
      </w:r>
    </w:p>
    <w:p w:rsidR="007C7467" w:rsidRPr="0072198D" w:rsidRDefault="007C7467" w:rsidP="00C7698B">
      <w:pPr>
        <w:pStyle w:val="a5"/>
        <w:numPr>
          <w:ilvl w:val="0"/>
          <w:numId w:val="5"/>
        </w:numPr>
        <w:spacing w:before="0" w:beforeAutospacing="0" w:after="0" w:afterAutospacing="0" w:line="360" w:lineRule="auto"/>
        <w:ind w:left="426"/>
        <w:contextualSpacing/>
        <w:jc w:val="both"/>
        <w:rPr>
          <w:bCs/>
          <w:color w:val="000000" w:themeColor="text1"/>
          <w:kern w:val="36"/>
          <w:sz w:val="28"/>
          <w:szCs w:val="28"/>
        </w:rPr>
      </w:pPr>
      <w:r w:rsidRPr="00040CC7">
        <w:rPr>
          <w:color w:val="000000" w:themeColor="text1"/>
          <w:sz w:val="28"/>
          <w:szCs w:val="28"/>
          <w:shd w:val="clear" w:color="auto" w:fill="FFFFFF"/>
        </w:rPr>
        <w:t>Гражданский кодекс РФ</w:t>
      </w:r>
      <w:r>
        <w:rPr>
          <w:color w:val="000000" w:themeColor="text1"/>
          <w:sz w:val="28"/>
          <w:szCs w:val="28"/>
          <w:shd w:val="clear" w:color="auto" w:fill="FFFFFF"/>
        </w:rPr>
        <w:t xml:space="preserve"> //</w:t>
      </w:r>
      <w:r w:rsidRPr="00040CC7">
        <w:rPr>
          <w:color w:val="000000" w:themeColor="text1"/>
          <w:sz w:val="28"/>
          <w:szCs w:val="28"/>
          <w:shd w:val="clear" w:color="auto" w:fill="FFFFFF"/>
        </w:rPr>
        <w:t xml:space="preserve"> [Электронный ресурс]</w:t>
      </w:r>
      <w:r>
        <w:rPr>
          <w:color w:val="000000" w:themeColor="text1"/>
          <w:sz w:val="28"/>
          <w:szCs w:val="28"/>
          <w:shd w:val="clear" w:color="auto" w:fill="FFFFFF"/>
        </w:rPr>
        <w:t>.</w:t>
      </w:r>
      <w:r w:rsidRPr="00040CC7">
        <w:rPr>
          <w:color w:val="000000" w:themeColor="text1"/>
          <w:sz w:val="28"/>
          <w:szCs w:val="28"/>
          <w:shd w:val="clear" w:color="auto" w:fill="FFFFFF"/>
        </w:rPr>
        <w:t xml:space="preserve"> // Статья 55. Представительства и филиалы юридического лица. URL:</w:t>
      </w:r>
      <w:r>
        <w:rPr>
          <w:color w:val="000000" w:themeColor="text1"/>
          <w:sz w:val="28"/>
          <w:szCs w:val="28"/>
          <w:shd w:val="clear" w:color="auto" w:fill="FFFFFF"/>
        </w:rPr>
        <w:t xml:space="preserve"> </w:t>
      </w:r>
      <w:r w:rsidRPr="00040CC7">
        <w:rPr>
          <w:color w:val="000000" w:themeColor="text1"/>
          <w:sz w:val="28"/>
          <w:szCs w:val="28"/>
          <w:shd w:val="clear" w:color="auto" w:fill="FFFFFF"/>
        </w:rPr>
        <w:t>http://stgkrf.ru/55</w:t>
      </w:r>
      <w:r>
        <w:rPr>
          <w:color w:val="000000" w:themeColor="text1"/>
          <w:sz w:val="28"/>
          <w:szCs w:val="28"/>
          <w:shd w:val="clear" w:color="auto" w:fill="FFFFFF"/>
        </w:rPr>
        <w:t xml:space="preserve"> (дата обращения: 05.05</w:t>
      </w:r>
      <w:r w:rsidRPr="00097704">
        <w:rPr>
          <w:color w:val="000000" w:themeColor="text1"/>
          <w:sz w:val="28"/>
          <w:szCs w:val="28"/>
          <w:shd w:val="clear" w:color="auto" w:fill="FFFFFF"/>
        </w:rPr>
        <w:t>.</w:t>
      </w:r>
      <w:r>
        <w:rPr>
          <w:color w:val="000000" w:themeColor="text1"/>
          <w:sz w:val="28"/>
          <w:szCs w:val="28"/>
          <w:shd w:val="clear" w:color="auto" w:fill="FFFFFF"/>
        </w:rPr>
        <w:t>2017</w:t>
      </w:r>
      <w:r w:rsidRPr="00097704">
        <w:rPr>
          <w:color w:val="000000" w:themeColor="text1"/>
          <w:sz w:val="28"/>
          <w:szCs w:val="28"/>
          <w:shd w:val="clear" w:color="auto" w:fill="FFFFFF"/>
        </w:rPr>
        <w:t>).</w:t>
      </w:r>
    </w:p>
    <w:p w:rsidR="007C7467" w:rsidRPr="00A44BF5" w:rsidRDefault="007C7467" w:rsidP="00C7698B">
      <w:pPr>
        <w:pStyle w:val="a5"/>
        <w:numPr>
          <w:ilvl w:val="0"/>
          <w:numId w:val="5"/>
        </w:numPr>
        <w:spacing w:before="0" w:beforeAutospacing="0" w:after="0" w:afterAutospacing="0" w:line="360" w:lineRule="auto"/>
        <w:ind w:left="426"/>
        <w:contextualSpacing/>
        <w:jc w:val="both"/>
        <w:rPr>
          <w:bCs/>
          <w:color w:val="000000" w:themeColor="text1"/>
          <w:kern w:val="36"/>
          <w:sz w:val="28"/>
          <w:szCs w:val="28"/>
        </w:rPr>
      </w:pPr>
      <w:r w:rsidRPr="00097704">
        <w:rPr>
          <w:bCs/>
          <w:color w:val="000000" w:themeColor="text1"/>
          <w:kern w:val="36"/>
          <w:sz w:val="28"/>
          <w:szCs w:val="28"/>
        </w:rPr>
        <w:t xml:space="preserve">Федеральный закон от 02.12.1990 N 395-1 (ред. от 05.04.2016) </w:t>
      </w:r>
      <w:r w:rsidR="000F6FF3">
        <w:rPr>
          <w:bCs/>
          <w:color w:val="000000" w:themeColor="text1"/>
          <w:kern w:val="36"/>
          <w:sz w:val="28"/>
          <w:szCs w:val="28"/>
        </w:rPr>
        <w:t>«</w:t>
      </w:r>
      <w:r w:rsidRPr="00097704">
        <w:rPr>
          <w:bCs/>
          <w:color w:val="000000" w:themeColor="text1"/>
          <w:kern w:val="36"/>
          <w:sz w:val="28"/>
          <w:szCs w:val="28"/>
        </w:rPr>
        <w:t>О банках и банковской деятельности</w:t>
      </w:r>
      <w:r w:rsidR="000F6FF3">
        <w:rPr>
          <w:bCs/>
          <w:color w:val="000000" w:themeColor="text1"/>
          <w:kern w:val="36"/>
          <w:sz w:val="28"/>
          <w:szCs w:val="28"/>
        </w:rPr>
        <w:t>»</w:t>
      </w:r>
      <w:r w:rsidRPr="00097704">
        <w:rPr>
          <w:bCs/>
          <w:color w:val="000000" w:themeColor="text1"/>
          <w:kern w:val="36"/>
          <w:sz w:val="28"/>
          <w:szCs w:val="28"/>
        </w:rPr>
        <w:t xml:space="preserve"> // [Электронный ресурс]. - </w:t>
      </w:r>
      <w:r w:rsidRPr="00097704">
        <w:rPr>
          <w:color w:val="000000" w:themeColor="text1"/>
          <w:sz w:val="28"/>
          <w:szCs w:val="28"/>
          <w:shd w:val="clear" w:color="auto" w:fill="FFFFFF"/>
        </w:rPr>
        <w:t>СПС КонсультантПлюс: Законодательство: Версия Проф. – URL:</w:t>
      </w:r>
      <w:r w:rsidRPr="00097704">
        <w:rPr>
          <w:color w:val="000000" w:themeColor="text1"/>
          <w:sz w:val="28"/>
          <w:szCs w:val="28"/>
        </w:rPr>
        <w:t xml:space="preserve"> </w:t>
      </w:r>
      <w:hyperlink r:id="rId8" w:history="1">
        <w:r w:rsidRPr="00097704">
          <w:rPr>
            <w:rStyle w:val="a4"/>
            <w:color w:val="000000" w:themeColor="text1"/>
            <w:sz w:val="28"/>
            <w:szCs w:val="28"/>
            <w:shd w:val="clear" w:color="auto" w:fill="FFFFFF"/>
          </w:rPr>
          <w:t>http://base.consultant.ru/cons/cgi/online.cgi?req=doc;base=LAW;n=196350;div=LAW;dst=100005,0;rnd=203280.39400864445992934</w:t>
        </w:r>
      </w:hyperlink>
      <w:r w:rsidRPr="00097704">
        <w:rPr>
          <w:color w:val="000000" w:themeColor="text1"/>
          <w:sz w:val="28"/>
          <w:szCs w:val="28"/>
          <w:shd w:val="clear" w:color="auto" w:fill="FFFFFF"/>
        </w:rPr>
        <w:t xml:space="preserve"> </w:t>
      </w:r>
      <w:r>
        <w:rPr>
          <w:color w:val="000000" w:themeColor="text1"/>
          <w:sz w:val="28"/>
          <w:szCs w:val="28"/>
          <w:shd w:val="clear" w:color="auto" w:fill="FFFFFF"/>
        </w:rPr>
        <w:t>(дата обращения: 5.05</w:t>
      </w:r>
      <w:r w:rsidRPr="00097704">
        <w:rPr>
          <w:color w:val="000000" w:themeColor="text1"/>
          <w:sz w:val="28"/>
          <w:szCs w:val="28"/>
          <w:shd w:val="clear" w:color="auto" w:fill="FFFFFF"/>
        </w:rPr>
        <w:t>.2016).</w:t>
      </w:r>
    </w:p>
    <w:p w:rsidR="004907F6" w:rsidRDefault="004907F6" w:rsidP="00C7698B">
      <w:pPr>
        <w:pStyle w:val="a5"/>
        <w:numPr>
          <w:ilvl w:val="0"/>
          <w:numId w:val="5"/>
        </w:numPr>
        <w:spacing w:before="0" w:beforeAutospacing="0" w:after="0" w:afterAutospacing="0" w:line="360" w:lineRule="auto"/>
        <w:ind w:left="426"/>
        <w:jc w:val="both"/>
        <w:rPr>
          <w:sz w:val="28"/>
          <w:szCs w:val="28"/>
        </w:rPr>
      </w:pPr>
      <w:r w:rsidRPr="007C7467">
        <w:rPr>
          <w:sz w:val="28"/>
          <w:szCs w:val="28"/>
        </w:rPr>
        <w:t xml:space="preserve">Закон  Российской  Федерации  </w:t>
      </w:r>
      <w:r w:rsidR="000F6FF3">
        <w:rPr>
          <w:sz w:val="28"/>
          <w:szCs w:val="28"/>
        </w:rPr>
        <w:t>«</w:t>
      </w:r>
      <w:r w:rsidRPr="007C7467">
        <w:rPr>
          <w:sz w:val="28"/>
          <w:szCs w:val="28"/>
        </w:rPr>
        <w:t>О  дополнительных  мерах  по  поддержке  финансовой  системы  Российской  Федерации</w:t>
      </w:r>
      <w:r w:rsidR="000F6FF3">
        <w:rPr>
          <w:sz w:val="28"/>
          <w:szCs w:val="28"/>
        </w:rPr>
        <w:t>»</w:t>
      </w:r>
      <w:r w:rsidRPr="007C7467">
        <w:rPr>
          <w:sz w:val="28"/>
          <w:szCs w:val="28"/>
        </w:rPr>
        <w:t>  от  13.10.2008  №  173  //  Российская  газета.  2008  г.  №  214.</w:t>
      </w:r>
    </w:p>
    <w:p w:rsidR="007C7467" w:rsidRPr="007C7467" w:rsidRDefault="007C7467" w:rsidP="00C7698B">
      <w:pPr>
        <w:pStyle w:val="a5"/>
        <w:spacing w:before="0" w:beforeAutospacing="0" w:after="0" w:afterAutospacing="0" w:line="360" w:lineRule="auto"/>
        <w:ind w:left="426"/>
        <w:jc w:val="center"/>
        <w:rPr>
          <w:sz w:val="28"/>
          <w:szCs w:val="28"/>
        </w:rPr>
      </w:pPr>
      <w:r>
        <w:rPr>
          <w:sz w:val="28"/>
          <w:szCs w:val="28"/>
        </w:rPr>
        <w:t>Учебная литература:</w:t>
      </w:r>
    </w:p>
    <w:p w:rsidR="007C7467" w:rsidRPr="00EE59DE" w:rsidRDefault="007C7467" w:rsidP="00C7698B">
      <w:pPr>
        <w:pStyle w:val="a5"/>
        <w:numPr>
          <w:ilvl w:val="0"/>
          <w:numId w:val="5"/>
        </w:numPr>
        <w:spacing w:before="0" w:beforeAutospacing="0" w:after="0" w:afterAutospacing="0" w:line="360" w:lineRule="auto"/>
        <w:ind w:left="426"/>
        <w:contextualSpacing/>
        <w:jc w:val="both"/>
        <w:rPr>
          <w:sz w:val="28"/>
          <w:szCs w:val="28"/>
        </w:rPr>
      </w:pPr>
      <w:r w:rsidRPr="00EE59DE">
        <w:rPr>
          <w:sz w:val="28"/>
          <w:szCs w:val="28"/>
        </w:rPr>
        <w:t>Банковский надзор. Европейский опыт и российская практика / Под ред. Микаэла Олсена. -  М.: ООО Издательско – Консалтинговая Компания ''Дека'', 2015. – 356 с.</w:t>
      </w:r>
    </w:p>
    <w:p w:rsidR="007C7467" w:rsidRPr="00EE59DE" w:rsidRDefault="007C7467" w:rsidP="00C7698B">
      <w:pPr>
        <w:pStyle w:val="a5"/>
        <w:numPr>
          <w:ilvl w:val="0"/>
          <w:numId w:val="5"/>
        </w:numPr>
        <w:spacing w:before="0" w:beforeAutospacing="0" w:after="0" w:afterAutospacing="0" w:line="360" w:lineRule="auto"/>
        <w:ind w:left="426"/>
        <w:contextualSpacing/>
        <w:jc w:val="both"/>
        <w:rPr>
          <w:sz w:val="28"/>
          <w:szCs w:val="28"/>
        </w:rPr>
      </w:pPr>
      <w:r w:rsidRPr="00EE59DE">
        <w:rPr>
          <w:sz w:val="28"/>
          <w:szCs w:val="28"/>
        </w:rPr>
        <w:t xml:space="preserve">Банковское дело: современная система кредитования / Под ред. засл. деят. Науки РФ, д-ра экон. наук, проф. Лаврушина О.И. – 2-е изд. – М.: КНОРУС, 2016. – 256 с. </w:t>
      </w:r>
    </w:p>
    <w:p w:rsidR="007C7467" w:rsidRDefault="007C7467" w:rsidP="00C7698B">
      <w:pPr>
        <w:pStyle w:val="a5"/>
        <w:numPr>
          <w:ilvl w:val="0"/>
          <w:numId w:val="5"/>
        </w:numPr>
        <w:spacing w:before="0" w:beforeAutospacing="0" w:after="0" w:afterAutospacing="0" w:line="360" w:lineRule="auto"/>
        <w:ind w:left="426"/>
        <w:contextualSpacing/>
        <w:jc w:val="both"/>
        <w:rPr>
          <w:sz w:val="28"/>
          <w:szCs w:val="28"/>
        </w:rPr>
      </w:pPr>
      <w:r w:rsidRPr="00EE59DE">
        <w:rPr>
          <w:sz w:val="28"/>
          <w:szCs w:val="28"/>
        </w:rPr>
        <w:t xml:space="preserve">Банковское дело / Под ред. Жукова Е.Ф., Эрнашвили Н.Д. – М.: ЮНИТИ-ДАНА: Единство, 2016. – 575 с. </w:t>
      </w:r>
    </w:p>
    <w:p w:rsidR="007C7467" w:rsidRPr="00EE59DE" w:rsidRDefault="007C7467" w:rsidP="00C7698B">
      <w:pPr>
        <w:pStyle w:val="a5"/>
        <w:numPr>
          <w:ilvl w:val="0"/>
          <w:numId w:val="5"/>
        </w:numPr>
        <w:spacing w:before="0" w:beforeAutospacing="0" w:after="200" w:afterAutospacing="0" w:line="360" w:lineRule="auto"/>
        <w:ind w:left="426"/>
        <w:contextualSpacing/>
        <w:jc w:val="both"/>
        <w:rPr>
          <w:sz w:val="28"/>
          <w:szCs w:val="28"/>
        </w:rPr>
      </w:pPr>
      <w:r w:rsidRPr="00EE59DE">
        <w:rPr>
          <w:sz w:val="28"/>
          <w:szCs w:val="28"/>
        </w:rPr>
        <w:t>Мельников А. Характеристика банковской системы России -</w:t>
      </w:r>
      <w:r>
        <w:rPr>
          <w:sz w:val="28"/>
          <w:szCs w:val="28"/>
        </w:rPr>
        <w:t xml:space="preserve"> </w:t>
      </w:r>
      <w:r w:rsidRPr="00EE59DE">
        <w:rPr>
          <w:sz w:val="28"/>
          <w:szCs w:val="28"/>
        </w:rPr>
        <w:t>Лаборатория книги, 2015.</w:t>
      </w:r>
      <w:r>
        <w:rPr>
          <w:sz w:val="28"/>
          <w:szCs w:val="28"/>
        </w:rPr>
        <w:t xml:space="preserve"> – 250 с.</w:t>
      </w:r>
    </w:p>
    <w:p w:rsidR="007C7467" w:rsidRPr="00EE59DE" w:rsidRDefault="007C7467" w:rsidP="00C7698B">
      <w:pPr>
        <w:pStyle w:val="a5"/>
        <w:numPr>
          <w:ilvl w:val="0"/>
          <w:numId w:val="5"/>
        </w:numPr>
        <w:spacing w:before="0" w:beforeAutospacing="0" w:after="200" w:afterAutospacing="0" w:line="360" w:lineRule="auto"/>
        <w:ind w:left="426"/>
        <w:contextualSpacing/>
        <w:jc w:val="both"/>
        <w:rPr>
          <w:sz w:val="28"/>
          <w:szCs w:val="28"/>
        </w:rPr>
      </w:pPr>
      <w:r w:rsidRPr="00EE59DE">
        <w:rPr>
          <w:sz w:val="28"/>
          <w:szCs w:val="28"/>
        </w:rPr>
        <w:t xml:space="preserve">Организация деятельности Центрального банка/Фетисов Г.Г., Лаврушин О.И., Мамонова И.Д.; под общ. ред. Фетисова Г.Г. – 2-е изд., стер. – М.:КНОРУС, 2015. – 432 с. </w:t>
      </w:r>
    </w:p>
    <w:p w:rsidR="00C7698B" w:rsidRDefault="00C7698B" w:rsidP="00C7698B">
      <w:pPr>
        <w:pStyle w:val="a5"/>
        <w:spacing w:before="0" w:beforeAutospacing="0" w:after="0" w:afterAutospacing="0" w:line="360" w:lineRule="auto"/>
        <w:ind w:left="426"/>
        <w:contextualSpacing/>
        <w:jc w:val="center"/>
        <w:rPr>
          <w:sz w:val="28"/>
          <w:szCs w:val="28"/>
        </w:rPr>
      </w:pPr>
    </w:p>
    <w:p w:rsidR="007C7467" w:rsidRPr="00EE59DE" w:rsidRDefault="007C7467" w:rsidP="00C7698B">
      <w:pPr>
        <w:pStyle w:val="a5"/>
        <w:spacing w:before="0" w:beforeAutospacing="0" w:after="0" w:afterAutospacing="0" w:line="360" w:lineRule="auto"/>
        <w:ind w:left="426"/>
        <w:contextualSpacing/>
        <w:jc w:val="center"/>
        <w:rPr>
          <w:sz w:val="28"/>
          <w:szCs w:val="28"/>
        </w:rPr>
      </w:pPr>
      <w:r>
        <w:rPr>
          <w:sz w:val="28"/>
          <w:szCs w:val="28"/>
        </w:rPr>
        <w:lastRenderedPageBreak/>
        <w:t>Периодические издания</w:t>
      </w:r>
    </w:p>
    <w:p w:rsidR="007C7467" w:rsidRPr="007C7467" w:rsidRDefault="007C7467" w:rsidP="00C7698B">
      <w:pPr>
        <w:pStyle w:val="a5"/>
        <w:numPr>
          <w:ilvl w:val="0"/>
          <w:numId w:val="5"/>
        </w:numPr>
        <w:spacing w:before="0" w:beforeAutospacing="0" w:after="0" w:afterAutospacing="0" w:line="360" w:lineRule="auto"/>
        <w:ind w:left="426"/>
        <w:jc w:val="both"/>
        <w:rPr>
          <w:sz w:val="28"/>
          <w:szCs w:val="28"/>
        </w:rPr>
      </w:pPr>
      <w:r w:rsidRPr="007C7467">
        <w:rPr>
          <w:sz w:val="28"/>
          <w:szCs w:val="28"/>
        </w:rPr>
        <w:t>Мифтахов А.И. Особенности распределения государственной поддержки банковского сектора РФ в условиях неустойчивости внешней среды // Экономика и современный менеджмент: теория и практика: сб. ст. по матер. LIV-LVLIV-LV междунар. науч.-практ. конф. № 10-11(53). Часть I. – Новосибирск: СибАК, 2015.</w:t>
      </w:r>
    </w:p>
    <w:p w:rsidR="007C7467" w:rsidRPr="00EE59DE" w:rsidRDefault="007C7467" w:rsidP="00C7698B">
      <w:pPr>
        <w:pStyle w:val="a5"/>
        <w:numPr>
          <w:ilvl w:val="0"/>
          <w:numId w:val="5"/>
        </w:numPr>
        <w:spacing w:before="0" w:beforeAutospacing="0" w:after="0" w:afterAutospacing="0" w:line="360" w:lineRule="auto"/>
        <w:ind w:left="426"/>
        <w:contextualSpacing/>
        <w:jc w:val="both"/>
        <w:rPr>
          <w:sz w:val="28"/>
          <w:szCs w:val="28"/>
        </w:rPr>
      </w:pPr>
      <w:r w:rsidRPr="00EE59DE">
        <w:rPr>
          <w:sz w:val="28"/>
          <w:szCs w:val="28"/>
        </w:rPr>
        <w:t xml:space="preserve">Рапопорт А. Л. Стратегия развития национальной банковской системы: тенденции современного этапа // Финансы и кредит, </w:t>
      </w:r>
      <w:r>
        <w:rPr>
          <w:sz w:val="28"/>
          <w:szCs w:val="28"/>
        </w:rPr>
        <w:t>2017</w:t>
      </w:r>
      <w:r w:rsidRPr="00EE59DE">
        <w:rPr>
          <w:sz w:val="28"/>
          <w:szCs w:val="28"/>
        </w:rPr>
        <w:t>. - № 40. - С. 92-96.</w:t>
      </w:r>
    </w:p>
    <w:p w:rsidR="007C7467" w:rsidRPr="00EE59DE" w:rsidRDefault="007C7467" w:rsidP="00C7698B">
      <w:pPr>
        <w:pStyle w:val="a5"/>
        <w:numPr>
          <w:ilvl w:val="0"/>
          <w:numId w:val="5"/>
        </w:numPr>
        <w:spacing w:before="0" w:beforeAutospacing="0" w:after="0" w:afterAutospacing="0" w:line="360" w:lineRule="auto"/>
        <w:ind w:left="426"/>
        <w:contextualSpacing/>
        <w:jc w:val="both"/>
        <w:rPr>
          <w:sz w:val="28"/>
          <w:szCs w:val="28"/>
        </w:rPr>
      </w:pPr>
      <w:r w:rsidRPr="00EE59DE">
        <w:rPr>
          <w:sz w:val="28"/>
          <w:szCs w:val="28"/>
        </w:rPr>
        <w:t>Рыкова И. Н. Банковская система России на выходе из кризиса: первоочередные задачи / Финансы и кредит, 2015. - № 32. - С. 2-15.</w:t>
      </w:r>
    </w:p>
    <w:p w:rsidR="007C7467" w:rsidRPr="00EE59DE" w:rsidRDefault="007C7467" w:rsidP="00C7698B">
      <w:pPr>
        <w:pStyle w:val="a5"/>
        <w:numPr>
          <w:ilvl w:val="0"/>
          <w:numId w:val="5"/>
        </w:numPr>
        <w:spacing w:before="0" w:beforeAutospacing="0" w:after="0" w:afterAutospacing="0" w:line="360" w:lineRule="auto"/>
        <w:ind w:left="426"/>
        <w:contextualSpacing/>
        <w:jc w:val="both"/>
        <w:rPr>
          <w:sz w:val="28"/>
          <w:szCs w:val="28"/>
        </w:rPr>
      </w:pPr>
      <w:r w:rsidRPr="00EE59DE">
        <w:rPr>
          <w:sz w:val="28"/>
          <w:szCs w:val="28"/>
        </w:rPr>
        <w:t xml:space="preserve">Сменковский В. Н. О роли банковской системы в обеспечении экономического роста  // Деньги и кредит. - № 8. - </w:t>
      </w:r>
      <w:r>
        <w:rPr>
          <w:sz w:val="28"/>
          <w:szCs w:val="28"/>
        </w:rPr>
        <w:t>2016</w:t>
      </w:r>
      <w:r w:rsidRPr="00EE59DE">
        <w:rPr>
          <w:sz w:val="28"/>
          <w:szCs w:val="28"/>
        </w:rPr>
        <w:t>. С. 13-17</w:t>
      </w:r>
    </w:p>
    <w:p w:rsidR="007C7467" w:rsidRPr="00EE59DE" w:rsidRDefault="007C7467" w:rsidP="00C7698B">
      <w:pPr>
        <w:pStyle w:val="a5"/>
        <w:numPr>
          <w:ilvl w:val="0"/>
          <w:numId w:val="5"/>
        </w:numPr>
        <w:spacing w:before="0" w:beforeAutospacing="0" w:after="0" w:afterAutospacing="0" w:line="360" w:lineRule="auto"/>
        <w:ind w:left="426"/>
        <w:contextualSpacing/>
        <w:jc w:val="both"/>
        <w:rPr>
          <w:sz w:val="28"/>
          <w:szCs w:val="28"/>
        </w:rPr>
      </w:pPr>
      <w:r w:rsidRPr="00EE59DE">
        <w:rPr>
          <w:sz w:val="28"/>
          <w:szCs w:val="28"/>
        </w:rPr>
        <w:t>Солнцев, О. Г., Хромов, М. Ю. Особенности российской банковской системы и среднесрочные сценарии ее развития /</w:t>
      </w:r>
      <w:r>
        <w:rPr>
          <w:sz w:val="28"/>
          <w:szCs w:val="28"/>
        </w:rPr>
        <w:t>/</w:t>
      </w:r>
      <w:r w:rsidRPr="00EE59DE">
        <w:rPr>
          <w:sz w:val="28"/>
          <w:szCs w:val="28"/>
        </w:rPr>
        <w:t xml:space="preserve"> Проблемы прогнозирования 2014. - № 1. – С. 25-29</w:t>
      </w:r>
    </w:p>
    <w:p w:rsidR="007C7467" w:rsidRDefault="007C7467" w:rsidP="00C7698B">
      <w:pPr>
        <w:pStyle w:val="a5"/>
        <w:numPr>
          <w:ilvl w:val="0"/>
          <w:numId w:val="5"/>
        </w:numPr>
        <w:spacing w:before="0" w:beforeAutospacing="0" w:after="0" w:afterAutospacing="0" w:line="360" w:lineRule="auto"/>
        <w:ind w:left="426"/>
        <w:contextualSpacing/>
        <w:jc w:val="both"/>
        <w:rPr>
          <w:bCs/>
          <w:color w:val="000000" w:themeColor="text1"/>
          <w:sz w:val="28"/>
          <w:szCs w:val="28"/>
        </w:rPr>
      </w:pPr>
      <w:r>
        <w:rPr>
          <w:bCs/>
          <w:color w:val="000000" w:themeColor="text1"/>
          <w:sz w:val="28"/>
          <w:szCs w:val="28"/>
        </w:rPr>
        <w:t xml:space="preserve">Шушакова А. А. </w:t>
      </w:r>
      <w:r w:rsidRPr="00AB66B1">
        <w:rPr>
          <w:bCs/>
          <w:color w:val="000000" w:themeColor="text1"/>
          <w:sz w:val="28"/>
          <w:szCs w:val="28"/>
        </w:rPr>
        <w:t>Особенности развития современной банковской системы России</w:t>
      </w:r>
      <w:r>
        <w:rPr>
          <w:bCs/>
          <w:color w:val="000000" w:themeColor="text1"/>
          <w:sz w:val="28"/>
          <w:szCs w:val="28"/>
        </w:rPr>
        <w:t xml:space="preserve"> / К. Н. Дегтеренко</w:t>
      </w:r>
      <w:r w:rsidRPr="00040CC7">
        <w:rPr>
          <w:bCs/>
          <w:color w:val="000000" w:themeColor="text1"/>
          <w:sz w:val="28"/>
          <w:szCs w:val="28"/>
        </w:rPr>
        <w:t xml:space="preserve"> </w:t>
      </w:r>
      <w:r w:rsidRPr="00AB66B1">
        <w:rPr>
          <w:bCs/>
          <w:color w:val="000000" w:themeColor="text1"/>
          <w:sz w:val="28"/>
          <w:szCs w:val="28"/>
        </w:rPr>
        <w:t>// Мол</w:t>
      </w:r>
      <w:r>
        <w:rPr>
          <w:bCs/>
          <w:color w:val="000000" w:themeColor="text1"/>
          <w:sz w:val="28"/>
          <w:szCs w:val="28"/>
        </w:rPr>
        <w:t xml:space="preserve">одой ученый. - 2016. - №3. - </w:t>
      </w:r>
      <w:r w:rsidRPr="00AB66B1">
        <w:rPr>
          <w:bCs/>
          <w:color w:val="000000" w:themeColor="text1"/>
          <w:sz w:val="28"/>
          <w:szCs w:val="28"/>
        </w:rPr>
        <w:t>655-657</w:t>
      </w:r>
      <w:r>
        <w:rPr>
          <w:bCs/>
          <w:color w:val="000000" w:themeColor="text1"/>
          <w:sz w:val="28"/>
          <w:szCs w:val="28"/>
        </w:rPr>
        <w:t xml:space="preserve"> с</w:t>
      </w:r>
      <w:r w:rsidRPr="00AB66B1">
        <w:rPr>
          <w:bCs/>
          <w:color w:val="000000" w:themeColor="text1"/>
          <w:sz w:val="28"/>
          <w:szCs w:val="28"/>
        </w:rPr>
        <w:t>.</w:t>
      </w:r>
    </w:p>
    <w:p w:rsidR="007C7467" w:rsidRDefault="007C7467" w:rsidP="00C7698B">
      <w:pPr>
        <w:pStyle w:val="a5"/>
        <w:spacing w:before="0" w:beforeAutospacing="0" w:after="0" w:afterAutospacing="0" w:line="360" w:lineRule="auto"/>
        <w:ind w:left="426"/>
        <w:contextualSpacing/>
        <w:jc w:val="center"/>
        <w:rPr>
          <w:bCs/>
          <w:color w:val="000000" w:themeColor="text1"/>
          <w:sz w:val="28"/>
          <w:szCs w:val="28"/>
        </w:rPr>
      </w:pPr>
      <w:r>
        <w:rPr>
          <w:bCs/>
          <w:color w:val="000000" w:themeColor="text1"/>
          <w:sz w:val="28"/>
          <w:szCs w:val="28"/>
        </w:rPr>
        <w:t>Интернет источники:</w:t>
      </w:r>
    </w:p>
    <w:p w:rsidR="004907F6" w:rsidRPr="007C7467" w:rsidRDefault="004907F6" w:rsidP="00C7698B">
      <w:pPr>
        <w:pStyle w:val="a5"/>
        <w:numPr>
          <w:ilvl w:val="0"/>
          <w:numId w:val="5"/>
        </w:numPr>
        <w:spacing w:before="0" w:beforeAutospacing="0" w:after="0" w:afterAutospacing="0" w:line="360" w:lineRule="auto"/>
        <w:ind w:left="426"/>
        <w:jc w:val="both"/>
        <w:rPr>
          <w:sz w:val="28"/>
          <w:szCs w:val="28"/>
        </w:rPr>
      </w:pPr>
      <w:r w:rsidRPr="007C7467">
        <w:rPr>
          <w:sz w:val="28"/>
          <w:szCs w:val="28"/>
        </w:rPr>
        <w:t xml:space="preserve">Рейтинг  банков  по  собственному  капиталу  //  РБК  Рейтинг  [Электронный  ресурс]  –  Режим  доступа.  –  URL:  </w:t>
      </w:r>
      <w:hyperlink r:id="rId9" w:history="1">
        <w:r w:rsidRPr="007C7467">
          <w:rPr>
            <w:rStyle w:val="a4"/>
            <w:sz w:val="28"/>
            <w:szCs w:val="28"/>
          </w:rPr>
          <w:t>http://rating.rbc.ru/articles/2009/06/04/32457573_tbl.shtml?2009/06/04/3...</w:t>
        </w:r>
      </w:hyperlink>
      <w:r w:rsidRPr="007C7467">
        <w:rPr>
          <w:sz w:val="28"/>
          <w:szCs w:val="28"/>
        </w:rPr>
        <w:t xml:space="preserve"> (дата  обращения:  27.09.2015).</w:t>
      </w:r>
    </w:p>
    <w:p w:rsidR="004907F6" w:rsidRPr="007C7467" w:rsidRDefault="004907F6" w:rsidP="00C7698B">
      <w:pPr>
        <w:pStyle w:val="a5"/>
        <w:numPr>
          <w:ilvl w:val="0"/>
          <w:numId w:val="5"/>
        </w:numPr>
        <w:spacing w:before="0" w:beforeAutospacing="0" w:after="0" w:afterAutospacing="0" w:line="360" w:lineRule="auto"/>
        <w:ind w:left="426"/>
        <w:jc w:val="both"/>
        <w:rPr>
          <w:sz w:val="28"/>
          <w:szCs w:val="28"/>
        </w:rPr>
      </w:pPr>
      <w:r w:rsidRPr="007C7467">
        <w:rPr>
          <w:sz w:val="28"/>
          <w:szCs w:val="28"/>
        </w:rPr>
        <w:t xml:space="preserve">S&amp;P:  Господдержка  банков  России  превысила  2,5  трлн.  рублей  //  Электронное  периодическое  издание  </w:t>
      </w:r>
      <w:r w:rsidR="000F6FF3">
        <w:rPr>
          <w:sz w:val="28"/>
          <w:szCs w:val="28"/>
        </w:rPr>
        <w:t>«</w:t>
      </w:r>
      <w:r w:rsidRPr="007C7467">
        <w:rPr>
          <w:sz w:val="28"/>
          <w:szCs w:val="28"/>
        </w:rPr>
        <w:t>Ведомости</w:t>
      </w:r>
      <w:r w:rsidR="000F6FF3">
        <w:rPr>
          <w:sz w:val="28"/>
          <w:szCs w:val="28"/>
        </w:rPr>
        <w:t>»</w:t>
      </w:r>
      <w:r w:rsidRPr="007C7467">
        <w:rPr>
          <w:sz w:val="28"/>
          <w:szCs w:val="28"/>
        </w:rPr>
        <w:t xml:space="preserve">  (Vedomosti)  [Электронный  ресурс]  –  Режим  доступа.  –  URL:  </w:t>
      </w:r>
      <w:hyperlink r:id="rId10" w:history="1">
        <w:r w:rsidRPr="007C7467">
          <w:rPr>
            <w:rStyle w:val="a4"/>
            <w:sz w:val="28"/>
            <w:szCs w:val="28"/>
          </w:rPr>
          <w:t>http://www.vedomosti.ru/economics/news/2015/09/16/608990-gospodderzhka-b...</w:t>
        </w:r>
      </w:hyperlink>
      <w:r w:rsidRPr="007C7467">
        <w:rPr>
          <w:sz w:val="28"/>
          <w:szCs w:val="28"/>
        </w:rPr>
        <w:t xml:space="preserve"> (дата  обращения:  10.10.2015). </w:t>
      </w:r>
    </w:p>
    <w:p w:rsidR="004907F6" w:rsidRPr="00AE6597" w:rsidRDefault="004907F6" w:rsidP="007C7467">
      <w:pPr>
        <w:spacing w:after="0" w:line="360" w:lineRule="auto"/>
        <w:ind w:firstLine="709"/>
        <w:jc w:val="both"/>
        <w:rPr>
          <w:rFonts w:ascii="Times New Roman" w:hAnsi="Times New Roman" w:cs="Times New Roman"/>
          <w:sz w:val="28"/>
          <w:szCs w:val="28"/>
        </w:rPr>
      </w:pPr>
    </w:p>
    <w:p w:rsidR="004907F6" w:rsidRPr="00AE6597" w:rsidRDefault="004907F6" w:rsidP="007C7467">
      <w:pPr>
        <w:spacing w:after="0" w:line="360" w:lineRule="auto"/>
        <w:ind w:firstLine="709"/>
        <w:jc w:val="both"/>
        <w:rPr>
          <w:rFonts w:ascii="Times New Roman" w:hAnsi="Times New Roman" w:cs="Times New Roman"/>
          <w:sz w:val="28"/>
          <w:szCs w:val="28"/>
        </w:rPr>
      </w:pPr>
    </w:p>
    <w:sectPr w:rsidR="004907F6" w:rsidRPr="00AE6597" w:rsidSect="00406FF9">
      <w:footerReference w:type="default" r:id="rId11"/>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4A64" w:rsidRDefault="000A4A64" w:rsidP="00406FF9">
      <w:pPr>
        <w:spacing w:after="0" w:line="240" w:lineRule="auto"/>
      </w:pPr>
      <w:r>
        <w:separator/>
      </w:r>
    </w:p>
  </w:endnote>
  <w:endnote w:type="continuationSeparator" w:id="1">
    <w:p w:rsidR="000A4A64" w:rsidRDefault="000A4A64" w:rsidP="00406F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60547"/>
      <w:docPartObj>
        <w:docPartGallery w:val="Page Numbers (Bottom of Page)"/>
        <w:docPartUnique/>
      </w:docPartObj>
    </w:sdtPr>
    <w:sdtContent>
      <w:p w:rsidR="00406FF9" w:rsidRDefault="003F390B">
        <w:pPr>
          <w:pStyle w:val="ac"/>
          <w:jc w:val="center"/>
        </w:pPr>
        <w:fldSimple w:instr=" PAGE   \* MERGEFORMAT ">
          <w:r w:rsidR="00077A59">
            <w:rPr>
              <w:noProof/>
            </w:rPr>
            <w:t>14</w:t>
          </w:r>
        </w:fldSimple>
      </w:p>
    </w:sdtContent>
  </w:sdt>
  <w:p w:rsidR="00406FF9" w:rsidRDefault="00406FF9">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4A64" w:rsidRDefault="000A4A64" w:rsidP="00406FF9">
      <w:pPr>
        <w:spacing w:after="0" w:line="240" w:lineRule="auto"/>
      </w:pPr>
      <w:r>
        <w:separator/>
      </w:r>
    </w:p>
  </w:footnote>
  <w:footnote w:type="continuationSeparator" w:id="1">
    <w:p w:rsidR="000A4A64" w:rsidRDefault="000A4A64" w:rsidP="00406FF9">
      <w:pPr>
        <w:spacing w:after="0" w:line="240" w:lineRule="auto"/>
      </w:pPr>
      <w:r>
        <w:continuationSeparator/>
      </w:r>
    </w:p>
  </w:footnote>
  <w:footnote w:id="2">
    <w:p w:rsidR="00C7698B" w:rsidRPr="00C7698B" w:rsidRDefault="00C7698B" w:rsidP="00C7698B">
      <w:pPr>
        <w:spacing w:after="0" w:line="240" w:lineRule="auto"/>
        <w:contextualSpacing/>
        <w:jc w:val="both"/>
        <w:rPr>
          <w:rFonts w:ascii="Times New Roman" w:hAnsi="Times New Roman" w:cs="Times New Roman"/>
          <w:sz w:val="24"/>
          <w:szCs w:val="24"/>
        </w:rPr>
      </w:pPr>
      <w:r>
        <w:rPr>
          <w:rStyle w:val="af0"/>
        </w:rPr>
        <w:footnoteRef/>
      </w:r>
      <w:r>
        <w:t xml:space="preserve"> </w:t>
      </w:r>
      <w:r w:rsidRPr="00CB3BA5">
        <w:rPr>
          <w:rFonts w:ascii="Times New Roman" w:hAnsi="Times New Roman" w:cs="Times New Roman"/>
          <w:sz w:val="24"/>
          <w:szCs w:val="24"/>
        </w:rPr>
        <w:t>Рыкова И. Н. Банковская система России на выходе из кризиса: первоочередные задачи / Финансы и кредит, 2015. - № 32. - С. 2-15.</w:t>
      </w:r>
    </w:p>
  </w:footnote>
  <w:footnote w:id="3">
    <w:p w:rsidR="00C7698B" w:rsidRPr="00C7698B" w:rsidRDefault="00C7698B" w:rsidP="00C7698B">
      <w:pPr>
        <w:spacing w:line="240" w:lineRule="auto"/>
        <w:contextualSpacing/>
        <w:jc w:val="both"/>
        <w:rPr>
          <w:rFonts w:ascii="Times New Roman" w:hAnsi="Times New Roman" w:cs="Times New Roman"/>
          <w:sz w:val="24"/>
          <w:szCs w:val="24"/>
        </w:rPr>
      </w:pPr>
      <w:r>
        <w:rPr>
          <w:rStyle w:val="af0"/>
        </w:rPr>
        <w:footnoteRef/>
      </w:r>
      <w:r>
        <w:t xml:space="preserve"> </w:t>
      </w:r>
      <w:r w:rsidRPr="00CB3BA5">
        <w:rPr>
          <w:rFonts w:ascii="Times New Roman" w:hAnsi="Times New Roman" w:cs="Times New Roman"/>
          <w:sz w:val="24"/>
          <w:szCs w:val="24"/>
        </w:rPr>
        <w:t>Мельников А. Характеристика банковской системы России - Лаборатория книги, 2015. – 250 с.</w:t>
      </w:r>
    </w:p>
  </w:footnote>
  <w:footnote w:id="4">
    <w:p w:rsidR="00C7698B" w:rsidRPr="00C7698B" w:rsidRDefault="00C7698B" w:rsidP="00C7698B">
      <w:pPr>
        <w:spacing w:after="0" w:line="240" w:lineRule="auto"/>
        <w:contextualSpacing/>
        <w:jc w:val="both"/>
        <w:rPr>
          <w:rFonts w:ascii="Times New Roman" w:hAnsi="Times New Roman" w:cs="Times New Roman"/>
          <w:bCs/>
          <w:color w:val="000000" w:themeColor="text1"/>
          <w:sz w:val="24"/>
          <w:szCs w:val="24"/>
        </w:rPr>
      </w:pPr>
      <w:r>
        <w:rPr>
          <w:rStyle w:val="af0"/>
        </w:rPr>
        <w:footnoteRef/>
      </w:r>
      <w:r>
        <w:t xml:space="preserve"> </w:t>
      </w:r>
      <w:r w:rsidRPr="00CB3BA5">
        <w:rPr>
          <w:rFonts w:ascii="Times New Roman" w:hAnsi="Times New Roman" w:cs="Times New Roman"/>
          <w:bCs/>
          <w:color w:val="000000" w:themeColor="text1"/>
          <w:sz w:val="24"/>
          <w:szCs w:val="24"/>
        </w:rPr>
        <w:t>Шушакова А. А. Особенности развития современной банковской системы России / К. Н. Дегтеренко // Молодой ученый. - 2016. - №3. - 655-657 с.</w:t>
      </w:r>
    </w:p>
  </w:footnote>
  <w:footnote w:id="5">
    <w:p w:rsidR="00C7698B" w:rsidRPr="00C7698B" w:rsidRDefault="00C7698B" w:rsidP="00C7698B">
      <w:pPr>
        <w:spacing w:after="0" w:line="240" w:lineRule="auto"/>
        <w:jc w:val="both"/>
        <w:rPr>
          <w:rFonts w:ascii="Times New Roman" w:hAnsi="Times New Roman" w:cs="Times New Roman"/>
          <w:sz w:val="24"/>
          <w:szCs w:val="24"/>
        </w:rPr>
      </w:pPr>
      <w:r>
        <w:rPr>
          <w:rStyle w:val="af0"/>
        </w:rPr>
        <w:footnoteRef/>
      </w:r>
      <w:r>
        <w:t xml:space="preserve"> </w:t>
      </w:r>
      <w:r w:rsidRPr="00CB3BA5">
        <w:rPr>
          <w:rFonts w:ascii="Times New Roman" w:hAnsi="Times New Roman" w:cs="Times New Roman"/>
          <w:sz w:val="24"/>
          <w:szCs w:val="24"/>
        </w:rPr>
        <w:t xml:space="preserve">S&amp;P:  Господдержка  банков  России  превысила  2,5  трлн.  рублей  //  Электронное  периодическое  издание  «Ведомости»  (Vedomosti)  [Электронный  ресурс]  –  Режим  доступа.  –  URL:  </w:t>
      </w:r>
      <w:hyperlink r:id="rId1" w:history="1">
        <w:r w:rsidRPr="00CB3BA5">
          <w:rPr>
            <w:rStyle w:val="a4"/>
            <w:rFonts w:ascii="Times New Roman" w:hAnsi="Times New Roman" w:cs="Times New Roman"/>
            <w:sz w:val="24"/>
            <w:szCs w:val="24"/>
          </w:rPr>
          <w:t>http://www.vedomosti.ru/economics/news/2015/09/16/608990-gospodderzhka-b...</w:t>
        </w:r>
      </w:hyperlink>
      <w:r w:rsidRPr="00CB3BA5">
        <w:rPr>
          <w:rFonts w:ascii="Times New Roman" w:hAnsi="Times New Roman" w:cs="Times New Roman"/>
          <w:sz w:val="24"/>
          <w:szCs w:val="24"/>
        </w:rPr>
        <w:t xml:space="preserve"> (дата  обращения:  10.10.2015). </w:t>
      </w:r>
    </w:p>
  </w:footnote>
  <w:footnote w:id="6">
    <w:p w:rsidR="00C7698B" w:rsidRPr="00C7698B" w:rsidRDefault="00C7698B" w:rsidP="00C7698B">
      <w:pPr>
        <w:spacing w:after="0" w:line="240" w:lineRule="auto"/>
        <w:contextualSpacing/>
        <w:jc w:val="both"/>
        <w:rPr>
          <w:rFonts w:ascii="Times New Roman" w:hAnsi="Times New Roman" w:cs="Times New Roman"/>
          <w:sz w:val="24"/>
          <w:szCs w:val="24"/>
        </w:rPr>
      </w:pPr>
      <w:r>
        <w:rPr>
          <w:rStyle w:val="af0"/>
        </w:rPr>
        <w:footnoteRef/>
      </w:r>
      <w:r>
        <w:t xml:space="preserve"> </w:t>
      </w:r>
      <w:r w:rsidRPr="00CB3BA5">
        <w:rPr>
          <w:rFonts w:ascii="Times New Roman" w:hAnsi="Times New Roman" w:cs="Times New Roman"/>
          <w:sz w:val="24"/>
          <w:szCs w:val="24"/>
        </w:rPr>
        <w:t xml:space="preserve">Банковское дело / Под ред. Жукова Е.Ф., Эрнашвили Н.Д. – М.: ЮНИТИ-ДАНА: Единство, 2016. – 575 с. </w:t>
      </w:r>
    </w:p>
  </w:footnote>
  <w:footnote w:id="7">
    <w:p w:rsidR="00C7698B" w:rsidRPr="00C7698B" w:rsidRDefault="00C7698B" w:rsidP="00C7698B">
      <w:pPr>
        <w:spacing w:after="0" w:line="240" w:lineRule="auto"/>
        <w:contextualSpacing/>
        <w:jc w:val="both"/>
        <w:rPr>
          <w:rFonts w:ascii="Times New Roman" w:hAnsi="Times New Roman" w:cs="Times New Roman"/>
          <w:sz w:val="24"/>
          <w:szCs w:val="24"/>
        </w:rPr>
      </w:pPr>
      <w:r>
        <w:rPr>
          <w:rStyle w:val="af0"/>
        </w:rPr>
        <w:footnoteRef/>
      </w:r>
      <w:r>
        <w:t xml:space="preserve"> </w:t>
      </w:r>
      <w:r w:rsidRPr="00CB3BA5">
        <w:rPr>
          <w:rFonts w:ascii="Times New Roman" w:hAnsi="Times New Roman" w:cs="Times New Roman"/>
          <w:sz w:val="24"/>
          <w:szCs w:val="24"/>
        </w:rPr>
        <w:t>Рапопорт А. Л. Стратегия развития национальной банковской системы: тенденции современного этапа // Финансы и кредит, 2017. - № 40. - С. 92-96.</w:t>
      </w:r>
    </w:p>
  </w:footnote>
  <w:footnote w:id="8">
    <w:p w:rsidR="00C7698B" w:rsidRPr="00C7698B" w:rsidRDefault="00C7698B" w:rsidP="00C7698B">
      <w:pPr>
        <w:spacing w:after="0" w:line="240" w:lineRule="auto"/>
        <w:contextualSpacing/>
        <w:jc w:val="both"/>
        <w:rPr>
          <w:rFonts w:ascii="Times New Roman" w:hAnsi="Times New Roman" w:cs="Times New Roman"/>
          <w:sz w:val="24"/>
          <w:szCs w:val="24"/>
        </w:rPr>
      </w:pPr>
      <w:r>
        <w:rPr>
          <w:rStyle w:val="af0"/>
        </w:rPr>
        <w:footnoteRef/>
      </w:r>
      <w:r>
        <w:t xml:space="preserve"> </w:t>
      </w:r>
      <w:r w:rsidRPr="00CB3BA5">
        <w:rPr>
          <w:rFonts w:ascii="Times New Roman" w:hAnsi="Times New Roman" w:cs="Times New Roman"/>
          <w:sz w:val="24"/>
          <w:szCs w:val="24"/>
        </w:rPr>
        <w:t xml:space="preserve">Банковское дело: современная система кредитования / Под ред. засл. деят. Науки РФ, д-ра экон. наук, проф. Лаврушина О.И. – 2-е изд. – М.: КНОРУС, 2016. – 256 с. </w:t>
      </w:r>
    </w:p>
  </w:footnote>
  <w:footnote w:id="9">
    <w:p w:rsidR="00C7698B" w:rsidRPr="00C7698B" w:rsidRDefault="00C7698B" w:rsidP="00C7698B">
      <w:pPr>
        <w:spacing w:after="0" w:line="240" w:lineRule="auto"/>
        <w:jc w:val="both"/>
        <w:rPr>
          <w:rFonts w:ascii="Times New Roman" w:hAnsi="Times New Roman" w:cs="Times New Roman"/>
          <w:sz w:val="24"/>
          <w:szCs w:val="24"/>
        </w:rPr>
      </w:pPr>
      <w:r>
        <w:rPr>
          <w:rStyle w:val="af0"/>
        </w:rPr>
        <w:footnoteRef/>
      </w:r>
      <w:r>
        <w:t xml:space="preserve"> </w:t>
      </w:r>
      <w:r w:rsidRPr="00CB3BA5">
        <w:rPr>
          <w:rFonts w:ascii="Times New Roman" w:hAnsi="Times New Roman" w:cs="Times New Roman"/>
          <w:sz w:val="24"/>
          <w:szCs w:val="24"/>
        </w:rPr>
        <w:t>Мифтахов А.И. Особенности распределения государственной поддержки банковского сектора РФ в условиях неустойчивости внешней среды // Экономика и современный менеджмент: теория и практика: сб. ст. по матер. LIV-LVLIV-LV междунар. науч.-практ. конф. № 10-11(53). Часть I. – Новосибирск: СибАК, 2015.</w:t>
      </w:r>
    </w:p>
  </w:footnote>
  <w:footnote w:id="10">
    <w:p w:rsidR="00C7698B" w:rsidRPr="00C7698B" w:rsidRDefault="00C7698B" w:rsidP="00C7698B">
      <w:pPr>
        <w:spacing w:after="0" w:line="240" w:lineRule="auto"/>
        <w:contextualSpacing/>
        <w:jc w:val="both"/>
        <w:rPr>
          <w:rFonts w:ascii="Times New Roman" w:hAnsi="Times New Roman" w:cs="Times New Roman"/>
          <w:sz w:val="24"/>
          <w:szCs w:val="24"/>
        </w:rPr>
      </w:pPr>
      <w:r>
        <w:rPr>
          <w:rStyle w:val="af0"/>
        </w:rPr>
        <w:footnoteRef/>
      </w:r>
      <w:r>
        <w:t xml:space="preserve"> </w:t>
      </w:r>
      <w:r w:rsidRPr="00CB3BA5">
        <w:rPr>
          <w:rFonts w:ascii="Times New Roman" w:hAnsi="Times New Roman" w:cs="Times New Roman"/>
          <w:sz w:val="24"/>
          <w:szCs w:val="24"/>
        </w:rPr>
        <w:t>Солнцев, О. Г., Хромов, М. Ю. Особенности российской банковской системы и среднесрочные сценарии ее развития // Проблемы прогнозирования 2014. - № 1. – С. 25-29</w:t>
      </w:r>
    </w:p>
  </w:footnote>
  <w:footnote w:id="11">
    <w:p w:rsidR="00C7698B" w:rsidRPr="00C7698B" w:rsidRDefault="00C7698B" w:rsidP="00C7698B">
      <w:pPr>
        <w:spacing w:after="0" w:line="240" w:lineRule="auto"/>
        <w:contextualSpacing/>
        <w:jc w:val="both"/>
        <w:rPr>
          <w:rFonts w:ascii="Times New Roman" w:hAnsi="Times New Roman" w:cs="Times New Roman"/>
          <w:sz w:val="24"/>
          <w:szCs w:val="24"/>
        </w:rPr>
      </w:pPr>
      <w:r>
        <w:rPr>
          <w:rStyle w:val="af0"/>
        </w:rPr>
        <w:footnoteRef/>
      </w:r>
      <w:r>
        <w:t xml:space="preserve"> </w:t>
      </w:r>
      <w:r w:rsidRPr="00CB3BA5">
        <w:rPr>
          <w:rFonts w:ascii="Times New Roman" w:hAnsi="Times New Roman" w:cs="Times New Roman"/>
          <w:sz w:val="24"/>
          <w:szCs w:val="24"/>
        </w:rPr>
        <w:t>Сменковский В. Н. О роли банковской системы в обеспечении экономического роста  // Деньги и кредит. - № 8. - 2016. С. 13-17</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FA117F"/>
    <w:multiLevelType w:val="hybridMultilevel"/>
    <w:tmpl w:val="431CE2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D2C2FDF"/>
    <w:multiLevelType w:val="multilevel"/>
    <w:tmpl w:val="55D40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5C757EC"/>
    <w:multiLevelType w:val="multilevel"/>
    <w:tmpl w:val="3738C3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5FD0267"/>
    <w:multiLevelType w:val="multilevel"/>
    <w:tmpl w:val="8BF47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67F6031"/>
    <w:multiLevelType w:val="multilevel"/>
    <w:tmpl w:val="E304A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4907F6"/>
    <w:rsid w:val="000138EA"/>
    <w:rsid w:val="00077A59"/>
    <w:rsid w:val="000A4A64"/>
    <w:rsid w:val="000F6FF3"/>
    <w:rsid w:val="00101C8A"/>
    <w:rsid w:val="003F390B"/>
    <w:rsid w:val="00406FF9"/>
    <w:rsid w:val="004907F6"/>
    <w:rsid w:val="005256D0"/>
    <w:rsid w:val="006A08B8"/>
    <w:rsid w:val="00791000"/>
    <w:rsid w:val="007C7467"/>
    <w:rsid w:val="00AE6597"/>
    <w:rsid w:val="00BF31E9"/>
    <w:rsid w:val="00C7698B"/>
    <w:rsid w:val="00DB38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38EA"/>
  </w:style>
  <w:style w:type="paragraph" w:styleId="1">
    <w:name w:val="heading 1"/>
    <w:basedOn w:val="a"/>
    <w:next w:val="a"/>
    <w:link w:val="10"/>
    <w:uiPriority w:val="9"/>
    <w:qFormat/>
    <w:rsid w:val="00C7698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DB384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DB384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907F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4907F6"/>
    <w:rPr>
      <w:color w:val="0000FF"/>
      <w:u w:val="single"/>
    </w:rPr>
  </w:style>
  <w:style w:type="paragraph" w:styleId="a5">
    <w:name w:val="List Paragraph"/>
    <w:basedOn w:val="a"/>
    <w:uiPriority w:val="34"/>
    <w:qFormat/>
    <w:rsid w:val="004907F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DB384B"/>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DB384B"/>
    <w:rPr>
      <w:rFonts w:ascii="Times New Roman" w:eastAsia="Times New Roman" w:hAnsi="Times New Roman" w:cs="Times New Roman"/>
      <w:b/>
      <w:bCs/>
      <w:sz w:val="27"/>
      <w:szCs w:val="27"/>
      <w:lang w:eastAsia="ru-RU"/>
    </w:rPr>
  </w:style>
  <w:style w:type="character" w:styleId="a6">
    <w:name w:val="FollowedHyperlink"/>
    <w:basedOn w:val="a0"/>
    <w:uiPriority w:val="99"/>
    <w:semiHidden/>
    <w:unhideWhenUsed/>
    <w:rsid w:val="00DB384B"/>
    <w:rPr>
      <w:color w:val="800080"/>
      <w:u w:val="single"/>
    </w:rPr>
  </w:style>
  <w:style w:type="character" w:styleId="a7">
    <w:name w:val="Strong"/>
    <w:basedOn w:val="a0"/>
    <w:uiPriority w:val="22"/>
    <w:qFormat/>
    <w:rsid w:val="00DB384B"/>
    <w:rPr>
      <w:b/>
      <w:bCs/>
    </w:rPr>
  </w:style>
  <w:style w:type="paragraph" w:styleId="z-">
    <w:name w:val="HTML Top of Form"/>
    <w:basedOn w:val="a"/>
    <w:next w:val="a"/>
    <w:link w:val="z-0"/>
    <w:hidden/>
    <w:uiPriority w:val="99"/>
    <w:semiHidden/>
    <w:unhideWhenUsed/>
    <w:rsid w:val="00DB384B"/>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DB384B"/>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DB384B"/>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DB384B"/>
    <w:rPr>
      <w:rFonts w:ascii="Arial" w:eastAsia="Times New Roman" w:hAnsi="Arial" w:cs="Arial"/>
      <w:vanish/>
      <w:sz w:val="16"/>
      <w:szCs w:val="16"/>
      <w:lang w:eastAsia="ru-RU"/>
    </w:rPr>
  </w:style>
  <w:style w:type="character" w:customStyle="1" w:styleId="ya-share2badge">
    <w:name w:val="ya-share2__badge"/>
    <w:basedOn w:val="a0"/>
    <w:rsid w:val="00DB384B"/>
  </w:style>
  <w:style w:type="character" w:customStyle="1" w:styleId="ya-share2icon">
    <w:name w:val="ya-share2__icon"/>
    <w:basedOn w:val="a0"/>
    <w:rsid w:val="00DB384B"/>
  </w:style>
  <w:style w:type="paragraph" w:styleId="a8">
    <w:name w:val="Balloon Text"/>
    <w:basedOn w:val="a"/>
    <w:link w:val="a9"/>
    <w:uiPriority w:val="99"/>
    <w:semiHidden/>
    <w:unhideWhenUsed/>
    <w:rsid w:val="00DB384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B384B"/>
    <w:rPr>
      <w:rFonts w:ascii="Tahoma" w:hAnsi="Tahoma" w:cs="Tahoma"/>
      <w:sz w:val="16"/>
      <w:szCs w:val="16"/>
    </w:rPr>
  </w:style>
  <w:style w:type="paragraph" w:customStyle="1" w:styleId="active">
    <w:name w:val="active"/>
    <w:basedOn w:val="a"/>
    <w:rsid w:val="00AE65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header"/>
    <w:basedOn w:val="a"/>
    <w:link w:val="ab"/>
    <w:uiPriority w:val="99"/>
    <w:semiHidden/>
    <w:unhideWhenUsed/>
    <w:rsid w:val="00406FF9"/>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406FF9"/>
  </w:style>
  <w:style w:type="paragraph" w:styleId="ac">
    <w:name w:val="footer"/>
    <w:basedOn w:val="a"/>
    <w:link w:val="ad"/>
    <w:uiPriority w:val="99"/>
    <w:unhideWhenUsed/>
    <w:rsid w:val="00406FF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406FF9"/>
  </w:style>
  <w:style w:type="paragraph" w:styleId="ae">
    <w:name w:val="footnote text"/>
    <w:basedOn w:val="a"/>
    <w:link w:val="af"/>
    <w:uiPriority w:val="99"/>
    <w:semiHidden/>
    <w:unhideWhenUsed/>
    <w:rsid w:val="00C7698B"/>
    <w:pPr>
      <w:spacing w:after="0" w:line="240" w:lineRule="auto"/>
    </w:pPr>
    <w:rPr>
      <w:sz w:val="20"/>
      <w:szCs w:val="20"/>
    </w:rPr>
  </w:style>
  <w:style w:type="character" w:customStyle="1" w:styleId="af">
    <w:name w:val="Текст сноски Знак"/>
    <w:basedOn w:val="a0"/>
    <w:link w:val="ae"/>
    <w:uiPriority w:val="99"/>
    <w:semiHidden/>
    <w:rsid w:val="00C7698B"/>
    <w:rPr>
      <w:sz w:val="20"/>
      <w:szCs w:val="20"/>
    </w:rPr>
  </w:style>
  <w:style w:type="character" w:styleId="af0">
    <w:name w:val="footnote reference"/>
    <w:basedOn w:val="a0"/>
    <w:uiPriority w:val="99"/>
    <w:semiHidden/>
    <w:unhideWhenUsed/>
    <w:rsid w:val="00C7698B"/>
    <w:rPr>
      <w:vertAlign w:val="superscript"/>
    </w:rPr>
  </w:style>
  <w:style w:type="character" w:customStyle="1" w:styleId="10">
    <w:name w:val="Заголовок 1 Знак"/>
    <w:basedOn w:val="a0"/>
    <w:link w:val="1"/>
    <w:uiPriority w:val="9"/>
    <w:rsid w:val="00C7698B"/>
    <w:rPr>
      <w:rFonts w:asciiTheme="majorHAnsi" w:eastAsiaTheme="majorEastAsia" w:hAnsiTheme="majorHAnsi" w:cstheme="majorBidi"/>
      <w:b/>
      <w:bCs/>
      <w:color w:val="365F91" w:themeColor="accent1" w:themeShade="BF"/>
      <w:sz w:val="28"/>
      <w:szCs w:val="28"/>
    </w:rPr>
  </w:style>
  <w:style w:type="paragraph" w:styleId="af1">
    <w:name w:val="TOC Heading"/>
    <w:basedOn w:val="1"/>
    <w:next w:val="a"/>
    <w:uiPriority w:val="39"/>
    <w:semiHidden/>
    <w:unhideWhenUsed/>
    <w:qFormat/>
    <w:rsid w:val="00C7698B"/>
    <w:pPr>
      <w:outlineLvl w:val="9"/>
    </w:pPr>
  </w:style>
  <w:style w:type="paragraph" w:styleId="31">
    <w:name w:val="toc 3"/>
    <w:basedOn w:val="a"/>
    <w:next w:val="a"/>
    <w:autoRedefine/>
    <w:uiPriority w:val="39"/>
    <w:unhideWhenUsed/>
    <w:rsid w:val="00C7698B"/>
    <w:pPr>
      <w:spacing w:after="100"/>
      <w:ind w:left="440"/>
    </w:pPr>
  </w:style>
</w:styles>
</file>

<file path=word/webSettings.xml><?xml version="1.0" encoding="utf-8"?>
<w:webSettings xmlns:r="http://schemas.openxmlformats.org/officeDocument/2006/relationships" xmlns:w="http://schemas.openxmlformats.org/wordprocessingml/2006/main">
  <w:divs>
    <w:div w:id="120346761">
      <w:bodyDiv w:val="1"/>
      <w:marLeft w:val="0"/>
      <w:marRight w:val="0"/>
      <w:marTop w:val="0"/>
      <w:marBottom w:val="0"/>
      <w:divBdr>
        <w:top w:val="none" w:sz="0" w:space="0" w:color="auto"/>
        <w:left w:val="none" w:sz="0" w:space="0" w:color="auto"/>
        <w:bottom w:val="none" w:sz="0" w:space="0" w:color="auto"/>
        <w:right w:val="none" w:sz="0" w:space="0" w:color="auto"/>
      </w:divBdr>
    </w:div>
    <w:div w:id="162820427">
      <w:bodyDiv w:val="1"/>
      <w:marLeft w:val="0"/>
      <w:marRight w:val="0"/>
      <w:marTop w:val="0"/>
      <w:marBottom w:val="0"/>
      <w:divBdr>
        <w:top w:val="none" w:sz="0" w:space="0" w:color="auto"/>
        <w:left w:val="none" w:sz="0" w:space="0" w:color="auto"/>
        <w:bottom w:val="none" w:sz="0" w:space="0" w:color="auto"/>
        <w:right w:val="none" w:sz="0" w:space="0" w:color="auto"/>
      </w:divBdr>
      <w:divsChild>
        <w:div w:id="881212936">
          <w:marLeft w:val="0"/>
          <w:marRight w:val="0"/>
          <w:marTop w:val="0"/>
          <w:marBottom w:val="0"/>
          <w:divBdr>
            <w:top w:val="none" w:sz="0" w:space="0" w:color="auto"/>
            <w:left w:val="none" w:sz="0" w:space="0" w:color="auto"/>
            <w:bottom w:val="none" w:sz="0" w:space="0" w:color="auto"/>
            <w:right w:val="none" w:sz="0" w:space="0" w:color="auto"/>
          </w:divBdr>
          <w:divsChild>
            <w:div w:id="900674378">
              <w:marLeft w:val="0"/>
              <w:marRight w:val="0"/>
              <w:marTop w:val="0"/>
              <w:marBottom w:val="0"/>
              <w:divBdr>
                <w:top w:val="none" w:sz="0" w:space="0" w:color="auto"/>
                <w:left w:val="none" w:sz="0" w:space="0" w:color="auto"/>
                <w:bottom w:val="none" w:sz="0" w:space="0" w:color="auto"/>
                <w:right w:val="none" w:sz="0" w:space="0" w:color="auto"/>
              </w:divBdr>
              <w:divsChild>
                <w:div w:id="1651404469">
                  <w:marLeft w:val="0"/>
                  <w:marRight w:val="0"/>
                  <w:marTop w:val="0"/>
                  <w:marBottom w:val="0"/>
                  <w:divBdr>
                    <w:top w:val="none" w:sz="0" w:space="0" w:color="auto"/>
                    <w:left w:val="none" w:sz="0" w:space="0" w:color="auto"/>
                    <w:bottom w:val="none" w:sz="0" w:space="0" w:color="auto"/>
                    <w:right w:val="none" w:sz="0" w:space="0" w:color="auto"/>
                  </w:divBdr>
                  <w:divsChild>
                    <w:div w:id="1204907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135182">
          <w:marLeft w:val="0"/>
          <w:marRight w:val="0"/>
          <w:marTop w:val="0"/>
          <w:marBottom w:val="0"/>
          <w:divBdr>
            <w:top w:val="none" w:sz="0" w:space="0" w:color="auto"/>
            <w:left w:val="none" w:sz="0" w:space="0" w:color="auto"/>
            <w:bottom w:val="none" w:sz="0" w:space="0" w:color="auto"/>
            <w:right w:val="none" w:sz="0" w:space="0" w:color="auto"/>
          </w:divBdr>
          <w:divsChild>
            <w:div w:id="303004522">
              <w:marLeft w:val="0"/>
              <w:marRight w:val="0"/>
              <w:marTop w:val="0"/>
              <w:marBottom w:val="0"/>
              <w:divBdr>
                <w:top w:val="none" w:sz="0" w:space="0" w:color="auto"/>
                <w:left w:val="none" w:sz="0" w:space="0" w:color="auto"/>
                <w:bottom w:val="none" w:sz="0" w:space="0" w:color="auto"/>
                <w:right w:val="none" w:sz="0" w:space="0" w:color="auto"/>
              </w:divBdr>
              <w:divsChild>
                <w:div w:id="1632635502">
                  <w:marLeft w:val="0"/>
                  <w:marRight w:val="0"/>
                  <w:marTop w:val="0"/>
                  <w:marBottom w:val="0"/>
                  <w:divBdr>
                    <w:top w:val="none" w:sz="0" w:space="0" w:color="auto"/>
                    <w:left w:val="none" w:sz="0" w:space="0" w:color="auto"/>
                    <w:bottom w:val="none" w:sz="0" w:space="0" w:color="auto"/>
                    <w:right w:val="none" w:sz="0" w:space="0" w:color="auto"/>
                  </w:divBdr>
                  <w:divsChild>
                    <w:div w:id="2076661261">
                      <w:marLeft w:val="0"/>
                      <w:marRight w:val="0"/>
                      <w:marTop w:val="0"/>
                      <w:marBottom w:val="0"/>
                      <w:divBdr>
                        <w:top w:val="none" w:sz="0" w:space="0" w:color="auto"/>
                        <w:left w:val="none" w:sz="0" w:space="0" w:color="auto"/>
                        <w:bottom w:val="none" w:sz="0" w:space="0" w:color="auto"/>
                        <w:right w:val="none" w:sz="0" w:space="0" w:color="auto"/>
                      </w:divBdr>
                    </w:div>
                  </w:divsChild>
                </w:div>
                <w:div w:id="2056081471">
                  <w:marLeft w:val="0"/>
                  <w:marRight w:val="0"/>
                  <w:marTop w:val="0"/>
                  <w:marBottom w:val="0"/>
                  <w:divBdr>
                    <w:top w:val="none" w:sz="0" w:space="0" w:color="auto"/>
                    <w:left w:val="none" w:sz="0" w:space="0" w:color="auto"/>
                    <w:bottom w:val="none" w:sz="0" w:space="0" w:color="auto"/>
                    <w:right w:val="none" w:sz="0" w:space="0" w:color="auto"/>
                  </w:divBdr>
                  <w:divsChild>
                    <w:div w:id="1005325830">
                      <w:marLeft w:val="0"/>
                      <w:marRight w:val="0"/>
                      <w:marTop w:val="0"/>
                      <w:marBottom w:val="0"/>
                      <w:divBdr>
                        <w:top w:val="none" w:sz="0" w:space="0" w:color="auto"/>
                        <w:left w:val="none" w:sz="0" w:space="0" w:color="auto"/>
                        <w:bottom w:val="none" w:sz="0" w:space="0" w:color="auto"/>
                        <w:right w:val="none" w:sz="0" w:space="0" w:color="auto"/>
                      </w:divBdr>
                    </w:div>
                    <w:div w:id="245577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656676">
          <w:marLeft w:val="0"/>
          <w:marRight w:val="0"/>
          <w:marTop w:val="0"/>
          <w:marBottom w:val="0"/>
          <w:divBdr>
            <w:top w:val="none" w:sz="0" w:space="0" w:color="auto"/>
            <w:left w:val="none" w:sz="0" w:space="0" w:color="auto"/>
            <w:bottom w:val="none" w:sz="0" w:space="0" w:color="auto"/>
            <w:right w:val="none" w:sz="0" w:space="0" w:color="auto"/>
          </w:divBdr>
          <w:divsChild>
            <w:div w:id="155536705">
              <w:marLeft w:val="0"/>
              <w:marRight w:val="0"/>
              <w:marTop w:val="0"/>
              <w:marBottom w:val="0"/>
              <w:divBdr>
                <w:top w:val="none" w:sz="0" w:space="0" w:color="auto"/>
                <w:left w:val="none" w:sz="0" w:space="0" w:color="auto"/>
                <w:bottom w:val="none" w:sz="0" w:space="0" w:color="auto"/>
                <w:right w:val="none" w:sz="0" w:space="0" w:color="auto"/>
              </w:divBdr>
            </w:div>
            <w:div w:id="1306819325">
              <w:marLeft w:val="0"/>
              <w:marRight w:val="0"/>
              <w:marTop w:val="0"/>
              <w:marBottom w:val="0"/>
              <w:divBdr>
                <w:top w:val="none" w:sz="0" w:space="0" w:color="auto"/>
                <w:left w:val="none" w:sz="0" w:space="0" w:color="auto"/>
                <w:bottom w:val="none" w:sz="0" w:space="0" w:color="auto"/>
                <w:right w:val="none" w:sz="0" w:space="0" w:color="auto"/>
              </w:divBdr>
            </w:div>
          </w:divsChild>
        </w:div>
        <w:div w:id="430397904">
          <w:marLeft w:val="0"/>
          <w:marRight w:val="0"/>
          <w:marTop w:val="0"/>
          <w:marBottom w:val="0"/>
          <w:divBdr>
            <w:top w:val="none" w:sz="0" w:space="0" w:color="auto"/>
            <w:left w:val="none" w:sz="0" w:space="0" w:color="auto"/>
            <w:bottom w:val="none" w:sz="0" w:space="0" w:color="auto"/>
            <w:right w:val="none" w:sz="0" w:space="0" w:color="auto"/>
          </w:divBdr>
          <w:divsChild>
            <w:div w:id="235364212">
              <w:marLeft w:val="0"/>
              <w:marRight w:val="0"/>
              <w:marTop w:val="0"/>
              <w:marBottom w:val="0"/>
              <w:divBdr>
                <w:top w:val="none" w:sz="0" w:space="0" w:color="auto"/>
                <w:left w:val="none" w:sz="0" w:space="0" w:color="auto"/>
                <w:bottom w:val="none" w:sz="0" w:space="0" w:color="auto"/>
                <w:right w:val="none" w:sz="0" w:space="0" w:color="auto"/>
              </w:divBdr>
              <w:divsChild>
                <w:div w:id="872965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624761">
          <w:marLeft w:val="0"/>
          <w:marRight w:val="0"/>
          <w:marTop w:val="0"/>
          <w:marBottom w:val="0"/>
          <w:divBdr>
            <w:top w:val="none" w:sz="0" w:space="0" w:color="auto"/>
            <w:left w:val="none" w:sz="0" w:space="0" w:color="auto"/>
            <w:bottom w:val="none" w:sz="0" w:space="0" w:color="auto"/>
            <w:right w:val="none" w:sz="0" w:space="0" w:color="auto"/>
          </w:divBdr>
          <w:divsChild>
            <w:div w:id="2134906976">
              <w:marLeft w:val="0"/>
              <w:marRight w:val="0"/>
              <w:marTop w:val="0"/>
              <w:marBottom w:val="0"/>
              <w:divBdr>
                <w:top w:val="none" w:sz="0" w:space="0" w:color="auto"/>
                <w:left w:val="none" w:sz="0" w:space="0" w:color="auto"/>
                <w:bottom w:val="none" w:sz="0" w:space="0" w:color="auto"/>
                <w:right w:val="none" w:sz="0" w:space="0" w:color="auto"/>
              </w:divBdr>
              <w:divsChild>
                <w:div w:id="782766788">
                  <w:marLeft w:val="0"/>
                  <w:marRight w:val="0"/>
                  <w:marTop w:val="0"/>
                  <w:marBottom w:val="0"/>
                  <w:divBdr>
                    <w:top w:val="none" w:sz="0" w:space="0" w:color="auto"/>
                    <w:left w:val="none" w:sz="0" w:space="0" w:color="auto"/>
                    <w:bottom w:val="none" w:sz="0" w:space="0" w:color="auto"/>
                    <w:right w:val="none" w:sz="0" w:space="0" w:color="auto"/>
                  </w:divBdr>
                </w:div>
                <w:div w:id="2029023556">
                  <w:marLeft w:val="0"/>
                  <w:marRight w:val="0"/>
                  <w:marTop w:val="0"/>
                  <w:marBottom w:val="0"/>
                  <w:divBdr>
                    <w:top w:val="none" w:sz="0" w:space="0" w:color="auto"/>
                    <w:left w:val="none" w:sz="0" w:space="0" w:color="auto"/>
                    <w:bottom w:val="none" w:sz="0" w:space="0" w:color="auto"/>
                    <w:right w:val="none" w:sz="0" w:space="0" w:color="auto"/>
                  </w:divBdr>
                </w:div>
                <w:div w:id="1891649015">
                  <w:marLeft w:val="0"/>
                  <w:marRight w:val="0"/>
                  <w:marTop w:val="0"/>
                  <w:marBottom w:val="0"/>
                  <w:divBdr>
                    <w:top w:val="none" w:sz="0" w:space="0" w:color="auto"/>
                    <w:left w:val="none" w:sz="0" w:space="0" w:color="auto"/>
                    <w:bottom w:val="none" w:sz="0" w:space="0" w:color="auto"/>
                    <w:right w:val="none" w:sz="0" w:space="0" w:color="auto"/>
                  </w:divBdr>
                </w:div>
                <w:div w:id="1005792088">
                  <w:marLeft w:val="0"/>
                  <w:marRight w:val="0"/>
                  <w:marTop w:val="0"/>
                  <w:marBottom w:val="0"/>
                  <w:divBdr>
                    <w:top w:val="none" w:sz="0" w:space="0" w:color="auto"/>
                    <w:left w:val="none" w:sz="0" w:space="0" w:color="auto"/>
                    <w:bottom w:val="none" w:sz="0" w:space="0" w:color="auto"/>
                    <w:right w:val="none" w:sz="0" w:space="0" w:color="auto"/>
                  </w:divBdr>
                </w:div>
                <w:div w:id="1819030724">
                  <w:marLeft w:val="0"/>
                  <w:marRight w:val="0"/>
                  <w:marTop w:val="0"/>
                  <w:marBottom w:val="0"/>
                  <w:divBdr>
                    <w:top w:val="none" w:sz="0" w:space="0" w:color="auto"/>
                    <w:left w:val="none" w:sz="0" w:space="0" w:color="auto"/>
                    <w:bottom w:val="none" w:sz="0" w:space="0" w:color="auto"/>
                    <w:right w:val="none" w:sz="0" w:space="0" w:color="auto"/>
                  </w:divBdr>
                </w:div>
                <w:div w:id="794568206">
                  <w:marLeft w:val="0"/>
                  <w:marRight w:val="0"/>
                  <w:marTop w:val="0"/>
                  <w:marBottom w:val="0"/>
                  <w:divBdr>
                    <w:top w:val="none" w:sz="0" w:space="0" w:color="auto"/>
                    <w:left w:val="none" w:sz="0" w:space="0" w:color="auto"/>
                    <w:bottom w:val="none" w:sz="0" w:space="0" w:color="auto"/>
                    <w:right w:val="none" w:sz="0" w:space="0" w:color="auto"/>
                  </w:divBdr>
                  <w:divsChild>
                    <w:div w:id="1994026220">
                      <w:marLeft w:val="0"/>
                      <w:marRight w:val="0"/>
                      <w:marTop w:val="0"/>
                      <w:marBottom w:val="0"/>
                      <w:divBdr>
                        <w:top w:val="none" w:sz="0" w:space="0" w:color="auto"/>
                        <w:left w:val="none" w:sz="0" w:space="0" w:color="auto"/>
                        <w:bottom w:val="none" w:sz="0" w:space="0" w:color="auto"/>
                        <w:right w:val="none" w:sz="0" w:space="0" w:color="auto"/>
                      </w:divBdr>
                      <w:divsChild>
                        <w:div w:id="882717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9716854">
          <w:marLeft w:val="0"/>
          <w:marRight w:val="0"/>
          <w:marTop w:val="0"/>
          <w:marBottom w:val="0"/>
          <w:divBdr>
            <w:top w:val="none" w:sz="0" w:space="0" w:color="auto"/>
            <w:left w:val="none" w:sz="0" w:space="0" w:color="auto"/>
            <w:bottom w:val="none" w:sz="0" w:space="0" w:color="auto"/>
            <w:right w:val="none" w:sz="0" w:space="0" w:color="auto"/>
          </w:divBdr>
        </w:div>
      </w:divsChild>
    </w:div>
    <w:div w:id="712851639">
      <w:bodyDiv w:val="1"/>
      <w:marLeft w:val="0"/>
      <w:marRight w:val="0"/>
      <w:marTop w:val="0"/>
      <w:marBottom w:val="0"/>
      <w:divBdr>
        <w:top w:val="none" w:sz="0" w:space="0" w:color="auto"/>
        <w:left w:val="none" w:sz="0" w:space="0" w:color="auto"/>
        <w:bottom w:val="none" w:sz="0" w:space="0" w:color="auto"/>
        <w:right w:val="none" w:sz="0" w:space="0" w:color="auto"/>
      </w:divBdr>
      <w:divsChild>
        <w:div w:id="914515429">
          <w:marLeft w:val="0"/>
          <w:marRight w:val="0"/>
          <w:marTop w:val="0"/>
          <w:marBottom w:val="0"/>
          <w:divBdr>
            <w:top w:val="none" w:sz="0" w:space="0" w:color="auto"/>
            <w:left w:val="none" w:sz="0" w:space="0" w:color="auto"/>
            <w:bottom w:val="none" w:sz="0" w:space="0" w:color="auto"/>
            <w:right w:val="none" w:sz="0" w:space="0" w:color="auto"/>
          </w:divBdr>
        </w:div>
      </w:divsChild>
    </w:div>
    <w:div w:id="1189756373">
      <w:bodyDiv w:val="1"/>
      <w:marLeft w:val="0"/>
      <w:marRight w:val="0"/>
      <w:marTop w:val="0"/>
      <w:marBottom w:val="0"/>
      <w:divBdr>
        <w:top w:val="none" w:sz="0" w:space="0" w:color="auto"/>
        <w:left w:val="none" w:sz="0" w:space="0" w:color="auto"/>
        <w:bottom w:val="none" w:sz="0" w:space="0" w:color="auto"/>
        <w:right w:val="none" w:sz="0" w:space="0" w:color="auto"/>
      </w:divBdr>
      <w:divsChild>
        <w:div w:id="250427919">
          <w:marLeft w:val="0"/>
          <w:marRight w:val="0"/>
          <w:marTop w:val="0"/>
          <w:marBottom w:val="0"/>
          <w:divBdr>
            <w:top w:val="none" w:sz="0" w:space="0" w:color="auto"/>
            <w:left w:val="none" w:sz="0" w:space="0" w:color="auto"/>
            <w:bottom w:val="none" w:sz="0" w:space="0" w:color="auto"/>
            <w:right w:val="none" w:sz="0" w:space="0" w:color="auto"/>
          </w:divBdr>
        </w:div>
        <w:div w:id="1660885573">
          <w:marLeft w:val="0"/>
          <w:marRight w:val="0"/>
          <w:marTop w:val="0"/>
          <w:marBottom w:val="0"/>
          <w:divBdr>
            <w:top w:val="none" w:sz="0" w:space="0" w:color="auto"/>
            <w:left w:val="none" w:sz="0" w:space="0" w:color="auto"/>
            <w:bottom w:val="none" w:sz="0" w:space="0" w:color="auto"/>
            <w:right w:val="none" w:sz="0" w:space="0" w:color="auto"/>
          </w:divBdr>
        </w:div>
      </w:divsChild>
    </w:div>
    <w:div w:id="1279873762">
      <w:bodyDiv w:val="1"/>
      <w:marLeft w:val="0"/>
      <w:marRight w:val="0"/>
      <w:marTop w:val="0"/>
      <w:marBottom w:val="0"/>
      <w:divBdr>
        <w:top w:val="none" w:sz="0" w:space="0" w:color="auto"/>
        <w:left w:val="none" w:sz="0" w:space="0" w:color="auto"/>
        <w:bottom w:val="none" w:sz="0" w:space="0" w:color="auto"/>
        <w:right w:val="none" w:sz="0" w:space="0" w:color="auto"/>
      </w:divBdr>
      <w:divsChild>
        <w:div w:id="66273226">
          <w:marLeft w:val="0"/>
          <w:marRight w:val="0"/>
          <w:marTop w:val="0"/>
          <w:marBottom w:val="0"/>
          <w:divBdr>
            <w:top w:val="none" w:sz="0" w:space="0" w:color="auto"/>
            <w:left w:val="none" w:sz="0" w:space="0" w:color="auto"/>
            <w:bottom w:val="none" w:sz="0" w:space="0" w:color="auto"/>
            <w:right w:val="none" w:sz="0" w:space="0" w:color="auto"/>
          </w:divBdr>
        </w:div>
      </w:divsChild>
    </w:div>
    <w:div w:id="1673944687">
      <w:bodyDiv w:val="1"/>
      <w:marLeft w:val="0"/>
      <w:marRight w:val="0"/>
      <w:marTop w:val="0"/>
      <w:marBottom w:val="0"/>
      <w:divBdr>
        <w:top w:val="none" w:sz="0" w:space="0" w:color="auto"/>
        <w:left w:val="none" w:sz="0" w:space="0" w:color="auto"/>
        <w:bottom w:val="none" w:sz="0" w:space="0" w:color="auto"/>
        <w:right w:val="none" w:sz="0" w:space="0" w:color="auto"/>
      </w:divBdr>
      <w:divsChild>
        <w:div w:id="146090707">
          <w:marLeft w:val="0"/>
          <w:marRight w:val="0"/>
          <w:marTop w:val="0"/>
          <w:marBottom w:val="0"/>
          <w:divBdr>
            <w:top w:val="none" w:sz="0" w:space="0" w:color="auto"/>
            <w:left w:val="none" w:sz="0" w:space="0" w:color="auto"/>
            <w:bottom w:val="none" w:sz="0" w:space="0" w:color="auto"/>
            <w:right w:val="none" w:sz="0" w:space="0" w:color="auto"/>
          </w:divBdr>
        </w:div>
      </w:divsChild>
    </w:div>
    <w:div w:id="1884976265">
      <w:bodyDiv w:val="1"/>
      <w:marLeft w:val="0"/>
      <w:marRight w:val="0"/>
      <w:marTop w:val="0"/>
      <w:marBottom w:val="0"/>
      <w:divBdr>
        <w:top w:val="none" w:sz="0" w:space="0" w:color="auto"/>
        <w:left w:val="none" w:sz="0" w:space="0" w:color="auto"/>
        <w:bottom w:val="none" w:sz="0" w:space="0" w:color="auto"/>
        <w:right w:val="none" w:sz="0" w:space="0" w:color="auto"/>
      </w:divBdr>
      <w:divsChild>
        <w:div w:id="19505050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se.consultant.ru/cons/cgi/online.cgi?req=doc;base=LAW;n=196350;div=LAW;dst=100005,0;rnd=203280.3940086444599293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vedomosti.ru/economics/news/2015/09/16/608990-gospodderzhka-bankov-previsila-25-trln%C2%A0" TargetMode="External"/><Relationship Id="rId4" Type="http://schemas.openxmlformats.org/officeDocument/2006/relationships/settings" Target="settings.xml"/><Relationship Id="rId9" Type="http://schemas.openxmlformats.org/officeDocument/2006/relationships/hyperlink" Target="http://rating.rbc.ru/articles/2009/06/04/32457573_tbl.shtml?2009/06/04/32457570%C2%A0"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vedomosti.ru/economics/news/2015/09/16/608990-gospodderzhka-bankov-previsila-25-trln%C2%A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D1DFC8-9C44-4DBC-AF4F-E3A795863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16</Pages>
  <Words>3580</Words>
  <Characters>20406</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10</cp:revision>
  <dcterms:created xsi:type="dcterms:W3CDTF">2017-12-06T10:15:00Z</dcterms:created>
  <dcterms:modified xsi:type="dcterms:W3CDTF">2017-12-07T14:38:00Z</dcterms:modified>
</cp:coreProperties>
</file>