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4E5" w:rsidRPr="00CD14E5" w:rsidRDefault="00CD14E5" w:rsidP="00CD14E5">
      <w:pPr>
        <w:spacing w:after="0" w:line="360" w:lineRule="auto"/>
        <w:ind w:firstLine="709"/>
        <w:jc w:val="center"/>
        <w:rPr>
          <w:rFonts w:ascii="Times New Roman" w:hAnsi="Times New Roman" w:cs="Times New Roman"/>
          <w:sz w:val="28"/>
          <w:szCs w:val="28"/>
        </w:rPr>
      </w:pPr>
      <w:r w:rsidRPr="00CD14E5">
        <w:rPr>
          <w:rFonts w:ascii="Times New Roman" w:hAnsi="Times New Roman" w:cs="Times New Roman"/>
          <w:sz w:val="28"/>
          <w:szCs w:val="28"/>
        </w:rPr>
        <w:t>Содержание</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045937" w:rsidRDefault="00045937" w:rsidP="00045937">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 </w:t>
      </w:r>
      <w:r w:rsidR="00CD14E5" w:rsidRPr="00CD14E5">
        <w:rPr>
          <w:rFonts w:ascii="Times New Roman" w:hAnsi="Times New Roman" w:cs="Times New Roman"/>
          <w:sz w:val="28"/>
          <w:szCs w:val="28"/>
        </w:rPr>
        <w:t>Реформа пенси</w:t>
      </w:r>
      <w:r>
        <w:rPr>
          <w:rFonts w:ascii="Times New Roman" w:hAnsi="Times New Roman" w:cs="Times New Roman"/>
          <w:sz w:val="28"/>
          <w:szCs w:val="28"/>
        </w:rPr>
        <w:t>онной системы РФ и роль системы негосударственного пенсионного страхования……………………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.3                                                      </w:t>
      </w:r>
    </w:p>
    <w:p w:rsidR="00CD14E5" w:rsidRPr="00CD14E5" w:rsidRDefault="00CD14E5" w:rsidP="00045937">
      <w:pPr>
        <w:spacing w:after="0" w:line="360" w:lineRule="auto"/>
        <w:ind w:firstLine="709"/>
        <w:jc w:val="both"/>
        <w:rPr>
          <w:rFonts w:ascii="Times New Roman" w:hAnsi="Times New Roman" w:cs="Times New Roman"/>
          <w:b/>
          <w:sz w:val="28"/>
          <w:szCs w:val="28"/>
        </w:rPr>
      </w:pPr>
      <w:r w:rsidRPr="00CD14E5">
        <w:rPr>
          <w:rFonts w:ascii="Times New Roman" w:hAnsi="Times New Roman" w:cs="Times New Roman"/>
          <w:sz w:val="28"/>
          <w:szCs w:val="28"/>
        </w:rPr>
        <w:t xml:space="preserve">2. Страховое </w:t>
      </w:r>
      <w:proofErr w:type="gramStart"/>
      <w:r w:rsidRPr="00CD14E5">
        <w:rPr>
          <w:rFonts w:ascii="Times New Roman" w:hAnsi="Times New Roman" w:cs="Times New Roman"/>
          <w:sz w:val="28"/>
          <w:szCs w:val="28"/>
        </w:rPr>
        <w:t>право</w:t>
      </w:r>
      <w:proofErr w:type="gramEnd"/>
      <w:r w:rsidRPr="00CD14E5">
        <w:rPr>
          <w:rFonts w:ascii="Times New Roman" w:hAnsi="Times New Roman" w:cs="Times New Roman"/>
          <w:sz w:val="28"/>
          <w:szCs w:val="28"/>
        </w:rPr>
        <w:t xml:space="preserve"> как отрасль гражданского законодательства………9</w:t>
      </w:r>
    </w:p>
    <w:p w:rsidR="00CD14E5" w:rsidRPr="00CD14E5" w:rsidRDefault="00CD14E5" w:rsidP="00045937">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3. Тестовые задания…………………………………………………</w:t>
      </w:r>
      <w:proofErr w:type="gramStart"/>
      <w:r w:rsidRPr="00CD14E5">
        <w:rPr>
          <w:rFonts w:ascii="Times New Roman" w:hAnsi="Times New Roman" w:cs="Times New Roman"/>
          <w:sz w:val="28"/>
          <w:szCs w:val="28"/>
        </w:rPr>
        <w:t>…….</w:t>
      </w:r>
      <w:proofErr w:type="gramEnd"/>
      <w:r w:rsidRPr="00CD14E5">
        <w:rPr>
          <w:rFonts w:ascii="Times New Roman" w:hAnsi="Times New Roman" w:cs="Times New Roman"/>
          <w:sz w:val="28"/>
          <w:szCs w:val="28"/>
        </w:rPr>
        <w:t>12</w:t>
      </w:r>
    </w:p>
    <w:p w:rsidR="00CD14E5" w:rsidRPr="00CD14E5" w:rsidRDefault="00CD14E5" w:rsidP="00045937">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Список использованных источников…………………………………....13</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Default="00CD14E5" w:rsidP="00CD14E5">
      <w:pPr>
        <w:spacing w:after="0" w:line="360" w:lineRule="auto"/>
        <w:jc w:val="both"/>
        <w:rPr>
          <w:rFonts w:ascii="Times New Roman" w:hAnsi="Times New Roman" w:cs="Times New Roman"/>
          <w:sz w:val="28"/>
          <w:szCs w:val="28"/>
        </w:rPr>
      </w:pPr>
    </w:p>
    <w:p w:rsidR="00CD14E5" w:rsidRPr="00CD14E5" w:rsidRDefault="00CD14E5" w:rsidP="00CD14E5">
      <w:pPr>
        <w:spacing w:after="0" w:line="360" w:lineRule="auto"/>
        <w:jc w:val="center"/>
        <w:rPr>
          <w:rFonts w:ascii="Times New Roman" w:hAnsi="Times New Roman" w:cs="Times New Roman"/>
          <w:sz w:val="28"/>
          <w:szCs w:val="28"/>
        </w:rPr>
      </w:pPr>
    </w:p>
    <w:p w:rsidR="00CD14E5" w:rsidRPr="00CD14E5" w:rsidRDefault="00CD14E5" w:rsidP="00CD14E5">
      <w:pPr>
        <w:spacing w:after="0" w:line="360" w:lineRule="auto"/>
        <w:ind w:firstLine="709"/>
        <w:jc w:val="center"/>
        <w:rPr>
          <w:rFonts w:ascii="Times New Roman" w:hAnsi="Times New Roman" w:cs="Times New Roman"/>
          <w:sz w:val="28"/>
          <w:szCs w:val="28"/>
        </w:rPr>
      </w:pPr>
      <w:r w:rsidRPr="00CD14E5">
        <w:rPr>
          <w:rFonts w:ascii="Times New Roman" w:hAnsi="Times New Roman" w:cs="Times New Roman"/>
          <w:sz w:val="28"/>
          <w:szCs w:val="28"/>
        </w:rPr>
        <w:lastRenderedPageBreak/>
        <w:t>1. Реформа пенсионной системы РФ и роль системы</w:t>
      </w:r>
    </w:p>
    <w:p w:rsidR="00CD14E5" w:rsidRPr="00CD14E5" w:rsidRDefault="00CD14E5" w:rsidP="00CD14E5">
      <w:pPr>
        <w:spacing w:after="0" w:line="360" w:lineRule="auto"/>
        <w:ind w:firstLine="709"/>
        <w:jc w:val="center"/>
        <w:rPr>
          <w:rFonts w:ascii="Times New Roman" w:hAnsi="Times New Roman" w:cs="Times New Roman"/>
          <w:sz w:val="28"/>
          <w:szCs w:val="28"/>
        </w:rPr>
      </w:pPr>
      <w:r w:rsidRPr="00CD14E5">
        <w:rPr>
          <w:rFonts w:ascii="Times New Roman" w:hAnsi="Times New Roman" w:cs="Times New Roman"/>
          <w:sz w:val="28"/>
          <w:szCs w:val="28"/>
        </w:rPr>
        <w:t>негосударственного пенсионного страхования</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Пенсионный Фонд является самостоятельным финансово-кредитным учреждением, осуществляющим свою деятельность в соответствии с законодательством Российской Федерации. </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Пенсионный фонд имеет огромное влияние на экономику страны, так как главной его целью является — обеспечить заработанный человеком уровень жизненных благ путем перераспределения средств во времени и пространстве.</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Пенсионный фонд своими средствами обеспечивает выплату ежемесячных пособий, пенсий людям, которые в силу определенных обстоятельств не могут обеспечить свое проживание. Таким образом определяется его важное    социальное значение.</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Основой пенсионной системы является пенсионное страхование, которое имеет целью формирование источников финансирования пенсий [2]. Как и пенсионное страхование, пенсионная система имеет две формы – обязательную и добровольную. Обязательное пенсионное страхование (ОПС) имеет силу закона и охватывает все категории населения. Добровольную форму принято называть добровольным пенсионным обеспечением (ДПО). ДПО имеет два отличия от ОПС:</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во-первых, добровольное пенсионное страхование является дополнительным по отношению к обязательному;</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во-вторых, размер взносов определяет не государство, а сам застрахованный (гражданин). Страховщиками по системе ДПО выступают негосударственные пенсионные фонды и страховые компании.</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Обязательное пенсионное страхование осуществляется государством. Добровольное пенсионное обеспечение осуществляется на негосударственной основе, но регулируется государством. Назначение негосударственного пенсионного обеспечения заключается в выплате пенсий </w:t>
      </w:r>
      <w:r w:rsidRPr="00CD14E5">
        <w:rPr>
          <w:rFonts w:ascii="Times New Roman" w:hAnsi="Times New Roman" w:cs="Times New Roman"/>
          <w:sz w:val="28"/>
          <w:szCs w:val="28"/>
        </w:rPr>
        <w:lastRenderedPageBreak/>
        <w:t>гражданам в дополнение к государственным пособиям. Средства для выплаты негосударственных пенсий формируются за счет регулярных взносов работодателей и дохода от инвестирования пенсионных резервов.</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На сегодняшний день создана нормативно-правовая база, регламентирующая источники формирования средств пенсионного обеспечения, принципы и методы аккумулирования, сохранения и распределения накопленных ресурсов</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Исходя из действующего законодательства можно говорить о нижеследующей трехуровневой структуре системы пенсионного обеспечения:</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1. Государственное пенсионное обеспечение, основанное на финансировании пенсий за счет федерального бюджета. Это социальные пенсии для отдельных категорий граждан, которые не приобрели права на пенсию по государственному пенсионному страхованию, или тех, кто имеет право на государственное обеспечение. Это ежемесячная государственная денежная выплата, которая предоставляется гражданину в целях компенсации заработка, утраченного в связи с прекращением государственной службы при достижении установленной законом выслуги при выходе на трудовую пенсию по старости (инвалидности); либо в целях компенсации вреда, нанесенного здоровью граждан при прохождении военной службы, в результате радиационных или техногенных катастроф, в случае наступления инвалидности или потери кормильца, при достижении установленного законом возраста; либо нетрудоспособным гражданам в целях предоставления им средств к существованию.</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2. Обязательное пенсионное страхование, включающее в себя трудовую пенсию по старости (в составе страховой и накопительной частей) и трудовую пенсию по инвалидности или по случаю потери кормильца (в составе страховой части) и финансируемое за счет страховых взносов работодателя;</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lastRenderedPageBreak/>
        <w:t>3. Негосударственное (дополнительное) пенсионное обеспечение – негосударственные пенсии, выплачиваемые в рамках договоров с негосударственными пенсионными фондами, финансируемые за счет взносов</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работодателей и работников в свою пользу и дохода, полученного от их инвестирования. На каждое застрахованное лицо в Пенсионном фонде открыт индивидуальный лицевой счет, на который зачисляются взносы, уплачиваемые работодателем. Правила те же, что и для банковских вкладов. Только эти деньги нельзя снять со счета, и вместо начисления процентов по вкладу пенсионный капитал ежегодно индексируется. К пенсионным накоплениям ежегодно добавляется инвестиционный доход, полученный от управления средствами накопительной части пенсии управляющими компаниями. Государство гарантирует, что каждый учтенный на счете рубль уплаченных взносов и полученного инвестиционного дохода, зафиксированного на дату назначения пенсии будет возвращен застрахованному лицу в виде пенсии.</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Таким образом, размер вашей пенсии напрямую зависит от суммы на лицевом счете, сформированной за всю трудовую деятельность.</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Трудовая пенсия по старости состоит из двух частей.</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1. Страховая часть– дифференцированная часть, зависящую от результатов труда конкретного человека (стажа, заработной платы) в течение всей трудовой деятельности. В состав страховой части также входит фиксированный базовый размер, устанавливаемый Законом и единый для всех пенсионеров.</w:t>
      </w:r>
    </w:p>
    <w:p w:rsidR="00CD14E5" w:rsidRPr="00CD14E5" w:rsidRDefault="00CD14E5" w:rsidP="00A24E01">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2. Накопительная часть — выплачиваемая в пределах сумм, отраженных на</w:t>
      </w:r>
      <w:r w:rsidR="00A24E01">
        <w:rPr>
          <w:rFonts w:ascii="Times New Roman" w:hAnsi="Times New Roman" w:cs="Times New Roman"/>
          <w:sz w:val="28"/>
          <w:szCs w:val="28"/>
        </w:rPr>
        <w:t xml:space="preserve"> </w:t>
      </w:r>
      <w:r w:rsidRPr="00CD14E5">
        <w:rPr>
          <w:rFonts w:ascii="Times New Roman" w:hAnsi="Times New Roman" w:cs="Times New Roman"/>
          <w:sz w:val="28"/>
          <w:szCs w:val="28"/>
        </w:rPr>
        <w:t>индивидуальных лицевых счетах застрахованных лиц в Пенсионном фонде РФ.</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Для учета сведений, составляющих страховую и накопительную часть пенсии, Пенсионным фондом РФ создана система индивидуального (персонифицированного) учета.</w:t>
      </w:r>
    </w:p>
    <w:p w:rsidR="00CD14E5" w:rsidRPr="00CD14E5" w:rsidRDefault="00CD14E5" w:rsidP="00A24E01">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lastRenderedPageBreak/>
        <w:t>Она выглядит следующим образом. На каждого работающего гражданина в</w:t>
      </w:r>
      <w:r w:rsidR="00A24E01">
        <w:rPr>
          <w:rFonts w:ascii="Times New Roman" w:hAnsi="Times New Roman" w:cs="Times New Roman"/>
          <w:sz w:val="28"/>
          <w:szCs w:val="28"/>
        </w:rPr>
        <w:t xml:space="preserve"> </w:t>
      </w:r>
      <w:r w:rsidRPr="00CD14E5">
        <w:rPr>
          <w:rFonts w:ascii="Times New Roman" w:hAnsi="Times New Roman" w:cs="Times New Roman"/>
          <w:sz w:val="28"/>
          <w:szCs w:val="28"/>
        </w:rPr>
        <w:t>начале его трудовой деятельности открывается индивидуальный лицевой счет, в котором накапливаются все данные, необходимые для назначения ему в будущем трудовой пенсии. То есть, где бы человек не работал в разные периоды своей жизни, в том числе и по совместительству, сведения о его стаже и страховых взносах в пенсионную систему будут попадать в один и тот же индивидуальный лицевой счет.</w:t>
      </w:r>
    </w:p>
    <w:p w:rsidR="00CD14E5" w:rsidRPr="00CD14E5" w:rsidRDefault="00CD14E5" w:rsidP="00A24E01">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Итоговый размер пенсии зависит от средств, накопленных на индивидуальном лицевом счете. Чем выше заработок, тем больше средств окажется на нем. При наступлении страхового случая, определенного пенсионным законодательством, на основе сведений персонифицированного</w:t>
      </w:r>
      <w:r w:rsidR="00A24E01">
        <w:rPr>
          <w:rFonts w:ascii="Times New Roman" w:hAnsi="Times New Roman" w:cs="Times New Roman"/>
          <w:sz w:val="28"/>
          <w:szCs w:val="28"/>
        </w:rPr>
        <w:t xml:space="preserve"> </w:t>
      </w:r>
      <w:r w:rsidRPr="00CD14E5">
        <w:rPr>
          <w:rFonts w:ascii="Times New Roman" w:hAnsi="Times New Roman" w:cs="Times New Roman"/>
          <w:sz w:val="28"/>
          <w:szCs w:val="28"/>
        </w:rPr>
        <w:t>учета, человеку назначается пенсия.</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Трудовые или страховые пенсии предоставляются всем лицам, работающим по найму, и другим категориям населения, на которые распространяется обязательное государственное пенсионное страхование. Все участники общей системы трудовых пенсий должны нести одинаковые обязанности по финансированию этой системы и иметь одинаковые права относительно условий назначения и размеров пенсий. Размер трудовой пенсии по старости будет определяться с учетом трудового или страхового стажа и заработка.</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Таким образом, современная распределительно-накопительная система пенсионного обеспечения, приводящая к дефициту государственного финансирования и не отвечающая потребностям экономически активного большинства должна быть модернизирована при помощи современных инструментов инвестирования.</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Новая система должна соответствовать следующим базовым принципам: добровольность,  экономическая целесообразность, инвестиционная привлекательность, правовая и финансовая защищенность. Система пенсионного обеспечения РФ требует дальнейшего реформирования </w:t>
      </w:r>
      <w:r w:rsidRPr="00CD14E5">
        <w:rPr>
          <w:rFonts w:ascii="Times New Roman" w:hAnsi="Times New Roman" w:cs="Times New Roman"/>
          <w:sz w:val="28"/>
          <w:szCs w:val="28"/>
        </w:rPr>
        <w:lastRenderedPageBreak/>
        <w:t>в соответствии с мировыми стандартами. Этот процесс не носит кратковременного характера и рассчитан на длительный период.</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В рамках данного перехода правительство Российской Федерации пошло по пути ряда зарубежных стран – путем создания института негосударственных пенсионных фондов (далее – НПФ), с помощью которых планировалось снизить нагрузку на государственный бюджет в социальной сфере, снять социальную напряженность в обществе, сформировать новую структуру в системе финансовых институтов, а также изменить сознание жителей страны в сторону осознания необходимости личной заботы о будущей пенсии. Целью российской пенсионной реформы, начатой 1 января 2002 г. в рамках </w:t>
      </w:r>
      <w:r w:rsidR="00A24E01" w:rsidRPr="00CD14E5">
        <w:rPr>
          <w:rFonts w:ascii="Times New Roman" w:hAnsi="Times New Roman" w:cs="Times New Roman"/>
          <w:sz w:val="28"/>
          <w:szCs w:val="28"/>
        </w:rPr>
        <w:t>одобренной</w:t>
      </w:r>
      <w:r w:rsidRPr="00CD14E5">
        <w:rPr>
          <w:rFonts w:ascii="Times New Roman" w:hAnsi="Times New Roman" w:cs="Times New Roman"/>
          <w:sz w:val="28"/>
          <w:szCs w:val="28"/>
        </w:rPr>
        <w:t xml:space="preserve"> Правительством РФ Концепции реформирования системы пенсионного обеспечения в России, является реализация принципов социального страхования, которые позволяют сбалансировать пенсионные права и обязательства в долгосрочной перспективе.</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В процессе реформы была проведена денежная оценка пенсионных прав в зависимости от стажа и заработка пенсионера, изменена структура пенсий. В формуле расчета пенсий стали учитывать суммы страховых взносов за застрахованное лицо в Пенсионный фонд России (далее – ПФР) и ожидаемую продолжительность периода выплаты пенсии. Также были внедрены механизмы накопительного финансирования пенсий, призванные обеспечить сохранение и повышение достигнутого уровня пенсионного обеспечения путем накопления средств на индивидуальных лицевых счетах застрахованных лиц. </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В настоящее время в стадии активного реформирования остается накопительная часть трудовой пенсии, что делает ее функционирование малоэффективным и приводит к девальвации пенсионных прав застрахованных лиц, включенных в эту систему. Развитие негосударственного пенсионного обеспечения происходит в условиях активного изменения нормативной правовой базы, системы надзора и </w:t>
      </w:r>
      <w:r w:rsidRPr="00CD14E5">
        <w:rPr>
          <w:rFonts w:ascii="Times New Roman" w:hAnsi="Times New Roman" w:cs="Times New Roman"/>
          <w:sz w:val="28"/>
          <w:szCs w:val="28"/>
        </w:rPr>
        <w:lastRenderedPageBreak/>
        <w:t>регулирования деятельности НПФ, активной агитации населения по вступлению в НПФ, внедрения государственных программ и пр.</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В целом пенсионная система Российской Федерации ввиду особенностей демографического и макроэкономического характера, а также накопленных пенсионных обязательств советского периода должна реализовать специфический комплекс мероприятий, который существенно отличается от зарубежного опыта повышения пенсионного возраста или внедрения накопительного компонента.</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В любом случае сегодня мы наблюдаем самые важные моменты изменения пенсионной системы, находясь в центре реформ, принимая (по возможности) активное участие в дискуссиях по вопросам изменения самой важной социальной проблемы каждого человека – будущей пенсии.</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center"/>
        <w:rPr>
          <w:rFonts w:ascii="Times New Roman" w:hAnsi="Times New Roman" w:cs="Times New Roman"/>
          <w:b/>
          <w:sz w:val="28"/>
          <w:szCs w:val="28"/>
        </w:rPr>
      </w:pPr>
      <w:r w:rsidRPr="00CD14E5">
        <w:rPr>
          <w:rFonts w:ascii="Times New Roman" w:hAnsi="Times New Roman" w:cs="Times New Roman"/>
          <w:sz w:val="28"/>
          <w:szCs w:val="28"/>
        </w:rPr>
        <w:lastRenderedPageBreak/>
        <w:t>2. Страховое право как отрасль гражданского законодательства</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Страхование принадлежит к числу наиболее устойчивых форм финансово-хозяйственной жизни и своими корнями уходит в далекую историю. История страхования тесно связана с историей гражданского (договорного, торгового) и финансового права. Исследование сущности страховых отношений, их правовой природы имеет как теоретическое, так и практическое значение. В настоящее время указанное значение возрастает на фоне мирового экономического кризиса, который оказывает мультипликационный эффект на исследовательский интерес к финансовым категориям, в том числе с точки зрения права.</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В связи с важностью страховой сферы, необходимостью ее эффективного регулирования, в доктрине права встал вопрос о существовании страхового права не только как подотрасли финансового права, но и как самостоятельной комплексной отрасли.</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 Страховое право – относительно недавно выделяемое в российской системе права образование, представляющее собой совокупность правовых норм из нескольких отраслей права (административного, гражданского, финансового).</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В связи с выделением страхового права в комплексную отрасль права страховое право вводится в учебный план юридических специальностей (при подготовке магистров права).</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Страховое право как учебная дисциплина  - относительно новое явление, требует разработки методических указаний для учащихся. </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Представленные методические указания содержат тематический план учебной дисциплины «Страховое право», планы лекционных и семинарских занятий, перечень активных методов обучения, рекомендуемый библиографический список, темы письменных работ, практические задания (задачи), вопросы к экзамену и указания для студентов по самоорганизации учебного процесса.</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lastRenderedPageBreak/>
        <w:t>Будучи комплексным институтом права, страховое право как наука опирается на гражданское, административное, государственное и финансовое право, а также на нормы международного частного права. Основу страхового права составляют:</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 законодательство о страховом договоре;</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законодательство о государственном страховом надзоре за деятельностью страховых организаций и страховых брокеров;</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 национальное и международное законодательство, регулирующее взаимоотношения между национальным и международным страховыми рынками, а также национальными и зарубежными субъектами страхового рынка.</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rStyle w:val="af"/>
          <w:b w:val="0"/>
          <w:color w:val="000000"/>
          <w:sz w:val="28"/>
          <w:szCs w:val="28"/>
        </w:rPr>
        <w:t> Гражданское право</w:t>
      </w:r>
      <w:r w:rsidRPr="00CD14E5">
        <w:rPr>
          <w:rStyle w:val="apple-converted-space"/>
          <w:color w:val="000000"/>
          <w:sz w:val="28"/>
          <w:szCs w:val="28"/>
        </w:rPr>
        <w:t> </w:t>
      </w:r>
      <w:r w:rsidRPr="00CD14E5">
        <w:rPr>
          <w:color w:val="000000"/>
          <w:sz w:val="28"/>
          <w:szCs w:val="28"/>
        </w:rPr>
        <w:t>- центральная часть страхового права.</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1. Гражданский Кодекс Российской Федерации, гл. 48. </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rStyle w:val="af"/>
          <w:b w:val="0"/>
          <w:color w:val="000000"/>
          <w:sz w:val="28"/>
          <w:szCs w:val="28"/>
        </w:rPr>
        <w:t>Административное право</w:t>
      </w:r>
      <w:r w:rsidRPr="00CD14E5">
        <w:rPr>
          <w:color w:val="000000"/>
          <w:sz w:val="28"/>
          <w:szCs w:val="28"/>
        </w:rPr>
        <w:t xml:space="preserve">, является важнейшим инструментом надзора за деятельностью страховых организаций и регулирует отношения между страховщиками, </w:t>
      </w:r>
      <w:proofErr w:type="spellStart"/>
      <w:r w:rsidRPr="00CD14E5">
        <w:rPr>
          <w:color w:val="000000"/>
          <w:sz w:val="28"/>
          <w:szCs w:val="28"/>
        </w:rPr>
        <w:t>cтраховыми</w:t>
      </w:r>
      <w:proofErr w:type="spellEnd"/>
      <w:r w:rsidRPr="00CD14E5">
        <w:rPr>
          <w:color w:val="000000"/>
          <w:sz w:val="28"/>
          <w:szCs w:val="28"/>
        </w:rPr>
        <w:t xml:space="preserve"> брокерами и государством. Основными источниками страхового права в части административного права являются:</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1. Закон РФ «Об организации страхового дела в Российской Федерации» № 4015-1.</w:t>
      </w:r>
    </w:p>
    <w:p w:rsidR="00CD14E5" w:rsidRPr="00CD14E5" w:rsidRDefault="00CD14E5" w:rsidP="00CD14E5">
      <w:pPr>
        <w:pStyle w:val="aa"/>
        <w:shd w:val="clear" w:color="auto" w:fill="FFFFFF"/>
        <w:spacing w:before="0" w:beforeAutospacing="0" w:after="0" w:afterAutospacing="0" w:line="360" w:lineRule="auto"/>
        <w:ind w:firstLine="709"/>
        <w:jc w:val="both"/>
        <w:rPr>
          <w:rStyle w:val="apple-converted-space"/>
          <w:sz w:val="28"/>
          <w:szCs w:val="28"/>
        </w:rPr>
      </w:pPr>
      <w:r w:rsidRPr="00CD14E5">
        <w:rPr>
          <w:color w:val="000000"/>
          <w:sz w:val="28"/>
          <w:szCs w:val="28"/>
        </w:rPr>
        <w:t>2. Правила формирования страховых резервов по видам страхования иным, чем страхование жизни, Приказ МФ 11.06.2002 № 51н</w:t>
      </w:r>
      <w:r w:rsidRPr="00CD14E5">
        <w:rPr>
          <w:rStyle w:val="apple-converted-space"/>
          <w:color w:val="000000"/>
          <w:sz w:val="28"/>
          <w:szCs w:val="28"/>
        </w:rPr>
        <w:t>.</w:t>
      </w:r>
    </w:p>
    <w:p w:rsidR="00CD14E5" w:rsidRPr="00CD14E5" w:rsidRDefault="00CD14E5" w:rsidP="00CD14E5">
      <w:pPr>
        <w:pStyle w:val="aa"/>
        <w:shd w:val="clear" w:color="auto" w:fill="FFFFFF"/>
        <w:spacing w:before="0" w:beforeAutospacing="0" w:after="0" w:afterAutospacing="0" w:line="360" w:lineRule="auto"/>
        <w:ind w:firstLine="709"/>
        <w:jc w:val="both"/>
        <w:rPr>
          <w:sz w:val="28"/>
          <w:szCs w:val="28"/>
        </w:rPr>
      </w:pPr>
      <w:r w:rsidRPr="00CD14E5">
        <w:rPr>
          <w:rStyle w:val="apple-converted-space"/>
          <w:color w:val="000000"/>
          <w:sz w:val="28"/>
          <w:szCs w:val="28"/>
        </w:rPr>
        <w:t xml:space="preserve">3. </w:t>
      </w:r>
      <w:r w:rsidRPr="00CD14E5">
        <w:rPr>
          <w:color w:val="000000"/>
          <w:sz w:val="28"/>
          <w:szCs w:val="28"/>
        </w:rPr>
        <w:t xml:space="preserve">Правила размещения страховых резервов, Приказ </w:t>
      </w:r>
      <w:proofErr w:type="spellStart"/>
      <w:r w:rsidRPr="00CD14E5">
        <w:rPr>
          <w:color w:val="000000"/>
          <w:sz w:val="28"/>
          <w:szCs w:val="28"/>
        </w:rPr>
        <w:t>МФот</w:t>
      </w:r>
      <w:proofErr w:type="spellEnd"/>
      <w:r w:rsidRPr="00CD14E5">
        <w:rPr>
          <w:color w:val="000000"/>
          <w:sz w:val="28"/>
          <w:szCs w:val="28"/>
        </w:rPr>
        <w:t xml:space="preserve"> 08.08.2005 № 100н.</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4. Положение о порядке выдачи предписания, ограничения, приостановления и отзыва лицензии на осуществление страховой деятельности от 19 июня 2001г.</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5. Инструкция о порядке расчета нормативного соотношения активов и обязательств страховщиков от 2 ноября 2001 г.</w:t>
      </w:r>
    </w:p>
    <w:p w:rsidR="00CD14E5" w:rsidRPr="00CD14E5" w:rsidRDefault="00CD14E5" w:rsidP="00CD14E5">
      <w:pPr>
        <w:pStyle w:val="aa"/>
        <w:shd w:val="clear" w:color="auto" w:fill="FFFFFF"/>
        <w:spacing w:before="0" w:beforeAutospacing="0" w:after="0" w:afterAutospacing="0" w:line="360" w:lineRule="auto"/>
        <w:ind w:firstLine="709"/>
        <w:jc w:val="both"/>
        <w:rPr>
          <w:rStyle w:val="apple-converted-space"/>
          <w:sz w:val="28"/>
          <w:szCs w:val="28"/>
        </w:rPr>
      </w:pPr>
      <w:r w:rsidRPr="00CD14E5">
        <w:rPr>
          <w:color w:val="000000"/>
          <w:sz w:val="28"/>
          <w:szCs w:val="28"/>
        </w:rPr>
        <w:t>6. Положение по бухгалтерскому учету финансово-хозяйственной деятельности страховых организаций и инструкции по его применению</w:t>
      </w:r>
    </w:p>
    <w:p w:rsidR="00CD14E5" w:rsidRPr="00CD14E5" w:rsidRDefault="00CD14E5" w:rsidP="00CD14E5">
      <w:pPr>
        <w:pStyle w:val="aa"/>
        <w:shd w:val="clear" w:color="auto" w:fill="FFFFFF"/>
        <w:spacing w:before="0" w:beforeAutospacing="0" w:after="0" w:afterAutospacing="0" w:line="360" w:lineRule="auto"/>
        <w:ind w:firstLine="709"/>
        <w:jc w:val="both"/>
        <w:rPr>
          <w:sz w:val="28"/>
          <w:szCs w:val="28"/>
        </w:rPr>
      </w:pPr>
      <w:r w:rsidRPr="00CD14E5">
        <w:rPr>
          <w:rStyle w:val="apple-converted-space"/>
          <w:color w:val="000000"/>
          <w:sz w:val="28"/>
          <w:szCs w:val="28"/>
        </w:rPr>
        <w:lastRenderedPageBreak/>
        <w:t xml:space="preserve">7. </w:t>
      </w:r>
      <w:r w:rsidRPr="00CD14E5">
        <w:rPr>
          <w:color w:val="000000"/>
          <w:sz w:val="28"/>
          <w:szCs w:val="28"/>
        </w:rPr>
        <w:t>Положение о страховом пуле от 18 мая 1995 г.</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8. Положение о государственной регистрации объединений страховщиков на территории Российской Федерации от 26 апреля 1993 г.</w:t>
      </w:r>
      <w:hyperlink r:id="rId8" w:history="1">
        <w:r w:rsidRPr="00CD14E5">
          <w:rPr>
            <w:rStyle w:val="ae"/>
            <w:color w:val="005B86"/>
            <w:sz w:val="28"/>
            <w:szCs w:val="28"/>
          </w:rPr>
          <w:t>◊</w:t>
        </w:r>
      </w:hyperlink>
      <w:r w:rsidRPr="00CD14E5">
        <w:rPr>
          <w:rStyle w:val="apple-converted-space"/>
          <w:color w:val="000000"/>
          <w:sz w:val="28"/>
          <w:szCs w:val="28"/>
        </w:rPr>
        <w:t> </w:t>
      </w:r>
      <w:r w:rsidRPr="00CD14E5">
        <w:rPr>
          <w:color w:val="000000"/>
          <w:sz w:val="28"/>
          <w:szCs w:val="28"/>
        </w:rPr>
        <w:t>и др.</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 xml:space="preserve">9. </w:t>
      </w:r>
      <w:r w:rsidRPr="00CD14E5">
        <w:rPr>
          <w:rStyle w:val="af"/>
          <w:b w:val="0"/>
          <w:color w:val="000000"/>
          <w:sz w:val="28"/>
          <w:szCs w:val="28"/>
        </w:rPr>
        <w:t>Государственное право</w:t>
      </w:r>
      <w:r w:rsidRPr="00CD14E5">
        <w:rPr>
          <w:rStyle w:val="apple-converted-space"/>
          <w:color w:val="000000"/>
          <w:sz w:val="28"/>
          <w:szCs w:val="28"/>
        </w:rPr>
        <w:t> </w:t>
      </w:r>
      <w:r w:rsidRPr="00CD14E5">
        <w:rPr>
          <w:color w:val="000000"/>
          <w:sz w:val="28"/>
          <w:szCs w:val="28"/>
        </w:rPr>
        <w:t xml:space="preserve">регламентирует правовую форму органа страхового надзора, его место и функции в системе федеральных органов государственной </w:t>
      </w:r>
      <w:proofErr w:type="spellStart"/>
      <w:proofErr w:type="gramStart"/>
      <w:r w:rsidRPr="00CD14E5">
        <w:rPr>
          <w:color w:val="000000"/>
          <w:sz w:val="28"/>
          <w:szCs w:val="28"/>
        </w:rPr>
        <w:t>испол-нительной</w:t>
      </w:r>
      <w:proofErr w:type="spellEnd"/>
      <w:proofErr w:type="gramEnd"/>
      <w:r w:rsidRPr="00CD14E5">
        <w:rPr>
          <w:color w:val="000000"/>
          <w:sz w:val="28"/>
          <w:szCs w:val="28"/>
        </w:rPr>
        <w:t xml:space="preserve"> власти. Основными источниками страхового права в части государственного права являются:</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1. Конституция РФ.</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2. Закон РФ «Об организации страхового дела в РФ»,</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3. Указ Президента РФ от 14 августа 1996 года «О системе федеральных органов исполнительной власти» №1167.</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color w:val="000000"/>
          <w:sz w:val="28"/>
          <w:szCs w:val="28"/>
        </w:rPr>
        <w:t>4. Указ Президента РФ «О структуре федеральных органов исполнительной власти» от 14 августа 1998 года, постановления Правительства РФ и другие нормативные акты.</w:t>
      </w:r>
    </w:p>
    <w:p w:rsidR="00CD14E5" w:rsidRPr="00CD14E5" w:rsidRDefault="00CD14E5" w:rsidP="00CD14E5">
      <w:pPr>
        <w:pStyle w:val="aa"/>
        <w:shd w:val="clear" w:color="auto" w:fill="FFFFFF"/>
        <w:spacing w:before="0" w:beforeAutospacing="0" w:after="0" w:afterAutospacing="0" w:line="360" w:lineRule="auto"/>
        <w:ind w:firstLine="709"/>
        <w:jc w:val="both"/>
        <w:rPr>
          <w:color w:val="000000"/>
          <w:sz w:val="28"/>
          <w:szCs w:val="28"/>
        </w:rPr>
      </w:pPr>
      <w:r w:rsidRPr="00CD14E5">
        <w:rPr>
          <w:rStyle w:val="af"/>
          <w:b w:val="0"/>
          <w:color w:val="000000"/>
          <w:sz w:val="28"/>
          <w:szCs w:val="28"/>
        </w:rPr>
        <w:t>Финансовое право</w:t>
      </w:r>
      <w:r w:rsidRPr="00CD14E5">
        <w:rPr>
          <w:rStyle w:val="apple-converted-space"/>
          <w:color w:val="000000"/>
          <w:sz w:val="28"/>
          <w:szCs w:val="28"/>
        </w:rPr>
        <w:t> </w:t>
      </w:r>
      <w:r w:rsidRPr="00CD14E5">
        <w:rPr>
          <w:color w:val="000000"/>
          <w:sz w:val="28"/>
          <w:szCs w:val="28"/>
        </w:rPr>
        <w:t>регламентирует отношения между страховыми организациями, страхователями и государством по поводу определения состава затрат субъектов страховых отношений, определения налогооблагаемой базы страховщиков, расчета и уплаты налога на прибыль, налога на добавленную стоимость, иных видов налогов и обязательных платежей. Основными источниками страхового права в части финансового права являются: налоговый кодекс РФ, закон РФ «Об организации страхового дела в Российской Федерации», правила формирования страховых резервов по видам страхования иным, чем страхов</w:t>
      </w:r>
      <w:r w:rsidR="00A24E01">
        <w:rPr>
          <w:color w:val="000000"/>
          <w:sz w:val="28"/>
          <w:szCs w:val="28"/>
        </w:rPr>
        <w:t>ание жизни, от 18 марта 1994 г.</w:t>
      </w:r>
      <w:r w:rsidRPr="00CD14E5">
        <w:rPr>
          <w:color w:val="000000"/>
          <w:sz w:val="28"/>
          <w:szCs w:val="28"/>
        </w:rPr>
        <w:t>, план счетов бухгалтерского учета, утвержденный Минфином России, и другие нормативные акты, принятые органами страхового надзора.</w:t>
      </w:r>
    </w:p>
    <w:p w:rsidR="00CD14E5" w:rsidRPr="00CD14E5" w:rsidRDefault="00CD14E5" w:rsidP="00CD14E5">
      <w:pPr>
        <w:pStyle w:val="aa"/>
        <w:shd w:val="clear" w:color="auto" w:fill="FFFFFF"/>
        <w:spacing w:before="0" w:beforeAutospacing="0" w:after="0" w:afterAutospacing="0" w:line="360" w:lineRule="auto"/>
        <w:ind w:firstLine="709"/>
        <w:jc w:val="both"/>
        <w:rPr>
          <w:b/>
          <w:color w:val="000000"/>
          <w:sz w:val="28"/>
          <w:szCs w:val="28"/>
        </w:rPr>
      </w:pPr>
      <w:r w:rsidRPr="00CD14E5">
        <w:rPr>
          <w:rStyle w:val="af"/>
          <w:color w:val="000000"/>
          <w:sz w:val="28"/>
          <w:szCs w:val="28"/>
        </w:rPr>
        <w:t>Международное частное право</w:t>
      </w:r>
      <w:r w:rsidRPr="00CD14E5">
        <w:rPr>
          <w:rStyle w:val="apple-converted-space"/>
          <w:b/>
          <w:color w:val="000000"/>
          <w:sz w:val="28"/>
          <w:szCs w:val="28"/>
        </w:rPr>
        <w:t> </w:t>
      </w:r>
      <w:r w:rsidRPr="00CD14E5">
        <w:rPr>
          <w:b/>
          <w:color w:val="000000"/>
          <w:sz w:val="28"/>
          <w:szCs w:val="28"/>
        </w:rPr>
        <w:t>находит применение в случаях, когда страховые правоотношения возникают при участии гражданского права другой страны.</w:t>
      </w:r>
    </w:p>
    <w:p w:rsidR="00CD14E5" w:rsidRPr="00CD14E5" w:rsidRDefault="00CD14E5" w:rsidP="00CD14E5">
      <w:pPr>
        <w:tabs>
          <w:tab w:val="left" w:pos="8222"/>
          <w:tab w:val="left" w:pos="9639"/>
        </w:tabs>
        <w:suppressAutoHyphens/>
        <w:spacing w:after="0" w:line="360" w:lineRule="auto"/>
        <w:ind w:firstLine="709"/>
        <w:jc w:val="center"/>
        <w:rPr>
          <w:rFonts w:ascii="Times New Roman" w:hAnsi="Times New Roman" w:cs="Times New Roman"/>
          <w:sz w:val="28"/>
          <w:szCs w:val="28"/>
        </w:rPr>
      </w:pPr>
      <w:r w:rsidRPr="00CD14E5">
        <w:rPr>
          <w:rFonts w:ascii="Times New Roman" w:hAnsi="Times New Roman" w:cs="Times New Roman"/>
          <w:sz w:val="28"/>
          <w:szCs w:val="28"/>
        </w:rPr>
        <w:lastRenderedPageBreak/>
        <w:t>3. Тестовые задания</w:t>
      </w:r>
    </w:p>
    <w:p w:rsidR="00CD14E5" w:rsidRPr="00CD14E5" w:rsidRDefault="00CD14E5" w:rsidP="00CD14E5">
      <w:pPr>
        <w:tabs>
          <w:tab w:val="left" w:pos="8222"/>
          <w:tab w:val="left" w:pos="9639"/>
        </w:tabs>
        <w:suppressAutoHyphens/>
        <w:spacing w:after="0" w:line="360" w:lineRule="auto"/>
        <w:ind w:firstLine="709"/>
        <w:jc w:val="both"/>
        <w:rPr>
          <w:rFonts w:ascii="Times New Roman" w:hAnsi="Times New Roman" w:cs="Times New Roman"/>
          <w:sz w:val="28"/>
          <w:szCs w:val="28"/>
        </w:rPr>
      </w:pPr>
    </w:p>
    <w:p w:rsidR="00CD14E5" w:rsidRPr="00CD14E5" w:rsidRDefault="00CD14E5" w:rsidP="00CD14E5">
      <w:pPr>
        <w:tabs>
          <w:tab w:val="left" w:pos="0"/>
          <w:tab w:val="left" w:pos="9639"/>
        </w:tabs>
        <w:suppressAutoHyphens/>
        <w:spacing w:after="0" w:line="360" w:lineRule="auto"/>
        <w:ind w:firstLine="709"/>
        <w:jc w:val="both"/>
        <w:rPr>
          <w:rFonts w:ascii="Times New Roman" w:hAnsi="Times New Roman" w:cs="Times New Roman"/>
          <w:bCs/>
          <w:sz w:val="28"/>
          <w:szCs w:val="28"/>
        </w:rPr>
      </w:pPr>
      <w:r w:rsidRPr="00CD14E5">
        <w:rPr>
          <w:rFonts w:ascii="Times New Roman" w:hAnsi="Times New Roman" w:cs="Times New Roman"/>
          <w:bCs/>
          <w:sz w:val="28"/>
          <w:szCs w:val="28"/>
        </w:rPr>
        <w:t>3.1. Договор страхования вступает в силу с момента:</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b/>
          <w:sz w:val="28"/>
          <w:szCs w:val="28"/>
          <w:u w:val="single"/>
        </w:rPr>
      </w:pPr>
      <w:r w:rsidRPr="00CD14E5">
        <w:rPr>
          <w:rFonts w:ascii="Times New Roman" w:hAnsi="Times New Roman" w:cs="Times New Roman"/>
          <w:b/>
          <w:sz w:val="28"/>
          <w:szCs w:val="28"/>
          <w:u w:val="single"/>
          <w:lang w:val="en-US"/>
        </w:rPr>
        <w:t>A</w:t>
      </w:r>
      <w:r w:rsidRPr="00CD14E5">
        <w:rPr>
          <w:rFonts w:ascii="Times New Roman" w:hAnsi="Times New Roman" w:cs="Times New Roman"/>
          <w:b/>
          <w:sz w:val="28"/>
          <w:szCs w:val="28"/>
          <w:u w:val="single"/>
        </w:rPr>
        <w:t xml:space="preserve">) </w:t>
      </w:r>
      <w:proofErr w:type="gramStart"/>
      <w:r w:rsidRPr="00CD14E5">
        <w:rPr>
          <w:rFonts w:ascii="Times New Roman" w:hAnsi="Times New Roman" w:cs="Times New Roman"/>
          <w:b/>
          <w:sz w:val="28"/>
          <w:szCs w:val="28"/>
          <w:u w:val="single"/>
        </w:rPr>
        <w:t>уплаты</w:t>
      </w:r>
      <w:proofErr w:type="gramEnd"/>
      <w:r w:rsidRPr="00CD14E5">
        <w:rPr>
          <w:rFonts w:ascii="Times New Roman" w:hAnsi="Times New Roman" w:cs="Times New Roman"/>
          <w:b/>
          <w:sz w:val="28"/>
          <w:szCs w:val="28"/>
          <w:u w:val="single"/>
        </w:rPr>
        <w:t xml:space="preserve"> страхователем первого взноса,</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B</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наступ</w:t>
      </w:r>
      <w:bookmarkStart w:id="0" w:name="_GoBack"/>
      <w:bookmarkEnd w:id="0"/>
      <w:r w:rsidRPr="00CD14E5">
        <w:rPr>
          <w:rFonts w:ascii="Times New Roman" w:hAnsi="Times New Roman" w:cs="Times New Roman"/>
          <w:sz w:val="28"/>
          <w:szCs w:val="28"/>
        </w:rPr>
        <w:t>ления</w:t>
      </w:r>
      <w:proofErr w:type="gramEnd"/>
      <w:r w:rsidRPr="00CD14E5">
        <w:rPr>
          <w:rFonts w:ascii="Times New Roman" w:hAnsi="Times New Roman" w:cs="Times New Roman"/>
          <w:sz w:val="28"/>
          <w:szCs w:val="28"/>
        </w:rPr>
        <w:t xml:space="preserve"> страхового случая,</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C</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рассмотрения</w:t>
      </w:r>
      <w:proofErr w:type="gramEnd"/>
      <w:r w:rsidRPr="00CD14E5">
        <w:rPr>
          <w:rFonts w:ascii="Times New Roman" w:hAnsi="Times New Roman" w:cs="Times New Roman"/>
          <w:sz w:val="28"/>
          <w:szCs w:val="28"/>
        </w:rPr>
        <w:t xml:space="preserve"> заявления,</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D</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подачи</w:t>
      </w:r>
      <w:proofErr w:type="gramEnd"/>
      <w:r w:rsidRPr="00CD14E5">
        <w:rPr>
          <w:rFonts w:ascii="Times New Roman" w:hAnsi="Times New Roman" w:cs="Times New Roman"/>
          <w:sz w:val="28"/>
          <w:szCs w:val="28"/>
        </w:rPr>
        <w:t xml:space="preserve"> заявления.</w:t>
      </w:r>
    </w:p>
    <w:p w:rsidR="00CD14E5" w:rsidRPr="00CD14E5" w:rsidRDefault="00CD14E5" w:rsidP="00CD14E5">
      <w:pPr>
        <w:tabs>
          <w:tab w:val="left" w:pos="0"/>
          <w:tab w:val="left" w:pos="9639"/>
        </w:tabs>
        <w:suppressAutoHyphens/>
        <w:spacing w:after="0" w:line="360" w:lineRule="auto"/>
        <w:ind w:firstLine="709"/>
        <w:jc w:val="both"/>
        <w:rPr>
          <w:rFonts w:ascii="Times New Roman" w:hAnsi="Times New Roman" w:cs="Times New Roman"/>
          <w:bCs/>
          <w:sz w:val="28"/>
          <w:szCs w:val="28"/>
        </w:rPr>
      </w:pPr>
      <w:r w:rsidRPr="00CD14E5">
        <w:rPr>
          <w:rFonts w:ascii="Times New Roman" w:hAnsi="Times New Roman" w:cs="Times New Roman"/>
          <w:bCs/>
          <w:sz w:val="28"/>
          <w:szCs w:val="28"/>
        </w:rPr>
        <w:t>3.2. Иностранные граждане на территории Российской Федерации правом на страховую защиту:</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А) не обладают,</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B</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обладают</w:t>
      </w:r>
      <w:proofErr w:type="gramEnd"/>
      <w:r w:rsidRPr="00CD14E5">
        <w:rPr>
          <w:rFonts w:ascii="Times New Roman" w:hAnsi="Times New Roman" w:cs="Times New Roman"/>
          <w:sz w:val="28"/>
          <w:szCs w:val="28"/>
        </w:rPr>
        <w:t xml:space="preserve"> в части имущественного страхования,</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b/>
          <w:sz w:val="28"/>
          <w:szCs w:val="28"/>
          <w:u w:val="single"/>
          <w:lang w:val="en-US"/>
        </w:rPr>
        <w:t>C</w:t>
      </w:r>
      <w:r w:rsidRPr="00CD14E5">
        <w:rPr>
          <w:rFonts w:ascii="Times New Roman" w:hAnsi="Times New Roman" w:cs="Times New Roman"/>
          <w:b/>
          <w:sz w:val="28"/>
          <w:szCs w:val="28"/>
          <w:u w:val="single"/>
        </w:rPr>
        <w:t xml:space="preserve">) </w:t>
      </w:r>
      <w:proofErr w:type="gramStart"/>
      <w:r w:rsidRPr="00CD14E5">
        <w:rPr>
          <w:rFonts w:ascii="Times New Roman" w:hAnsi="Times New Roman" w:cs="Times New Roman"/>
          <w:b/>
          <w:sz w:val="28"/>
          <w:szCs w:val="28"/>
          <w:u w:val="single"/>
        </w:rPr>
        <w:t>обладают</w:t>
      </w:r>
      <w:proofErr w:type="gramEnd"/>
      <w:r w:rsidRPr="00CD14E5">
        <w:rPr>
          <w:rFonts w:ascii="Times New Roman" w:hAnsi="Times New Roman" w:cs="Times New Roman"/>
          <w:b/>
          <w:sz w:val="28"/>
          <w:szCs w:val="28"/>
          <w:u w:val="single"/>
        </w:rPr>
        <w:t xml:space="preserve"> наравне с гражданами РФ</w:t>
      </w:r>
      <w:r w:rsidRPr="00CD14E5">
        <w:rPr>
          <w:rFonts w:ascii="Times New Roman" w:hAnsi="Times New Roman" w:cs="Times New Roman"/>
          <w:sz w:val="28"/>
          <w:szCs w:val="28"/>
        </w:rPr>
        <w:t>,</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D</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обладают</w:t>
      </w:r>
      <w:proofErr w:type="gramEnd"/>
      <w:r w:rsidRPr="00CD14E5">
        <w:rPr>
          <w:rFonts w:ascii="Times New Roman" w:hAnsi="Times New Roman" w:cs="Times New Roman"/>
          <w:sz w:val="28"/>
          <w:szCs w:val="28"/>
        </w:rPr>
        <w:t xml:space="preserve"> в части личного страхования.</w:t>
      </w:r>
    </w:p>
    <w:p w:rsidR="00CD14E5" w:rsidRPr="00CD14E5" w:rsidRDefault="00CD14E5" w:rsidP="00CD14E5">
      <w:pPr>
        <w:tabs>
          <w:tab w:val="left" w:pos="0"/>
          <w:tab w:val="left" w:pos="9639"/>
        </w:tabs>
        <w:suppressAutoHyphens/>
        <w:spacing w:after="0" w:line="360" w:lineRule="auto"/>
        <w:ind w:firstLine="709"/>
        <w:jc w:val="both"/>
        <w:rPr>
          <w:rFonts w:ascii="Times New Roman" w:hAnsi="Times New Roman" w:cs="Times New Roman"/>
          <w:bCs/>
          <w:sz w:val="28"/>
          <w:szCs w:val="28"/>
        </w:rPr>
      </w:pPr>
      <w:r w:rsidRPr="00CD14E5">
        <w:rPr>
          <w:rFonts w:ascii="Times New Roman" w:hAnsi="Times New Roman" w:cs="Times New Roman"/>
          <w:bCs/>
          <w:sz w:val="28"/>
          <w:szCs w:val="28"/>
        </w:rPr>
        <w:t>3.3. Меры страховщика по предупреждению страхового случая и минимизации ущерба носят название:</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A</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субвенции</w:t>
      </w:r>
      <w:proofErr w:type="gramEnd"/>
      <w:r w:rsidRPr="00CD14E5">
        <w:rPr>
          <w:rFonts w:ascii="Times New Roman" w:hAnsi="Times New Roman" w:cs="Times New Roman"/>
          <w:sz w:val="28"/>
          <w:szCs w:val="28"/>
        </w:rPr>
        <w:t>,</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b/>
          <w:sz w:val="28"/>
          <w:szCs w:val="28"/>
          <w:u w:val="single"/>
        </w:rPr>
      </w:pPr>
      <w:r w:rsidRPr="00CD14E5">
        <w:rPr>
          <w:rFonts w:ascii="Times New Roman" w:hAnsi="Times New Roman" w:cs="Times New Roman"/>
          <w:b/>
          <w:sz w:val="28"/>
          <w:szCs w:val="28"/>
          <w:u w:val="single"/>
          <w:lang w:val="en-US"/>
        </w:rPr>
        <w:t>B</w:t>
      </w:r>
      <w:r w:rsidRPr="00CD14E5">
        <w:rPr>
          <w:rFonts w:ascii="Times New Roman" w:hAnsi="Times New Roman" w:cs="Times New Roman"/>
          <w:b/>
          <w:sz w:val="28"/>
          <w:szCs w:val="28"/>
          <w:u w:val="single"/>
        </w:rPr>
        <w:t xml:space="preserve">) </w:t>
      </w:r>
      <w:proofErr w:type="gramStart"/>
      <w:r w:rsidRPr="00CD14E5">
        <w:rPr>
          <w:rFonts w:ascii="Times New Roman" w:hAnsi="Times New Roman" w:cs="Times New Roman"/>
          <w:b/>
          <w:sz w:val="28"/>
          <w:szCs w:val="28"/>
          <w:u w:val="single"/>
        </w:rPr>
        <w:t>превенции</w:t>
      </w:r>
      <w:proofErr w:type="gramEnd"/>
      <w:r w:rsidRPr="00CD14E5">
        <w:rPr>
          <w:rFonts w:ascii="Times New Roman" w:hAnsi="Times New Roman" w:cs="Times New Roman"/>
          <w:b/>
          <w:sz w:val="28"/>
          <w:szCs w:val="28"/>
          <w:u w:val="single"/>
        </w:rPr>
        <w:t>,</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C</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нагрузки</w:t>
      </w:r>
      <w:proofErr w:type="gramEnd"/>
      <w:r w:rsidRPr="00CD14E5">
        <w:rPr>
          <w:rFonts w:ascii="Times New Roman" w:hAnsi="Times New Roman" w:cs="Times New Roman"/>
          <w:sz w:val="28"/>
          <w:szCs w:val="28"/>
        </w:rPr>
        <w:t>,</w:t>
      </w:r>
    </w:p>
    <w:p w:rsidR="00CD14E5" w:rsidRPr="00CD14E5" w:rsidRDefault="00CD14E5" w:rsidP="00CD14E5">
      <w:pPr>
        <w:tabs>
          <w:tab w:val="left" w:pos="0"/>
          <w:tab w:val="left" w:pos="9639"/>
        </w:tabs>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lang w:val="en-US"/>
        </w:rPr>
        <w:t>D</w:t>
      </w:r>
      <w:r w:rsidRPr="00CD14E5">
        <w:rPr>
          <w:rFonts w:ascii="Times New Roman" w:hAnsi="Times New Roman" w:cs="Times New Roman"/>
          <w:sz w:val="28"/>
          <w:szCs w:val="28"/>
        </w:rPr>
        <w:t xml:space="preserve">) </w:t>
      </w:r>
      <w:proofErr w:type="gramStart"/>
      <w:r w:rsidRPr="00CD14E5">
        <w:rPr>
          <w:rFonts w:ascii="Times New Roman" w:hAnsi="Times New Roman" w:cs="Times New Roman"/>
          <w:sz w:val="28"/>
          <w:szCs w:val="28"/>
        </w:rPr>
        <w:t>аквизиции</w:t>
      </w:r>
      <w:proofErr w:type="gramEnd"/>
      <w:r w:rsidRPr="00CD14E5">
        <w:rPr>
          <w:rFonts w:ascii="Times New Roman" w:hAnsi="Times New Roman" w:cs="Times New Roman"/>
          <w:sz w:val="28"/>
          <w:szCs w:val="28"/>
        </w:rPr>
        <w:t>.</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Default="00CD14E5" w:rsidP="00CD14E5">
      <w:pPr>
        <w:spacing w:after="0" w:line="360" w:lineRule="auto"/>
        <w:jc w:val="both"/>
        <w:rPr>
          <w:rFonts w:ascii="Times New Roman" w:hAnsi="Times New Roman" w:cs="Times New Roman"/>
          <w:sz w:val="28"/>
          <w:szCs w:val="28"/>
        </w:rPr>
      </w:pPr>
    </w:p>
    <w:p w:rsidR="00CD14E5" w:rsidRPr="00CD14E5" w:rsidRDefault="00CD14E5" w:rsidP="00CD14E5">
      <w:pPr>
        <w:spacing w:after="0" w:line="360" w:lineRule="auto"/>
        <w:jc w:val="both"/>
        <w:rPr>
          <w:rFonts w:ascii="Times New Roman" w:hAnsi="Times New Roman" w:cs="Times New Roman"/>
          <w:sz w:val="28"/>
          <w:szCs w:val="28"/>
        </w:rPr>
      </w:pPr>
    </w:p>
    <w:p w:rsidR="00CD14E5" w:rsidRPr="00CD14E5" w:rsidRDefault="00CD14E5" w:rsidP="00CD14E5">
      <w:pPr>
        <w:spacing w:after="0" w:line="360" w:lineRule="auto"/>
        <w:ind w:firstLine="709"/>
        <w:jc w:val="center"/>
        <w:rPr>
          <w:rFonts w:ascii="Times New Roman" w:hAnsi="Times New Roman" w:cs="Times New Roman"/>
          <w:sz w:val="28"/>
          <w:szCs w:val="28"/>
        </w:rPr>
      </w:pPr>
      <w:r w:rsidRPr="00CD14E5">
        <w:rPr>
          <w:rFonts w:ascii="Times New Roman" w:hAnsi="Times New Roman" w:cs="Times New Roman"/>
          <w:sz w:val="28"/>
          <w:szCs w:val="28"/>
        </w:rPr>
        <w:lastRenderedPageBreak/>
        <w:t>Список использованных источников</w:t>
      </w:r>
    </w:p>
    <w:p w:rsidR="00CD14E5" w:rsidRPr="00CD14E5" w:rsidRDefault="00CD14E5" w:rsidP="00CD14E5">
      <w:pPr>
        <w:spacing w:after="0" w:line="360" w:lineRule="auto"/>
        <w:ind w:firstLine="709"/>
        <w:jc w:val="both"/>
        <w:rPr>
          <w:rFonts w:ascii="Times New Roman" w:hAnsi="Times New Roman" w:cs="Times New Roman"/>
          <w:sz w:val="28"/>
          <w:szCs w:val="28"/>
        </w:rPr>
      </w:pP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1. Бюджетный кодекс РФ от 31.07.1998 №145-ФЗ (с изменениями от 22.10.2014).</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2. Федеральный закон от 15.12.2001 N 167-ФЗ (ред. от 01.12.2014) "Об обязательном пенсионном страховании в Российской Федерации"// СЗ РФ. 1994. N 21. ст. 4832.</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3. Положение о Пенсионном фонде Российской Федерации (России) (утв. постановлением ВС РФ от 27 декабря 1991 г. N 2122-I) // СЗ РФ. 1994. N 21. ст. 3688.</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4. </w:t>
      </w:r>
      <w:proofErr w:type="spellStart"/>
      <w:r w:rsidRPr="00CD14E5">
        <w:rPr>
          <w:rFonts w:ascii="Times New Roman" w:hAnsi="Times New Roman" w:cs="Times New Roman"/>
          <w:sz w:val="28"/>
          <w:szCs w:val="28"/>
        </w:rPr>
        <w:t>Иноземцева</w:t>
      </w:r>
      <w:proofErr w:type="spellEnd"/>
      <w:r w:rsidRPr="00CD14E5">
        <w:rPr>
          <w:rFonts w:ascii="Times New Roman" w:hAnsi="Times New Roman" w:cs="Times New Roman"/>
          <w:sz w:val="28"/>
          <w:szCs w:val="28"/>
        </w:rPr>
        <w:t xml:space="preserve">, Л. П. Финансы в структурно-логических схемах: учебное пособие / Л. П. </w:t>
      </w:r>
      <w:proofErr w:type="spellStart"/>
      <w:r w:rsidRPr="00CD14E5">
        <w:rPr>
          <w:rFonts w:ascii="Times New Roman" w:hAnsi="Times New Roman" w:cs="Times New Roman"/>
          <w:sz w:val="28"/>
          <w:szCs w:val="28"/>
        </w:rPr>
        <w:t>Иноземцева</w:t>
      </w:r>
      <w:proofErr w:type="spellEnd"/>
      <w:r w:rsidRPr="00CD14E5">
        <w:rPr>
          <w:rFonts w:ascii="Times New Roman" w:hAnsi="Times New Roman" w:cs="Times New Roman"/>
          <w:sz w:val="28"/>
          <w:szCs w:val="28"/>
        </w:rPr>
        <w:t>. – Новосибирск: Изд-во СО РАН, 2004. – 228 с.</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 xml:space="preserve">5. </w:t>
      </w:r>
      <w:proofErr w:type="spellStart"/>
      <w:r w:rsidRPr="00CD14E5">
        <w:rPr>
          <w:rFonts w:ascii="Times New Roman" w:hAnsi="Times New Roman" w:cs="Times New Roman"/>
          <w:sz w:val="28"/>
          <w:szCs w:val="28"/>
        </w:rPr>
        <w:t>Иноземцева</w:t>
      </w:r>
      <w:proofErr w:type="spellEnd"/>
      <w:r w:rsidRPr="00CD14E5">
        <w:rPr>
          <w:rFonts w:ascii="Times New Roman" w:hAnsi="Times New Roman" w:cs="Times New Roman"/>
          <w:sz w:val="28"/>
          <w:szCs w:val="28"/>
        </w:rPr>
        <w:t xml:space="preserve">, Л. П. Целевые фонды в бюджетной системе Российской Федерации: учебное пособие / Л. П. </w:t>
      </w:r>
      <w:proofErr w:type="spellStart"/>
      <w:r w:rsidRPr="00CD14E5">
        <w:rPr>
          <w:rFonts w:ascii="Times New Roman" w:hAnsi="Times New Roman" w:cs="Times New Roman"/>
          <w:sz w:val="28"/>
          <w:szCs w:val="28"/>
        </w:rPr>
        <w:t>Иноземцева</w:t>
      </w:r>
      <w:proofErr w:type="spellEnd"/>
      <w:r w:rsidRPr="00CD14E5">
        <w:rPr>
          <w:rFonts w:ascii="Times New Roman" w:hAnsi="Times New Roman" w:cs="Times New Roman"/>
          <w:sz w:val="28"/>
          <w:szCs w:val="28"/>
        </w:rPr>
        <w:t>. – Томск: Изд-во ТГПУ, 2009. – 202 с.</w:t>
      </w:r>
    </w:p>
    <w:p w:rsidR="00CD14E5" w:rsidRPr="00CD14E5" w:rsidRDefault="00CD14E5" w:rsidP="00CD14E5">
      <w:pPr>
        <w:spacing w:after="0" w:line="360" w:lineRule="auto"/>
        <w:ind w:firstLine="709"/>
        <w:jc w:val="both"/>
        <w:rPr>
          <w:rFonts w:ascii="Times New Roman" w:hAnsi="Times New Roman" w:cs="Times New Roman"/>
          <w:sz w:val="28"/>
          <w:szCs w:val="28"/>
        </w:rPr>
      </w:pPr>
      <w:r w:rsidRPr="00CD14E5">
        <w:rPr>
          <w:rFonts w:ascii="Times New Roman" w:hAnsi="Times New Roman" w:cs="Times New Roman"/>
          <w:sz w:val="28"/>
          <w:szCs w:val="28"/>
        </w:rPr>
        <w:t>6. Федоров Л.В. Пенсионный фонд Российской Федерации. // М.: Дашков и Ко, 2009. - с. 245</w:t>
      </w:r>
    </w:p>
    <w:p w:rsidR="00B252CF" w:rsidRPr="00CD14E5" w:rsidRDefault="00B252CF" w:rsidP="00CD14E5">
      <w:pPr>
        <w:rPr>
          <w:szCs w:val="28"/>
        </w:rPr>
      </w:pPr>
    </w:p>
    <w:sectPr w:rsidR="00B252CF" w:rsidRPr="00CD14E5" w:rsidSect="00F2123F">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416" w:rsidRDefault="00322416" w:rsidP="00F2123F">
      <w:pPr>
        <w:spacing w:after="0" w:line="240" w:lineRule="auto"/>
      </w:pPr>
      <w:r>
        <w:separator/>
      </w:r>
    </w:p>
  </w:endnote>
  <w:endnote w:type="continuationSeparator" w:id="0">
    <w:p w:rsidR="00322416" w:rsidRDefault="00322416" w:rsidP="00F21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SOCPEUR">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66002"/>
      <w:docPartObj>
        <w:docPartGallery w:val="Page Numbers (Bottom of Page)"/>
        <w:docPartUnique/>
      </w:docPartObj>
    </w:sdtPr>
    <w:sdtEndPr/>
    <w:sdtContent>
      <w:p w:rsidR="009067F3" w:rsidRDefault="00322416">
        <w:pPr>
          <w:pStyle w:val="a5"/>
          <w:jc w:val="right"/>
        </w:pPr>
        <w:r>
          <w:fldChar w:fldCharType="begin"/>
        </w:r>
        <w:r>
          <w:instrText xml:space="preserve"> PAGE   \* MERGEFORMAT </w:instrText>
        </w:r>
        <w:r>
          <w:fldChar w:fldCharType="separate"/>
        </w:r>
        <w:r w:rsidR="00D636DB">
          <w:rPr>
            <w:noProof/>
          </w:rPr>
          <w:t>12</w:t>
        </w:r>
        <w:r>
          <w:rPr>
            <w:noProof/>
          </w:rPr>
          <w:fldChar w:fldCharType="end"/>
        </w:r>
      </w:p>
    </w:sdtContent>
  </w:sdt>
  <w:p w:rsidR="009067F3" w:rsidRDefault="009067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416" w:rsidRDefault="00322416" w:rsidP="00F2123F">
      <w:pPr>
        <w:spacing w:after="0" w:line="240" w:lineRule="auto"/>
      </w:pPr>
      <w:r>
        <w:separator/>
      </w:r>
    </w:p>
  </w:footnote>
  <w:footnote w:type="continuationSeparator" w:id="0">
    <w:p w:rsidR="00322416" w:rsidRDefault="00322416" w:rsidP="00F212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5"/>
    <w:multiLevelType w:val="multilevel"/>
    <w:tmpl w:val="0000004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59"/>
    <w:multiLevelType w:val="multilevel"/>
    <w:tmpl w:val="00000058"/>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5B"/>
    <w:multiLevelType w:val="multilevel"/>
    <w:tmpl w:val="0000005A"/>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82D59A3"/>
    <w:multiLevelType w:val="multilevel"/>
    <w:tmpl w:val="0D8AC8EC"/>
    <w:lvl w:ilvl="0">
      <w:start w:val="2"/>
      <w:numFmt w:val="decimal"/>
      <w:lvlText w:val="%1"/>
      <w:lvlJc w:val="left"/>
      <w:pPr>
        <w:ind w:left="600" w:hanging="600"/>
      </w:pPr>
      <w:rPr>
        <w:rFonts w:hint="default"/>
      </w:rPr>
    </w:lvl>
    <w:lvl w:ilvl="1">
      <w:start w:val="3"/>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nsid w:val="0A242596"/>
    <w:multiLevelType w:val="hybridMultilevel"/>
    <w:tmpl w:val="5EA69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C4382D"/>
    <w:multiLevelType w:val="multilevel"/>
    <w:tmpl w:val="B7166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905C8E"/>
    <w:multiLevelType w:val="multilevel"/>
    <w:tmpl w:val="D7EC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B11FE8"/>
    <w:multiLevelType w:val="multilevel"/>
    <w:tmpl w:val="883CD4F4"/>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58B7869"/>
    <w:multiLevelType w:val="multilevel"/>
    <w:tmpl w:val="58A4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D33F5"/>
    <w:multiLevelType w:val="multilevel"/>
    <w:tmpl w:val="F1E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553F90"/>
    <w:multiLevelType w:val="multilevel"/>
    <w:tmpl w:val="96DA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61AC7"/>
    <w:multiLevelType w:val="hybridMultilevel"/>
    <w:tmpl w:val="F35CDB6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AF219F9"/>
    <w:multiLevelType w:val="hybridMultilevel"/>
    <w:tmpl w:val="0DF6D62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58AA480A"/>
    <w:multiLevelType w:val="hybridMultilevel"/>
    <w:tmpl w:val="DE0E49A2"/>
    <w:lvl w:ilvl="0" w:tplc="6F9424F8">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5397EB1"/>
    <w:multiLevelType w:val="multilevel"/>
    <w:tmpl w:val="31F275CA"/>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408249C"/>
    <w:multiLevelType w:val="hybridMultilevel"/>
    <w:tmpl w:val="964EADE4"/>
    <w:lvl w:ilvl="0" w:tplc="A0C8879C">
      <w:start w:val="1"/>
      <w:numFmt w:val="decimal"/>
      <w:lvlText w:val="%1."/>
      <w:lvlJc w:val="left"/>
      <w:pPr>
        <w:ind w:left="1070" w:hanging="360"/>
      </w:pPr>
      <w:rPr>
        <w:rFonts w:ascii="Times New Roman" w:eastAsia="Times New Roman" w:hAnsi="Times New Roman" w:cs="Times New Roman"/>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74EE2CE0"/>
    <w:multiLevelType w:val="singleLevel"/>
    <w:tmpl w:val="7A34978C"/>
    <w:lvl w:ilvl="0">
      <w:start w:val="2"/>
      <w:numFmt w:val="bullet"/>
      <w:lvlText w:val="-"/>
      <w:lvlJc w:val="left"/>
      <w:pPr>
        <w:tabs>
          <w:tab w:val="num" w:pos="360"/>
        </w:tabs>
        <w:ind w:left="360" w:hanging="360"/>
      </w:pPr>
      <w:rPr>
        <w:rFonts w:hint="default"/>
      </w:rPr>
    </w:lvl>
  </w:abstractNum>
  <w:abstractNum w:abstractNumId="17">
    <w:nsid w:val="7DEA49D9"/>
    <w:multiLevelType w:val="multilevel"/>
    <w:tmpl w:val="C25AB1D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F6E6AF5"/>
    <w:multiLevelType w:val="hybridMultilevel"/>
    <w:tmpl w:val="0C1E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18"/>
  </w:num>
  <w:num w:numId="9">
    <w:abstractNumId w:val="16"/>
  </w:num>
  <w:num w:numId="10">
    <w:abstractNumId w:val="15"/>
  </w:num>
  <w:num w:numId="11">
    <w:abstractNumId w:val="17"/>
  </w:num>
  <w:num w:numId="12">
    <w:abstractNumId w:val="14"/>
  </w:num>
  <w:num w:numId="13">
    <w:abstractNumId w:val="3"/>
  </w:num>
  <w:num w:numId="14">
    <w:abstractNumId w:val="12"/>
  </w:num>
  <w:num w:numId="15">
    <w:abstractNumId w:val="7"/>
  </w:num>
  <w:num w:numId="16">
    <w:abstractNumId w:val="8"/>
  </w:num>
  <w:num w:numId="17">
    <w:abstractNumId w:val="6"/>
  </w:num>
  <w:num w:numId="18">
    <w:abstractNumId w:val="10"/>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123F"/>
    <w:rsid w:val="00044941"/>
    <w:rsid w:val="00045937"/>
    <w:rsid w:val="00060835"/>
    <w:rsid w:val="00070150"/>
    <w:rsid w:val="000723E2"/>
    <w:rsid w:val="0007552F"/>
    <w:rsid w:val="000A6242"/>
    <w:rsid w:val="000E27F8"/>
    <w:rsid w:val="000F501B"/>
    <w:rsid w:val="0013344A"/>
    <w:rsid w:val="00172481"/>
    <w:rsid w:val="00181019"/>
    <w:rsid w:val="002302AB"/>
    <w:rsid w:val="00257419"/>
    <w:rsid w:val="00274954"/>
    <w:rsid w:val="00284D00"/>
    <w:rsid w:val="0029511D"/>
    <w:rsid w:val="00295C07"/>
    <w:rsid w:val="00296141"/>
    <w:rsid w:val="002A0AA6"/>
    <w:rsid w:val="002A2FBF"/>
    <w:rsid w:val="002A5AC6"/>
    <w:rsid w:val="002C355C"/>
    <w:rsid w:val="002C37C9"/>
    <w:rsid w:val="002D1DC2"/>
    <w:rsid w:val="00307F6F"/>
    <w:rsid w:val="00313E36"/>
    <w:rsid w:val="003157C5"/>
    <w:rsid w:val="003179B3"/>
    <w:rsid w:val="00322416"/>
    <w:rsid w:val="00323409"/>
    <w:rsid w:val="0034512D"/>
    <w:rsid w:val="00370DCD"/>
    <w:rsid w:val="00375BFC"/>
    <w:rsid w:val="003777D2"/>
    <w:rsid w:val="003864DE"/>
    <w:rsid w:val="003D4F38"/>
    <w:rsid w:val="003D6F26"/>
    <w:rsid w:val="003E7DCB"/>
    <w:rsid w:val="003F2F76"/>
    <w:rsid w:val="00421134"/>
    <w:rsid w:val="00437BD9"/>
    <w:rsid w:val="004770EF"/>
    <w:rsid w:val="00493FEE"/>
    <w:rsid w:val="004C207A"/>
    <w:rsid w:val="004C40B4"/>
    <w:rsid w:val="004C6513"/>
    <w:rsid w:val="0050274A"/>
    <w:rsid w:val="00512D43"/>
    <w:rsid w:val="00533CB8"/>
    <w:rsid w:val="00567924"/>
    <w:rsid w:val="0057735C"/>
    <w:rsid w:val="005967B9"/>
    <w:rsid w:val="005B113C"/>
    <w:rsid w:val="005C7AED"/>
    <w:rsid w:val="005D4256"/>
    <w:rsid w:val="005D6AE3"/>
    <w:rsid w:val="005E0DA6"/>
    <w:rsid w:val="00621096"/>
    <w:rsid w:val="0066192E"/>
    <w:rsid w:val="00675F39"/>
    <w:rsid w:val="00676C4A"/>
    <w:rsid w:val="00690803"/>
    <w:rsid w:val="006B2A0A"/>
    <w:rsid w:val="006D356E"/>
    <w:rsid w:val="00707332"/>
    <w:rsid w:val="007130EE"/>
    <w:rsid w:val="00737000"/>
    <w:rsid w:val="00741711"/>
    <w:rsid w:val="00744443"/>
    <w:rsid w:val="00785A50"/>
    <w:rsid w:val="007931B8"/>
    <w:rsid w:val="007947E0"/>
    <w:rsid w:val="007A70AE"/>
    <w:rsid w:val="007B0CD8"/>
    <w:rsid w:val="007B3378"/>
    <w:rsid w:val="007B3A39"/>
    <w:rsid w:val="007C0FF1"/>
    <w:rsid w:val="007F0D21"/>
    <w:rsid w:val="0080425F"/>
    <w:rsid w:val="008179D9"/>
    <w:rsid w:val="00833BC8"/>
    <w:rsid w:val="008358FF"/>
    <w:rsid w:val="00845497"/>
    <w:rsid w:val="00865ACB"/>
    <w:rsid w:val="00866DB1"/>
    <w:rsid w:val="00873CD4"/>
    <w:rsid w:val="008A1E66"/>
    <w:rsid w:val="008A275A"/>
    <w:rsid w:val="008A46A2"/>
    <w:rsid w:val="008A4C8C"/>
    <w:rsid w:val="008C04FC"/>
    <w:rsid w:val="008D1ADD"/>
    <w:rsid w:val="008F4C33"/>
    <w:rsid w:val="009067F3"/>
    <w:rsid w:val="009254B8"/>
    <w:rsid w:val="00933EA9"/>
    <w:rsid w:val="00961866"/>
    <w:rsid w:val="00984691"/>
    <w:rsid w:val="009B1923"/>
    <w:rsid w:val="009C150E"/>
    <w:rsid w:val="009C4F95"/>
    <w:rsid w:val="009D509A"/>
    <w:rsid w:val="00A02C0C"/>
    <w:rsid w:val="00A13910"/>
    <w:rsid w:val="00A24E01"/>
    <w:rsid w:val="00A3272A"/>
    <w:rsid w:val="00A360EB"/>
    <w:rsid w:val="00A9650D"/>
    <w:rsid w:val="00AA2B97"/>
    <w:rsid w:val="00AB0866"/>
    <w:rsid w:val="00B2054B"/>
    <w:rsid w:val="00B218C5"/>
    <w:rsid w:val="00B252CF"/>
    <w:rsid w:val="00B8328A"/>
    <w:rsid w:val="00BC31C5"/>
    <w:rsid w:val="00BC6E23"/>
    <w:rsid w:val="00BD0C29"/>
    <w:rsid w:val="00BE69A1"/>
    <w:rsid w:val="00C307CC"/>
    <w:rsid w:val="00C35929"/>
    <w:rsid w:val="00C44B6B"/>
    <w:rsid w:val="00C76A82"/>
    <w:rsid w:val="00C76E00"/>
    <w:rsid w:val="00C779BA"/>
    <w:rsid w:val="00C877F3"/>
    <w:rsid w:val="00CB1FC9"/>
    <w:rsid w:val="00CD14E5"/>
    <w:rsid w:val="00CD3D2B"/>
    <w:rsid w:val="00CE74C4"/>
    <w:rsid w:val="00CF7DE7"/>
    <w:rsid w:val="00D15A99"/>
    <w:rsid w:val="00D33D4C"/>
    <w:rsid w:val="00D40C12"/>
    <w:rsid w:val="00D420ED"/>
    <w:rsid w:val="00D636DB"/>
    <w:rsid w:val="00D63BFD"/>
    <w:rsid w:val="00D84668"/>
    <w:rsid w:val="00DB1890"/>
    <w:rsid w:val="00DB3376"/>
    <w:rsid w:val="00DC0B2B"/>
    <w:rsid w:val="00DC13DC"/>
    <w:rsid w:val="00DD1952"/>
    <w:rsid w:val="00E06213"/>
    <w:rsid w:val="00E06B3F"/>
    <w:rsid w:val="00E13ED9"/>
    <w:rsid w:val="00E16C1A"/>
    <w:rsid w:val="00E171CD"/>
    <w:rsid w:val="00E509F2"/>
    <w:rsid w:val="00E66B33"/>
    <w:rsid w:val="00E77461"/>
    <w:rsid w:val="00EB4BC5"/>
    <w:rsid w:val="00EB56D9"/>
    <w:rsid w:val="00EF3E5A"/>
    <w:rsid w:val="00F05106"/>
    <w:rsid w:val="00F2123F"/>
    <w:rsid w:val="00FF42CD"/>
    <w:rsid w:val="00FF4615"/>
    <w:rsid w:val="00FF7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D71134-275B-4B15-985E-DB49A7EA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FC9"/>
  </w:style>
  <w:style w:type="paragraph" w:styleId="1">
    <w:name w:val="heading 1"/>
    <w:basedOn w:val="a"/>
    <w:next w:val="a"/>
    <w:link w:val="10"/>
    <w:uiPriority w:val="9"/>
    <w:qFormat/>
    <w:rsid w:val="0056792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C359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679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2123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2123F"/>
    <w:rPr>
      <w:lang w:eastAsia="ru-RU"/>
    </w:rPr>
  </w:style>
  <w:style w:type="paragraph" w:styleId="a5">
    <w:name w:val="footer"/>
    <w:basedOn w:val="a"/>
    <w:link w:val="a6"/>
    <w:uiPriority w:val="99"/>
    <w:unhideWhenUsed/>
    <w:rsid w:val="00F212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2123F"/>
    <w:rPr>
      <w:lang w:eastAsia="ru-RU"/>
    </w:rPr>
  </w:style>
  <w:style w:type="character" w:styleId="a7">
    <w:name w:val="annotation reference"/>
    <w:uiPriority w:val="99"/>
    <w:semiHidden/>
    <w:unhideWhenUsed/>
    <w:rsid w:val="007947E0"/>
    <w:rPr>
      <w:sz w:val="16"/>
      <w:szCs w:val="16"/>
    </w:rPr>
  </w:style>
  <w:style w:type="paragraph" w:styleId="a8">
    <w:name w:val="Balloon Text"/>
    <w:basedOn w:val="a"/>
    <w:link w:val="a9"/>
    <w:uiPriority w:val="99"/>
    <w:semiHidden/>
    <w:unhideWhenUsed/>
    <w:rsid w:val="000A62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A6242"/>
    <w:rPr>
      <w:rFonts w:ascii="Tahoma" w:hAnsi="Tahoma" w:cs="Tahoma"/>
      <w:sz w:val="16"/>
      <w:szCs w:val="16"/>
      <w:lang w:eastAsia="ru-RU"/>
    </w:rPr>
  </w:style>
  <w:style w:type="paragraph" w:styleId="aa">
    <w:name w:val="Normal (Web)"/>
    <w:basedOn w:val="a"/>
    <w:uiPriority w:val="99"/>
    <w:unhideWhenUsed/>
    <w:rsid w:val="007444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
    <w:name w:val="w"/>
    <w:basedOn w:val="a0"/>
    <w:rsid w:val="00744443"/>
  </w:style>
  <w:style w:type="character" w:customStyle="1" w:styleId="apple-converted-space">
    <w:name w:val="apple-converted-space"/>
    <w:basedOn w:val="a0"/>
    <w:rsid w:val="00744443"/>
  </w:style>
  <w:style w:type="paragraph" w:styleId="ab">
    <w:name w:val="Body Text"/>
    <w:basedOn w:val="a"/>
    <w:link w:val="11"/>
    <w:uiPriority w:val="99"/>
    <w:rsid w:val="0050274A"/>
    <w:pPr>
      <w:widowControl w:val="0"/>
      <w:shd w:val="clear" w:color="auto" w:fill="FFFFFF"/>
      <w:spacing w:after="0" w:line="482" w:lineRule="exact"/>
      <w:jc w:val="center"/>
    </w:pPr>
    <w:rPr>
      <w:rFonts w:ascii="Times New Roman" w:eastAsia="Times New Roman" w:hAnsi="Times New Roman" w:cs="Times New Roman"/>
    </w:rPr>
  </w:style>
  <w:style w:type="character" w:customStyle="1" w:styleId="ac">
    <w:name w:val="Основной текст Знак"/>
    <w:basedOn w:val="a0"/>
    <w:uiPriority w:val="99"/>
    <w:semiHidden/>
    <w:rsid w:val="0050274A"/>
    <w:rPr>
      <w:lang w:eastAsia="ru-RU"/>
    </w:rPr>
  </w:style>
  <w:style w:type="character" w:customStyle="1" w:styleId="11">
    <w:name w:val="Основной текст Знак1"/>
    <w:basedOn w:val="a0"/>
    <w:link w:val="ab"/>
    <w:uiPriority w:val="99"/>
    <w:locked/>
    <w:rsid w:val="0050274A"/>
    <w:rPr>
      <w:rFonts w:ascii="Times New Roman" w:eastAsia="Times New Roman" w:hAnsi="Times New Roman" w:cs="Times New Roman"/>
      <w:shd w:val="clear" w:color="auto" w:fill="FFFFFF"/>
      <w:lang w:eastAsia="ru-RU"/>
    </w:rPr>
  </w:style>
  <w:style w:type="character" w:customStyle="1" w:styleId="9pt">
    <w:name w:val="Основной текст + 9 pt"/>
    <w:aliases w:val="Курсив4"/>
    <w:basedOn w:val="a0"/>
    <w:uiPriority w:val="99"/>
    <w:rsid w:val="0050274A"/>
    <w:rPr>
      <w:rFonts w:ascii="Times New Roman" w:hAnsi="Times New Roman" w:cs="Times New Roman"/>
      <w:i/>
      <w:iCs/>
      <w:sz w:val="18"/>
      <w:szCs w:val="18"/>
      <w:shd w:val="clear" w:color="auto" w:fill="FFFFFF"/>
    </w:rPr>
  </w:style>
  <w:style w:type="character" w:customStyle="1" w:styleId="8pt">
    <w:name w:val="Основной текст + 8 pt"/>
    <w:aliases w:val="Интервал 1 pt"/>
    <w:basedOn w:val="a0"/>
    <w:uiPriority w:val="99"/>
    <w:rsid w:val="0050274A"/>
    <w:rPr>
      <w:rFonts w:ascii="Times New Roman" w:hAnsi="Times New Roman" w:cs="Times New Roman"/>
      <w:spacing w:val="20"/>
      <w:sz w:val="16"/>
      <w:szCs w:val="16"/>
      <w:shd w:val="clear" w:color="auto" w:fill="FFFFFF"/>
    </w:rPr>
  </w:style>
  <w:style w:type="character" w:customStyle="1" w:styleId="9pt1">
    <w:name w:val="Основной текст + 9 pt1"/>
    <w:basedOn w:val="a0"/>
    <w:uiPriority w:val="99"/>
    <w:rsid w:val="0050274A"/>
    <w:rPr>
      <w:rFonts w:ascii="Times New Roman" w:hAnsi="Times New Roman" w:cs="Times New Roman"/>
      <w:sz w:val="18"/>
      <w:szCs w:val="18"/>
      <w:shd w:val="clear" w:color="auto" w:fill="FFFFFF"/>
    </w:rPr>
  </w:style>
  <w:style w:type="character" w:customStyle="1" w:styleId="Arial">
    <w:name w:val="Основной текст + Arial"/>
    <w:aliases w:val="9,5 pt7"/>
    <w:basedOn w:val="a0"/>
    <w:uiPriority w:val="99"/>
    <w:rsid w:val="00CE74C4"/>
    <w:rPr>
      <w:rFonts w:ascii="Arial" w:hAnsi="Arial" w:cs="Arial"/>
      <w:sz w:val="19"/>
      <w:szCs w:val="19"/>
      <w:shd w:val="clear" w:color="auto" w:fill="FFFFFF"/>
    </w:rPr>
  </w:style>
  <w:style w:type="paragraph" w:styleId="ad">
    <w:name w:val="List Paragraph"/>
    <w:basedOn w:val="a"/>
    <w:uiPriority w:val="34"/>
    <w:qFormat/>
    <w:rsid w:val="008A1E66"/>
    <w:pPr>
      <w:ind w:left="720"/>
      <w:contextualSpacing/>
    </w:pPr>
    <w:rPr>
      <w:rFonts w:ascii="Calibri" w:eastAsia="Times New Roman" w:hAnsi="Calibri" w:cs="Times New Roman"/>
    </w:rPr>
  </w:style>
  <w:style w:type="character" w:customStyle="1" w:styleId="BodyTextChar">
    <w:name w:val="Body Text Char"/>
    <w:uiPriority w:val="99"/>
    <w:locked/>
    <w:rsid w:val="008A1E66"/>
    <w:rPr>
      <w:rFonts w:ascii="Times New Roman" w:hAnsi="Times New Roman" w:cs="Times New Roman" w:hint="default"/>
      <w:shd w:val="clear" w:color="auto" w:fill="FFFFFF"/>
    </w:rPr>
  </w:style>
  <w:style w:type="character" w:customStyle="1" w:styleId="Arial2">
    <w:name w:val="Основной текст + Arial2"/>
    <w:aliases w:val="18 pt"/>
    <w:basedOn w:val="BodyTextChar"/>
    <w:uiPriority w:val="99"/>
    <w:rsid w:val="008A1E66"/>
    <w:rPr>
      <w:rFonts w:ascii="Arial" w:hAnsi="Arial" w:cs="Arial" w:hint="default"/>
      <w:sz w:val="36"/>
      <w:szCs w:val="36"/>
      <w:shd w:val="clear" w:color="auto" w:fill="FFFFFF"/>
    </w:rPr>
  </w:style>
  <w:style w:type="character" w:customStyle="1" w:styleId="10">
    <w:name w:val="Заголовок 1 Знак"/>
    <w:basedOn w:val="a0"/>
    <w:link w:val="1"/>
    <w:uiPriority w:val="9"/>
    <w:rsid w:val="0056792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67924"/>
    <w:rPr>
      <w:rFonts w:ascii="Times New Roman" w:eastAsia="Times New Roman" w:hAnsi="Times New Roman" w:cs="Times New Roman"/>
      <w:b/>
      <w:bCs/>
      <w:sz w:val="27"/>
      <w:szCs w:val="27"/>
      <w:lang w:eastAsia="ru-RU"/>
    </w:rPr>
  </w:style>
  <w:style w:type="character" w:styleId="ae">
    <w:name w:val="Hyperlink"/>
    <w:basedOn w:val="a0"/>
    <w:uiPriority w:val="99"/>
    <w:semiHidden/>
    <w:unhideWhenUsed/>
    <w:rsid w:val="00567924"/>
    <w:rPr>
      <w:color w:val="0000FF"/>
      <w:u w:val="single"/>
    </w:rPr>
  </w:style>
  <w:style w:type="character" w:customStyle="1" w:styleId="mw-headline">
    <w:name w:val="mw-headline"/>
    <w:basedOn w:val="a0"/>
    <w:rsid w:val="00567924"/>
  </w:style>
  <w:style w:type="character" w:styleId="af">
    <w:name w:val="Strong"/>
    <w:basedOn w:val="a0"/>
    <w:uiPriority w:val="22"/>
    <w:qFormat/>
    <w:rsid w:val="00567924"/>
    <w:rPr>
      <w:b/>
      <w:bCs/>
    </w:rPr>
  </w:style>
  <w:style w:type="character" w:styleId="af0">
    <w:name w:val="Emphasis"/>
    <w:basedOn w:val="a0"/>
    <w:uiPriority w:val="20"/>
    <w:qFormat/>
    <w:rsid w:val="00567924"/>
    <w:rPr>
      <w:i/>
      <w:iCs/>
    </w:rPr>
  </w:style>
  <w:style w:type="paragraph" w:styleId="af1">
    <w:name w:val="Body Text Indent"/>
    <w:basedOn w:val="a"/>
    <w:link w:val="af2"/>
    <w:uiPriority w:val="99"/>
    <w:semiHidden/>
    <w:unhideWhenUsed/>
    <w:rsid w:val="00BC31C5"/>
    <w:pPr>
      <w:spacing w:after="120"/>
      <w:ind w:left="283"/>
    </w:pPr>
  </w:style>
  <w:style w:type="character" w:customStyle="1" w:styleId="af2">
    <w:name w:val="Основной текст с отступом Знак"/>
    <w:basedOn w:val="a0"/>
    <w:link w:val="af1"/>
    <w:uiPriority w:val="99"/>
    <w:semiHidden/>
    <w:rsid w:val="00BC31C5"/>
  </w:style>
  <w:style w:type="paragraph" w:styleId="af3">
    <w:name w:val="footnote text"/>
    <w:basedOn w:val="a"/>
    <w:link w:val="af4"/>
    <w:uiPriority w:val="99"/>
    <w:unhideWhenUsed/>
    <w:rsid w:val="00D420ED"/>
    <w:pPr>
      <w:spacing w:after="0" w:line="240" w:lineRule="auto"/>
    </w:pPr>
    <w:rPr>
      <w:sz w:val="20"/>
      <w:szCs w:val="20"/>
    </w:rPr>
  </w:style>
  <w:style w:type="character" w:customStyle="1" w:styleId="af4">
    <w:name w:val="Текст сноски Знак"/>
    <w:basedOn w:val="a0"/>
    <w:link w:val="af3"/>
    <w:uiPriority w:val="99"/>
    <w:rsid w:val="00D420ED"/>
    <w:rPr>
      <w:sz w:val="20"/>
      <w:szCs w:val="20"/>
    </w:rPr>
  </w:style>
  <w:style w:type="character" w:styleId="af5">
    <w:name w:val="footnote reference"/>
    <w:basedOn w:val="a0"/>
    <w:uiPriority w:val="99"/>
    <w:semiHidden/>
    <w:unhideWhenUsed/>
    <w:rsid w:val="00D420ED"/>
    <w:rPr>
      <w:vertAlign w:val="superscript"/>
    </w:rPr>
  </w:style>
  <w:style w:type="table" w:styleId="af6">
    <w:name w:val="Table Grid"/>
    <w:basedOn w:val="a1"/>
    <w:uiPriority w:val="99"/>
    <w:rsid w:val="006908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7">
    <w:name w:val="Чертежный"/>
    <w:rsid w:val="00F05106"/>
    <w:pPr>
      <w:spacing w:after="0" w:line="240" w:lineRule="auto"/>
      <w:jc w:val="both"/>
    </w:pPr>
    <w:rPr>
      <w:rFonts w:ascii="ISOCPEUR" w:eastAsia="Times New Roman" w:hAnsi="ISOCPEUR" w:cs="Times New Roman"/>
      <w:i/>
      <w:sz w:val="28"/>
      <w:szCs w:val="20"/>
      <w:lang w:val="uk-UA"/>
    </w:rPr>
  </w:style>
  <w:style w:type="table" w:customStyle="1" w:styleId="12">
    <w:name w:val="Сетка таблицы1"/>
    <w:basedOn w:val="a1"/>
    <w:next w:val="af6"/>
    <w:uiPriority w:val="59"/>
    <w:rsid w:val="00833BC8"/>
    <w:pPr>
      <w:spacing w:after="0" w:line="240" w:lineRule="auto"/>
    </w:pPr>
    <w:rPr>
      <w:rFonts w:ascii="Times New Roman" w:eastAsia="Calibr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3592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2419">
      <w:bodyDiv w:val="1"/>
      <w:marLeft w:val="0"/>
      <w:marRight w:val="0"/>
      <w:marTop w:val="0"/>
      <w:marBottom w:val="0"/>
      <w:divBdr>
        <w:top w:val="none" w:sz="0" w:space="0" w:color="auto"/>
        <w:left w:val="none" w:sz="0" w:space="0" w:color="auto"/>
        <w:bottom w:val="none" w:sz="0" w:space="0" w:color="auto"/>
        <w:right w:val="none" w:sz="0" w:space="0" w:color="auto"/>
      </w:divBdr>
    </w:div>
    <w:div w:id="147282036">
      <w:bodyDiv w:val="1"/>
      <w:marLeft w:val="0"/>
      <w:marRight w:val="0"/>
      <w:marTop w:val="0"/>
      <w:marBottom w:val="0"/>
      <w:divBdr>
        <w:top w:val="none" w:sz="0" w:space="0" w:color="auto"/>
        <w:left w:val="none" w:sz="0" w:space="0" w:color="auto"/>
        <w:bottom w:val="none" w:sz="0" w:space="0" w:color="auto"/>
        <w:right w:val="none" w:sz="0" w:space="0" w:color="auto"/>
      </w:divBdr>
    </w:div>
    <w:div w:id="330644514">
      <w:bodyDiv w:val="1"/>
      <w:marLeft w:val="0"/>
      <w:marRight w:val="0"/>
      <w:marTop w:val="0"/>
      <w:marBottom w:val="0"/>
      <w:divBdr>
        <w:top w:val="none" w:sz="0" w:space="0" w:color="auto"/>
        <w:left w:val="none" w:sz="0" w:space="0" w:color="auto"/>
        <w:bottom w:val="none" w:sz="0" w:space="0" w:color="auto"/>
        <w:right w:val="none" w:sz="0" w:space="0" w:color="auto"/>
      </w:divBdr>
    </w:div>
    <w:div w:id="419570384">
      <w:bodyDiv w:val="1"/>
      <w:marLeft w:val="0"/>
      <w:marRight w:val="0"/>
      <w:marTop w:val="0"/>
      <w:marBottom w:val="0"/>
      <w:divBdr>
        <w:top w:val="none" w:sz="0" w:space="0" w:color="auto"/>
        <w:left w:val="none" w:sz="0" w:space="0" w:color="auto"/>
        <w:bottom w:val="none" w:sz="0" w:space="0" w:color="auto"/>
        <w:right w:val="none" w:sz="0" w:space="0" w:color="auto"/>
      </w:divBdr>
    </w:div>
    <w:div w:id="488249810">
      <w:bodyDiv w:val="1"/>
      <w:marLeft w:val="0"/>
      <w:marRight w:val="0"/>
      <w:marTop w:val="0"/>
      <w:marBottom w:val="0"/>
      <w:divBdr>
        <w:top w:val="none" w:sz="0" w:space="0" w:color="auto"/>
        <w:left w:val="none" w:sz="0" w:space="0" w:color="auto"/>
        <w:bottom w:val="none" w:sz="0" w:space="0" w:color="auto"/>
        <w:right w:val="none" w:sz="0" w:space="0" w:color="auto"/>
      </w:divBdr>
    </w:div>
    <w:div w:id="511994400">
      <w:bodyDiv w:val="1"/>
      <w:marLeft w:val="0"/>
      <w:marRight w:val="0"/>
      <w:marTop w:val="0"/>
      <w:marBottom w:val="0"/>
      <w:divBdr>
        <w:top w:val="none" w:sz="0" w:space="0" w:color="auto"/>
        <w:left w:val="none" w:sz="0" w:space="0" w:color="auto"/>
        <w:bottom w:val="none" w:sz="0" w:space="0" w:color="auto"/>
        <w:right w:val="none" w:sz="0" w:space="0" w:color="auto"/>
      </w:divBdr>
    </w:div>
    <w:div w:id="735475351">
      <w:bodyDiv w:val="1"/>
      <w:marLeft w:val="0"/>
      <w:marRight w:val="0"/>
      <w:marTop w:val="0"/>
      <w:marBottom w:val="0"/>
      <w:divBdr>
        <w:top w:val="none" w:sz="0" w:space="0" w:color="auto"/>
        <w:left w:val="none" w:sz="0" w:space="0" w:color="auto"/>
        <w:bottom w:val="none" w:sz="0" w:space="0" w:color="auto"/>
        <w:right w:val="none" w:sz="0" w:space="0" w:color="auto"/>
      </w:divBdr>
    </w:div>
    <w:div w:id="794056260">
      <w:bodyDiv w:val="1"/>
      <w:marLeft w:val="0"/>
      <w:marRight w:val="0"/>
      <w:marTop w:val="0"/>
      <w:marBottom w:val="0"/>
      <w:divBdr>
        <w:top w:val="none" w:sz="0" w:space="0" w:color="auto"/>
        <w:left w:val="none" w:sz="0" w:space="0" w:color="auto"/>
        <w:bottom w:val="none" w:sz="0" w:space="0" w:color="auto"/>
        <w:right w:val="none" w:sz="0" w:space="0" w:color="auto"/>
      </w:divBdr>
    </w:div>
    <w:div w:id="918178189">
      <w:bodyDiv w:val="1"/>
      <w:marLeft w:val="0"/>
      <w:marRight w:val="0"/>
      <w:marTop w:val="0"/>
      <w:marBottom w:val="0"/>
      <w:divBdr>
        <w:top w:val="none" w:sz="0" w:space="0" w:color="auto"/>
        <w:left w:val="none" w:sz="0" w:space="0" w:color="auto"/>
        <w:bottom w:val="none" w:sz="0" w:space="0" w:color="auto"/>
        <w:right w:val="none" w:sz="0" w:space="0" w:color="auto"/>
      </w:divBdr>
    </w:div>
    <w:div w:id="1385981397">
      <w:bodyDiv w:val="1"/>
      <w:marLeft w:val="0"/>
      <w:marRight w:val="0"/>
      <w:marTop w:val="0"/>
      <w:marBottom w:val="0"/>
      <w:divBdr>
        <w:top w:val="none" w:sz="0" w:space="0" w:color="auto"/>
        <w:left w:val="none" w:sz="0" w:space="0" w:color="auto"/>
        <w:bottom w:val="none" w:sz="0" w:space="0" w:color="auto"/>
        <w:right w:val="none" w:sz="0" w:space="0" w:color="auto"/>
      </w:divBdr>
    </w:div>
    <w:div w:id="1585071863">
      <w:bodyDiv w:val="1"/>
      <w:marLeft w:val="0"/>
      <w:marRight w:val="0"/>
      <w:marTop w:val="0"/>
      <w:marBottom w:val="0"/>
      <w:divBdr>
        <w:top w:val="none" w:sz="0" w:space="0" w:color="auto"/>
        <w:left w:val="none" w:sz="0" w:space="0" w:color="auto"/>
        <w:bottom w:val="none" w:sz="0" w:space="0" w:color="auto"/>
        <w:right w:val="none" w:sz="0" w:space="0" w:color="auto"/>
      </w:divBdr>
    </w:div>
    <w:div w:id="1679770999">
      <w:bodyDiv w:val="1"/>
      <w:marLeft w:val="0"/>
      <w:marRight w:val="0"/>
      <w:marTop w:val="0"/>
      <w:marBottom w:val="0"/>
      <w:divBdr>
        <w:top w:val="none" w:sz="0" w:space="0" w:color="auto"/>
        <w:left w:val="none" w:sz="0" w:space="0" w:color="auto"/>
        <w:bottom w:val="none" w:sz="0" w:space="0" w:color="auto"/>
        <w:right w:val="none" w:sz="0" w:space="0" w:color="auto"/>
      </w:divBdr>
    </w:div>
    <w:div w:id="1752660280">
      <w:bodyDiv w:val="1"/>
      <w:marLeft w:val="0"/>
      <w:marRight w:val="0"/>
      <w:marTop w:val="0"/>
      <w:marBottom w:val="0"/>
      <w:divBdr>
        <w:top w:val="none" w:sz="0" w:space="0" w:color="auto"/>
        <w:left w:val="none" w:sz="0" w:space="0" w:color="auto"/>
        <w:bottom w:val="none" w:sz="0" w:space="0" w:color="auto"/>
        <w:right w:val="none" w:sz="0" w:space="0" w:color="auto"/>
      </w:divBdr>
    </w:div>
    <w:div w:id="1758750612">
      <w:bodyDiv w:val="1"/>
      <w:marLeft w:val="0"/>
      <w:marRight w:val="0"/>
      <w:marTop w:val="0"/>
      <w:marBottom w:val="0"/>
      <w:divBdr>
        <w:top w:val="none" w:sz="0" w:space="0" w:color="auto"/>
        <w:left w:val="none" w:sz="0" w:space="0" w:color="auto"/>
        <w:bottom w:val="none" w:sz="0" w:space="0" w:color="auto"/>
        <w:right w:val="none" w:sz="0" w:space="0" w:color="auto"/>
      </w:divBdr>
    </w:div>
    <w:div w:id="1812281471">
      <w:bodyDiv w:val="1"/>
      <w:marLeft w:val="0"/>
      <w:marRight w:val="0"/>
      <w:marTop w:val="0"/>
      <w:marBottom w:val="0"/>
      <w:divBdr>
        <w:top w:val="none" w:sz="0" w:space="0" w:color="auto"/>
        <w:left w:val="none" w:sz="0" w:space="0" w:color="auto"/>
        <w:bottom w:val="none" w:sz="0" w:space="0" w:color="auto"/>
        <w:right w:val="none" w:sz="0" w:space="0" w:color="auto"/>
      </w:divBdr>
    </w:div>
    <w:div w:id="2022656661">
      <w:bodyDiv w:val="1"/>
      <w:marLeft w:val="0"/>
      <w:marRight w:val="0"/>
      <w:marTop w:val="0"/>
      <w:marBottom w:val="0"/>
      <w:divBdr>
        <w:top w:val="none" w:sz="0" w:space="0" w:color="auto"/>
        <w:left w:val="none" w:sz="0" w:space="0" w:color="auto"/>
        <w:bottom w:val="none" w:sz="0" w:space="0" w:color="auto"/>
        <w:right w:val="none" w:sz="0" w:space="0" w:color="auto"/>
      </w:divBdr>
    </w:div>
    <w:div w:id="205056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urance-institute.ru/?pageID=bd657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1A75F-15FC-482D-8BBB-7681EB90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12</Pages>
  <Words>2437</Words>
  <Characters>13893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41</cp:revision>
  <cp:lastPrinted>2016-06-10T12:23:00Z</cp:lastPrinted>
  <dcterms:created xsi:type="dcterms:W3CDTF">2016-05-29T22:19:00Z</dcterms:created>
  <dcterms:modified xsi:type="dcterms:W3CDTF">2016-06-10T12:34:00Z</dcterms:modified>
</cp:coreProperties>
</file>