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F6" w:rsidRPr="004726F6" w:rsidRDefault="004726F6" w:rsidP="00FB2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  <w:sectPr w:rsidR="004726F6" w:rsidRPr="004726F6" w:rsidSect="00A10BDD">
          <w:footerReference w:type="default" r:id="rId8"/>
          <w:pgSz w:w="12240" w:h="15840"/>
          <w:pgMar w:top="1134" w:right="85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A10BDD" w:rsidRPr="00FB24D0" w:rsidRDefault="00A10B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65ECC" w:rsidRPr="00AF59FE" w:rsidRDefault="00AF59FE" w:rsidP="00AF59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Решение задачи</w:t>
      </w:r>
    </w:p>
    <w:p w:rsidR="00C65ECC" w:rsidRDefault="00630398" w:rsidP="00AF59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AF59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Условие: </w:t>
      </w:r>
      <w:r w:rsidR="00C65ECC" w:rsidRPr="00AF59FE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Компании</w:t>
      </w:r>
      <w:proofErr w:type="gramStart"/>
      <w:r w:rsidR="00C65ECC" w:rsidRPr="00AF59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="00C65ECC" w:rsidRPr="00AF59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 являются членами одной группы компаний и удовлетворяют критериям для объединения в консолидированную группу налогоплательщиков. У компаний в отчетном периоде не было операций друг с другом. По данным отчетов о финансовых результатах рассчитать налог на прибыль (ставка 20%) консолидированного налогоплательщика. Для простоты расчета принять, что налоговая база по налогу на прибыль совпадает с прибылью (убытком) до налогообложения.</w:t>
      </w:r>
    </w:p>
    <w:p w:rsidR="008C206B" w:rsidRPr="00AF59FE" w:rsidRDefault="008C206B" w:rsidP="00AF59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6C16" w:rsidRPr="00AF59FE" w:rsidRDefault="00AC6C16" w:rsidP="00E851EE">
      <w:pPr>
        <w:pStyle w:val="af0"/>
        <w:ind w:firstLine="686"/>
        <w:rPr>
          <w:snapToGrid w:val="0"/>
          <w:sz w:val="24"/>
          <w:szCs w:val="24"/>
        </w:rPr>
      </w:pPr>
      <w:r w:rsidRPr="00AF59FE">
        <w:rPr>
          <w:snapToGrid w:val="0"/>
          <w:sz w:val="24"/>
          <w:szCs w:val="24"/>
        </w:rPr>
        <w:t>Отчет о финансовых результатах за 20</w:t>
      </w:r>
      <w:r w:rsidR="000B7C27">
        <w:rPr>
          <w:snapToGrid w:val="0"/>
          <w:sz w:val="24"/>
          <w:szCs w:val="24"/>
        </w:rPr>
        <w:t>16</w:t>
      </w:r>
      <w:r w:rsidRPr="00AF59FE">
        <w:rPr>
          <w:snapToGrid w:val="0"/>
          <w:sz w:val="24"/>
          <w:szCs w:val="24"/>
        </w:rPr>
        <w:t> год, тыс. руб.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0"/>
        <w:gridCol w:w="1985"/>
        <w:gridCol w:w="2126"/>
      </w:tblGrid>
      <w:tr w:rsidR="00AC6C16" w:rsidRPr="00AF59FE" w:rsidTr="002207A3"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0B7C27" w:rsidRDefault="00AC6C16" w:rsidP="000B7C27">
            <w:pPr>
              <w:pStyle w:val="af0"/>
              <w:ind w:firstLine="0"/>
              <w:jc w:val="center"/>
              <w:rPr>
                <w:b/>
                <w:sz w:val="24"/>
                <w:szCs w:val="24"/>
              </w:rPr>
            </w:pPr>
            <w:r w:rsidRPr="000B7C27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0B7C27" w:rsidRDefault="00AC6C16" w:rsidP="000B7C27">
            <w:pPr>
              <w:pStyle w:val="af0"/>
              <w:ind w:firstLine="0"/>
              <w:jc w:val="center"/>
              <w:rPr>
                <w:b/>
                <w:sz w:val="24"/>
                <w:szCs w:val="24"/>
              </w:rPr>
            </w:pPr>
            <w:r w:rsidRPr="000B7C27">
              <w:rPr>
                <w:b/>
                <w:sz w:val="24"/>
                <w:szCs w:val="24"/>
              </w:rPr>
              <w:t>Компания</w:t>
            </w:r>
            <w:proofErr w:type="gramStart"/>
            <w:r w:rsidRPr="000B7C27">
              <w:rPr>
                <w:b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0B7C27" w:rsidRDefault="00AC6C16" w:rsidP="000B7C27">
            <w:pPr>
              <w:pStyle w:val="af0"/>
              <w:ind w:firstLine="0"/>
              <w:jc w:val="center"/>
              <w:rPr>
                <w:b/>
                <w:sz w:val="24"/>
                <w:szCs w:val="24"/>
              </w:rPr>
            </w:pPr>
            <w:r w:rsidRPr="000B7C27">
              <w:rPr>
                <w:b/>
                <w:sz w:val="24"/>
                <w:szCs w:val="24"/>
              </w:rPr>
              <w:t>Компания</w:t>
            </w:r>
            <w:proofErr w:type="gramStart"/>
            <w:r w:rsidRPr="000B7C27">
              <w:rPr>
                <w:b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AC6C16" w:rsidRPr="00AF59FE" w:rsidTr="002207A3">
        <w:tc>
          <w:tcPr>
            <w:tcW w:w="5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Выручка от реализации продукции (работ, услуг)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70256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50000</w:t>
            </w:r>
          </w:p>
        </w:tc>
      </w:tr>
      <w:tr w:rsidR="00AC6C16" w:rsidRPr="00AF59FE" w:rsidTr="002207A3">
        <w:tc>
          <w:tcPr>
            <w:tcW w:w="5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Себестоимость продаж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40516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38000</w:t>
            </w:r>
          </w:p>
        </w:tc>
      </w:tr>
      <w:tr w:rsidR="00AC6C16" w:rsidRPr="00AF59FE" w:rsidTr="002207A3">
        <w:tc>
          <w:tcPr>
            <w:tcW w:w="5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Валовая прибыль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29740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12000</w:t>
            </w:r>
          </w:p>
        </w:tc>
      </w:tr>
      <w:tr w:rsidR="00AC6C16" w:rsidRPr="00AF59FE" w:rsidTr="002207A3">
        <w:tc>
          <w:tcPr>
            <w:tcW w:w="5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Коммерческие расходы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4270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2340</w:t>
            </w:r>
          </w:p>
        </w:tc>
      </w:tr>
      <w:tr w:rsidR="00AC6C16" w:rsidRPr="00AF59FE" w:rsidTr="002207A3">
        <w:tc>
          <w:tcPr>
            <w:tcW w:w="5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Управленческие расходы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6925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7500</w:t>
            </w:r>
          </w:p>
        </w:tc>
      </w:tr>
      <w:tr w:rsidR="00AC6C16" w:rsidRPr="00AF59FE" w:rsidTr="002207A3">
        <w:tc>
          <w:tcPr>
            <w:tcW w:w="5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18545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2160</w:t>
            </w:r>
          </w:p>
        </w:tc>
      </w:tr>
      <w:tr w:rsidR="00AC6C16" w:rsidRPr="00AF59FE" w:rsidTr="002207A3">
        <w:tc>
          <w:tcPr>
            <w:tcW w:w="5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Прочие доходы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10000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2000</w:t>
            </w:r>
          </w:p>
        </w:tc>
      </w:tr>
      <w:tr w:rsidR="00AC6C16" w:rsidRPr="00AF59FE" w:rsidTr="002207A3">
        <w:tc>
          <w:tcPr>
            <w:tcW w:w="5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22000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10200</w:t>
            </w:r>
          </w:p>
        </w:tc>
      </w:tr>
      <w:tr w:rsidR="00AC6C16" w:rsidRPr="00AF59FE" w:rsidTr="002207A3">
        <w:tc>
          <w:tcPr>
            <w:tcW w:w="5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8545</w:t>
            </w:r>
          </w:p>
        </w:tc>
        <w:tc>
          <w:tcPr>
            <w:tcW w:w="212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C6C16" w:rsidRPr="00AF59FE" w:rsidRDefault="00AC6C16" w:rsidP="002207A3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 w:rsidRPr="00AF59FE">
              <w:rPr>
                <w:sz w:val="24"/>
                <w:szCs w:val="24"/>
              </w:rPr>
              <w:t>(6040)</w:t>
            </w:r>
          </w:p>
        </w:tc>
      </w:tr>
    </w:tbl>
    <w:p w:rsidR="00AC6C16" w:rsidRDefault="00AC6C16" w:rsidP="00AC6C16">
      <w:pPr>
        <w:pStyle w:val="af0"/>
        <w:rPr>
          <w:snapToGrid w:val="0"/>
          <w:sz w:val="24"/>
          <w:szCs w:val="24"/>
        </w:rPr>
      </w:pPr>
    </w:p>
    <w:p w:rsidR="000B7C27" w:rsidRDefault="008C206B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1EE">
        <w:rPr>
          <w:rFonts w:ascii="Times New Roman" w:hAnsi="Times New Roman" w:cs="Times New Roman"/>
          <w:bCs/>
          <w:sz w:val="24"/>
          <w:szCs w:val="24"/>
        </w:rPr>
        <w:t>Выгодно ли объединение в консолидированную группу налогоплательщиков? Ответ поясните. Рассчитайте налог на прибыль при условии, что в течение отчетного периода Компания</w:t>
      </w:r>
      <w:proofErr w:type="gramStart"/>
      <w:r w:rsidRPr="00E851EE"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 w:rsidRPr="00E851EE">
        <w:rPr>
          <w:rFonts w:ascii="Times New Roman" w:hAnsi="Times New Roman" w:cs="Times New Roman"/>
          <w:bCs/>
          <w:sz w:val="24"/>
          <w:szCs w:val="24"/>
        </w:rPr>
        <w:t xml:space="preserve"> начислила резерв по сомнительным долгам под дебиторскую задолженность от Компании Б в размере 10000 тыс. руб.</w:t>
      </w:r>
    </w:p>
    <w:p w:rsidR="00E851EE" w:rsidRDefault="00E851EE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851EE" w:rsidRDefault="00BC2BAA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Решение:</w:t>
      </w:r>
    </w:p>
    <w:p w:rsidR="00BC2BAA" w:rsidRDefault="00BC2BAA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BAA" w:rsidRDefault="00204404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Рассчитаем налог на прибыль компании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 компании Б до </w:t>
      </w:r>
      <w:r w:rsidR="00E168B5">
        <w:rPr>
          <w:rFonts w:ascii="Times New Roman" w:hAnsi="Times New Roman" w:cs="Times New Roman"/>
          <w:bCs/>
          <w:sz w:val="24"/>
          <w:szCs w:val="24"/>
        </w:rPr>
        <w:t>объединения в консолидированную группу налогоплательщиков.</w:t>
      </w:r>
    </w:p>
    <w:p w:rsidR="00E168B5" w:rsidRDefault="00E168B5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168B5" w:rsidRDefault="00E168B5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Компания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B21DC0" w:rsidRDefault="00B21DC0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1DC0" w:rsidRDefault="00B21DC0" w:rsidP="00B21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Прибыль до налогообложения = 70 256 – 40 516 – 4 270 – 6 925 + 10 000 – 22 000 = 6 545 тыс. руб.</w:t>
      </w:r>
    </w:p>
    <w:p w:rsidR="00E168B5" w:rsidRDefault="00E168B5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8B5">
        <w:rPr>
          <w:rFonts w:ascii="Times New Roman" w:hAnsi="Times New Roman" w:cs="Times New Roman"/>
          <w:bCs/>
          <w:sz w:val="24"/>
          <w:szCs w:val="24"/>
        </w:rPr>
        <w:t xml:space="preserve">Текущий налог на прибыль = </w:t>
      </w:r>
      <w:r w:rsidR="00E1216E">
        <w:rPr>
          <w:rFonts w:ascii="Times New Roman" w:hAnsi="Times New Roman" w:cs="Times New Roman"/>
          <w:bCs/>
          <w:sz w:val="24"/>
          <w:szCs w:val="24"/>
        </w:rPr>
        <w:t>6</w:t>
      </w:r>
      <w:r w:rsidRPr="00E168B5">
        <w:rPr>
          <w:rFonts w:ascii="Times New Roman" w:hAnsi="Times New Roman" w:cs="Times New Roman"/>
          <w:bCs/>
          <w:sz w:val="24"/>
          <w:szCs w:val="24"/>
        </w:rPr>
        <w:t xml:space="preserve"> 5</w:t>
      </w:r>
      <w:r>
        <w:rPr>
          <w:rFonts w:ascii="Times New Roman" w:hAnsi="Times New Roman" w:cs="Times New Roman"/>
          <w:bCs/>
          <w:sz w:val="24"/>
          <w:szCs w:val="24"/>
        </w:rPr>
        <w:t>45 * 20 / 100 = 1 309 тыс. руб.</w:t>
      </w:r>
    </w:p>
    <w:p w:rsidR="00E168B5" w:rsidRDefault="00E168B5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168B5" w:rsidRDefault="00E168B5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Компания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в отчетном году </w:t>
      </w:r>
      <w:r w:rsidR="002207A3">
        <w:rPr>
          <w:rFonts w:ascii="Times New Roman" w:hAnsi="Times New Roman" w:cs="Times New Roman"/>
          <w:bCs/>
          <w:sz w:val="24"/>
          <w:szCs w:val="24"/>
        </w:rPr>
        <w:t>получила убыток. Поэтому она не платит налог на прибыль.</w:t>
      </w:r>
    </w:p>
    <w:p w:rsidR="002207A3" w:rsidRDefault="002207A3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07A3" w:rsidRDefault="002207A3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Рассчитаем налог на прибыль после объединения в консолидированную группу налогоплательщиков</w:t>
      </w:r>
      <w:r w:rsidR="003E3568">
        <w:rPr>
          <w:rFonts w:ascii="Times New Roman" w:hAnsi="Times New Roman" w:cs="Times New Roman"/>
          <w:bCs/>
          <w:sz w:val="24"/>
          <w:szCs w:val="24"/>
        </w:rPr>
        <w:t>.</w:t>
      </w:r>
    </w:p>
    <w:p w:rsidR="003E3568" w:rsidRDefault="003E3568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E3568" w:rsidRDefault="003E3568" w:rsidP="003E3568">
      <w:pPr>
        <w:pStyle w:val="af0"/>
        <w:rPr>
          <w:snapToGrid w:val="0"/>
          <w:sz w:val="24"/>
          <w:szCs w:val="24"/>
        </w:rPr>
      </w:pPr>
      <w:r w:rsidRPr="006A169C">
        <w:rPr>
          <w:snapToGrid w:val="0"/>
          <w:sz w:val="24"/>
          <w:szCs w:val="24"/>
        </w:rPr>
        <w:t>Налоговая база = 8545 – 6040 = 2505 тыс. руб.</w:t>
      </w:r>
      <w:r>
        <w:rPr>
          <w:snapToGrid w:val="0"/>
          <w:sz w:val="24"/>
          <w:szCs w:val="24"/>
        </w:rPr>
        <w:t>;</w:t>
      </w:r>
    </w:p>
    <w:p w:rsidR="003E3568" w:rsidRPr="006A169C" w:rsidRDefault="003E3568" w:rsidP="003E3568">
      <w:pPr>
        <w:pStyle w:val="af0"/>
        <w:rPr>
          <w:snapToGrid w:val="0"/>
          <w:sz w:val="24"/>
          <w:szCs w:val="24"/>
        </w:rPr>
      </w:pPr>
      <w:r w:rsidRPr="006A169C">
        <w:rPr>
          <w:snapToGrid w:val="0"/>
          <w:sz w:val="24"/>
          <w:szCs w:val="24"/>
        </w:rPr>
        <w:t>Налог на прибыль = 2505 * 20% / 100% = 501 тыс. руб.</w:t>
      </w:r>
    </w:p>
    <w:p w:rsidR="003E3568" w:rsidRDefault="003E3568" w:rsidP="003E3568">
      <w:pPr>
        <w:pStyle w:val="af0"/>
        <w:rPr>
          <w:snapToGrid w:val="0"/>
          <w:sz w:val="24"/>
          <w:szCs w:val="24"/>
        </w:rPr>
      </w:pPr>
    </w:p>
    <w:p w:rsidR="003E3568" w:rsidRDefault="00E1216E" w:rsidP="003E3568">
      <w:pPr>
        <w:pStyle w:val="af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Таким образом, о</w:t>
      </w:r>
      <w:r w:rsidRPr="00E1216E">
        <w:rPr>
          <w:snapToGrid w:val="0"/>
          <w:sz w:val="24"/>
          <w:szCs w:val="24"/>
        </w:rPr>
        <w:t xml:space="preserve">бъединение в консолидированную группу налогоплательщиков </w:t>
      </w:r>
      <w:r>
        <w:rPr>
          <w:snapToGrid w:val="0"/>
          <w:sz w:val="24"/>
          <w:szCs w:val="24"/>
        </w:rPr>
        <w:t>будет выгодным, поскольку снижается сумма налога на прибыль, уплачиваемая в бюджет. Так, для компании</w:t>
      </w:r>
      <w:proofErr w:type="gramStart"/>
      <w:r>
        <w:rPr>
          <w:snapToGrid w:val="0"/>
          <w:sz w:val="24"/>
          <w:szCs w:val="24"/>
        </w:rPr>
        <w:t xml:space="preserve"> А</w:t>
      </w:r>
      <w:proofErr w:type="gramEnd"/>
      <w:r>
        <w:rPr>
          <w:snapToGrid w:val="0"/>
          <w:sz w:val="24"/>
          <w:szCs w:val="24"/>
        </w:rPr>
        <w:t xml:space="preserve"> сумма налога на прибыль до объединения в КГН составляет 1 309 тыс. руб., после – 501 тыс. руб.</w:t>
      </w:r>
      <w:r w:rsidR="00B21DC0">
        <w:rPr>
          <w:snapToGrid w:val="0"/>
          <w:sz w:val="24"/>
          <w:szCs w:val="24"/>
        </w:rPr>
        <w:t xml:space="preserve"> У компании Б в отчетном году не возникает обязательств по уплате налогов в связи с получением убытка.</w:t>
      </w:r>
    </w:p>
    <w:p w:rsidR="00B21DC0" w:rsidRPr="006A169C" w:rsidRDefault="00B21DC0" w:rsidP="00B21DC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A169C">
        <w:rPr>
          <w:rFonts w:ascii="Times New Roman" w:hAnsi="Times New Roman"/>
          <w:snapToGrid w:val="0"/>
          <w:sz w:val="24"/>
          <w:szCs w:val="24"/>
        </w:rPr>
        <w:t>Согласно п. 3 ст. 278.1 НК РФ у</w:t>
      </w:r>
      <w:r w:rsidRPr="006A169C">
        <w:rPr>
          <w:rFonts w:ascii="Times New Roman" w:hAnsi="Times New Roman"/>
          <w:bCs/>
          <w:sz w:val="24"/>
          <w:szCs w:val="24"/>
        </w:rPr>
        <w:t xml:space="preserve">частники консолидированной группы налогоплательщиков не формируют резервы по сомнительным долгам в соответствии со </w:t>
      </w:r>
      <w:hyperlink r:id="rId9" w:history="1">
        <w:r w:rsidRPr="006A169C">
          <w:rPr>
            <w:rFonts w:ascii="Times New Roman" w:hAnsi="Times New Roman"/>
            <w:bCs/>
            <w:sz w:val="24"/>
            <w:szCs w:val="24"/>
          </w:rPr>
          <w:t>ст. 266</w:t>
        </w:r>
      </w:hyperlink>
      <w:r w:rsidRPr="006A169C">
        <w:rPr>
          <w:rFonts w:ascii="Times New Roman" w:hAnsi="Times New Roman"/>
          <w:bCs/>
          <w:sz w:val="24"/>
          <w:szCs w:val="24"/>
        </w:rPr>
        <w:t xml:space="preserve"> НК РФ в части задолженности одних участников этой группы перед другими участниками такой группы</w:t>
      </w:r>
      <w:r w:rsidR="00965D41">
        <w:rPr>
          <w:rFonts w:ascii="Times New Roman" w:hAnsi="Times New Roman"/>
          <w:bCs/>
          <w:sz w:val="24"/>
          <w:szCs w:val="24"/>
        </w:rPr>
        <w:t xml:space="preserve"> </w:t>
      </w:r>
      <w:r w:rsidR="00965D41" w:rsidRPr="00965D41">
        <w:rPr>
          <w:rFonts w:ascii="Times New Roman" w:hAnsi="Times New Roman"/>
          <w:bCs/>
          <w:sz w:val="24"/>
          <w:szCs w:val="24"/>
        </w:rPr>
        <w:t>[1]</w:t>
      </w:r>
      <w:r w:rsidRPr="006A169C">
        <w:rPr>
          <w:rFonts w:ascii="Times New Roman" w:hAnsi="Times New Roman"/>
          <w:bCs/>
          <w:sz w:val="24"/>
          <w:szCs w:val="24"/>
        </w:rPr>
        <w:t>.</w:t>
      </w:r>
    </w:p>
    <w:p w:rsidR="00B21DC0" w:rsidRPr="006A169C" w:rsidRDefault="00B21DC0" w:rsidP="003E3568">
      <w:pPr>
        <w:pStyle w:val="af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Следовательно, </w:t>
      </w:r>
      <w:r w:rsidR="00110184">
        <w:rPr>
          <w:snapToGrid w:val="0"/>
          <w:sz w:val="24"/>
          <w:szCs w:val="24"/>
        </w:rPr>
        <w:t>такой расчет не производится.</w:t>
      </w:r>
    </w:p>
    <w:p w:rsidR="003E3568" w:rsidRPr="00E851EE" w:rsidRDefault="003E3568" w:rsidP="008C20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7C27" w:rsidRPr="00E851EE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C27" w:rsidRDefault="000B7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184" w:rsidRDefault="00110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26F6" w:rsidRPr="00FB24D0" w:rsidRDefault="004726F6" w:rsidP="00FB24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726F6" w:rsidRPr="00FB24D0" w:rsidSect="000114AB">
      <w:pgSz w:w="12240" w:h="15840"/>
      <w:pgMar w:top="1134" w:right="850" w:bottom="1134" w:left="1701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DD7" w:rsidRDefault="00206DD7" w:rsidP="002A7E4A">
      <w:pPr>
        <w:spacing w:after="0" w:line="240" w:lineRule="auto"/>
      </w:pPr>
      <w:r>
        <w:separator/>
      </w:r>
    </w:p>
  </w:endnote>
  <w:endnote w:type="continuationSeparator" w:id="0">
    <w:p w:rsidR="00206DD7" w:rsidRDefault="00206DD7" w:rsidP="002A7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4163416"/>
      <w:docPartObj>
        <w:docPartGallery w:val="Page Numbers (Bottom of Page)"/>
        <w:docPartUnique/>
      </w:docPartObj>
    </w:sdtPr>
    <w:sdtContent>
      <w:p w:rsidR="0033570A" w:rsidRDefault="005D66D2">
        <w:pPr>
          <w:pStyle w:val="a5"/>
          <w:jc w:val="right"/>
        </w:pPr>
        <w:r w:rsidRPr="00ED0406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33570A" w:rsidRPr="00ED0406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ED0406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FB24D0">
          <w:rPr>
            <w:rFonts w:ascii="Times New Roman" w:hAnsi="Times New Roman" w:cs="Times New Roman"/>
            <w:noProof/>
            <w:sz w:val="18"/>
            <w:szCs w:val="18"/>
          </w:rPr>
          <w:t>3</w:t>
        </w:r>
        <w:r w:rsidRPr="00ED0406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3570A" w:rsidRDefault="003357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DD7" w:rsidRDefault="00206DD7" w:rsidP="002A7E4A">
      <w:pPr>
        <w:spacing w:after="0" w:line="240" w:lineRule="auto"/>
      </w:pPr>
      <w:r>
        <w:separator/>
      </w:r>
    </w:p>
  </w:footnote>
  <w:footnote w:type="continuationSeparator" w:id="0">
    <w:p w:rsidR="00206DD7" w:rsidRDefault="00206DD7" w:rsidP="002A7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74C2E"/>
    <w:multiLevelType w:val="hybridMultilevel"/>
    <w:tmpl w:val="5F1634AC"/>
    <w:lvl w:ilvl="0" w:tplc="4670A0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6839"/>
    <w:rsid w:val="00010F2D"/>
    <w:rsid w:val="000114AB"/>
    <w:rsid w:val="000A53F6"/>
    <w:rsid w:val="000B7C27"/>
    <w:rsid w:val="000C5A35"/>
    <w:rsid w:val="000D77D0"/>
    <w:rsid w:val="000F19AF"/>
    <w:rsid w:val="00110184"/>
    <w:rsid w:val="001442BB"/>
    <w:rsid w:val="00184319"/>
    <w:rsid w:val="001A0A89"/>
    <w:rsid w:val="001C6EF6"/>
    <w:rsid w:val="00204404"/>
    <w:rsid w:val="00206DD7"/>
    <w:rsid w:val="002207A3"/>
    <w:rsid w:val="00232CBD"/>
    <w:rsid w:val="00297399"/>
    <w:rsid w:val="002A7E4A"/>
    <w:rsid w:val="00311576"/>
    <w:rsid w:val="0033570A"/>
    <w:rsid w:val="00353D2F"/>
    <w:rsid w:val="00356310"/>
    <w:rsid w:val="003720A8"/>
    <w:rsid w:val="00385EBD"/>
    <w:rsid w:val="003A7F47"/>
    <w:rsid w:val="003E3568"/>
    <w:rsid w:val="003F2102"/>
    <w:rsid w:val="0040233B"/>
    <w:rsid w:val="00404CEC"/>
    <w:rsid w:val="0043018E"/>
    <w:rsid w:val="00436794"/>
    <w:rsid w:val="00436DDE"/>
    <w:rsid w:val="00464A14"/>
    <w:rsid w:val="004716BC"/>
    <w:rsid w:val="004726F6"/>
    <w:rsid w:val="00490920"/>
    <w:rsid w:val="004A0A8E"/>
    <w:rsid w:val="00537D91"/>
    <w:rsid w:val="00557E06"/>
    <w:rsid w:val="00570FFB"/>
    <w:rsid w:val="00583840"/>
    <w:rsid w:val="00586DB6"/>
    <w:rsid w:val="005C18A6"/>
    <w:rsid w:val="005D66D2"/>
    <w:rsid w:val="00630398"/>
    <w:rsid w:val="00631344"/>
    <w:rsid w:val="006475E7"/>
    <w:rsid w:val="00652BCF"/>
    <w:rsid w:val="006625D1"/>
    <w:rsid w:val="006F4D67"/>
    <w:rsid w:val="00717F84"/>
    <w:rsid w:val="00724492"/>
    <w:rsid w:val="007425B5"/>
    <w:rsid w:val="0074607A"/>
    <w:rsid w:val="00761EFE"/>
    <w:rsid w:val="00774B0A"/>
    <w:rsid w:val="007874EC"/>
    <w:rsid w:val="007A5645"/>
    <w:rsid w:val="007B3AFA"/>
    <w:rsid w:val="008158CE"/>
    <w:rsid w:val="00817228"/>
    <w:rsid w:val="00845884"/>
    <w:rsid w:val="008C206B"/>
    <w:rsid w:val="008D1F75"/>
    <w:rsid w:val="008D6839"/>
    <w:rsid w:val="00935AD6"/>
    <w:rsid w:val="00965D41"/>
    <w:rsid w:val="00966746"/>
    <w:rsid w:val="00995E4E"/>
    <w:rsid w:val="009B5440"/>
    <w:rsid w:val="009B6C9D"/>
    <w:rsid w:val="009D302E"/>
    <w:rsid w:val="00A0732F"/>
    <w:rsid w:val="00A10BDD"/>
    <w:rsid w:val="00A3040B"/>
    <w:rsid w:val="00A76113"/>
    <w:rsid w:val="00AB2660"/>
    <w:rsid w:val="00AC6C16"/>
    <w:rsid w:val="00AF59FE"/>
    <w:rsid w:val="00B00731"/>
    <w:rsid w:val="00B21DC0"/>
    <w:rsid w:val="00B503EE"/>
    <w:rsid w:val="00B57C3F"/>
    <w:rsid w:val="00B672CC"/>
    <w:rsid w:val="00B91D8F"/>
    <w:rsid w:val="00B95719"/>
    <w:rsid w:val="00B95C42"/>
    <w:rsid w:val="00BC2BAA"/>
    <w:rsid w:val="00BD1E18"/>
    <w:rsid w:val="00BD5567"/>
    <w:rsid w:val="00C1548B"/>
    <w:rsid w:val="00C34D0B"/>
    <w:rsid w:val="00C65ECC"/>
    <w:rsid w:val="00C66BCE"/>
    <w:rsid w:val="00CB25F1"/>
    <w:rsid w:val="00CC1F02"/>
    <w:rsid w:val="00CF65B7"/>
    <w:rsid w:val="00D14835"/>
    <w:rsid w:val="00D27519"/>
    <w:rsid w:val="00D547D9"/>
    <w:rsid w:val="00D758D6"/>
    <w:rsid w:val="00DA70FE"/>
    <w:rsid w:val="00DC4A71"/>
    <w:rsid w:val="00DE03ED"/>
    <w:rsid w:val="00DE601F"/>
    <w:rsid w:val="00E1216E"/>
    <w:rsid w:val="00E12850"/>
    <w:rsid w:val="00E168B5"/>
    <w:rsid w:val="00E21208"/>
    <w:rsid w:val="00E33171"/>
    <w:rsid w:val="00E851EE"/>
    <w:rsid w:val="00E863B5"/>
    <w:rsid w:val="00EB7176"/>
    <w:rsid w:val="00ED0406"/>
    <w:rsid w:val="00EF2042"/>
    <w:rsid w:val="00EF3741"/>
    <w:rsid w:val="00F73DCB"/>
    <w:rsid w:val="00FB24D0"/>
    <w:rsid w:val="00FC07E8"/>
    <w:rsid w:val="00FF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7E4A"/>
  </w:style>
  <w:style w:type="paragraph" w:styleId="a5">
    <w:name w:val="footer"/>
    <w:basedOn w:val="a"/>
    <w:link w:val="a6"/>
    <w:uiPriority w:val="99"/>
    <w:unhideWhenUsed/>
    <w:rsid w:val="002A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7E4A"/>
  </w:style>
  <w:style w:type="character" w:styleId="a7">
    <w:name w:val="Hyperlink"/>
    <w:basedOn w:val="a0"/>
    <w:uiPriority w:val="99"/>
    <w:unhideWhenUsed/>
    <w:rsid w:val="00A10BDD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71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7F84"/>
  </w:style>
  <w:style w:type="paragraph" w:styleId="a9">
    <w:name w:val="List Paragraph"/>
    <w:basedOn w:val="a"/>
    <w:uiPriority w:val="34"/>
    <w:qFormat/>
    <w:rsid w:val="00DE03E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6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607A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14835"/>
    <w:rPr>
      <w:b/>
      <w:bCs/>
    </w:rPr>
  </w:style>
  <w:style w:type="table" w:styleId="ad">
    <w:name w:val="Table Grid"/>
    <w:basedOn w:val="a1"/>
    <w:uiPriority w:val="59"/>
    <w:rsid w:val="0064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МУ по КР Знак"/>
    <w:basedOn w:val="a0"/>
    <w:link w:val="af"/>
    <w:locked/>
    <w:rsid w:val="00C65ECC"/>
    <w:rPr>
      <w:bCs/>
      <w:color w:val="000000"/>
      <w:sz w:val="28"/>
      <w:szCs w:val="28"/>
      <w:lang w:eastAsia="en-US"/>
    </w:rPr>
  </w:style>
  <w:style w:type="paragraph" w:customStyle="1" w:styleId="af">
    <w:name w:val="МУ по КР"/>
    <w:basedOn w:val="a"/>
    <w:link w:val="ae"/>
    <w:qFormat/>
    <w:rsid w:val="00C65ECC"/>
    <w:pPr>
      <w:spacing w:after="0" w:line="240" w:lineRule="auto"/>
      <w:ind w:firstLine="709"/>
      <w:jc w:val="both"/>
    </w:pPr>
    <w:rPr>
      <w:bCs/>
      <w:color w:val="000000"/>
      <w:sz w:val="28"/>
      <w:szCs w:val="28"/>
      <w:lang w:eastAsia="en-US"/>
    </w:rPr>
  </w:style>
  <w:style w:type="paragraph" w:customStyle="1" w:styleId="af0">
    <w:name w:val="РПД"/>
    <w:basedOn w:val="a"/>
    <w:link w:val="af1"/>
    <w:qFormat/>
    <w:rsid w:val="00AC6C16"/>
    <w:pPr>
      <w:spacing w:after="0" w:line="240" w:lineRule="auto"/>
      <w:ind w:left="23" w:right="23" w:firstLine="601"/>
      <w:jc w:val="both"/>
    </w:pPr>
    <w:rPr>
      <w:rFonts w:ascii="Times New Roman" w:eastAsia="Times New Roman" w:hAnsi="Times New Roman" w:cs="Times New Roman"/>
      <w:sz w:val="28"/>
      <w:szCs w:val="27"/>
      <w:lang w:eastAsia="en-US" w:bidi="en-US"/>
    </w:rPr>
  </w:style>
  <w:style w:type="character" w:customStyle="1" w:styleId="af1">
    <w:name w:val="РПД Знак"/>
    <w:basedOn w:val="a0"/>
    <w:link w:val="af0"/>
    <w:rsid w:val="00AC6C16"/>
    <w:rPr>
      <w:rFonts w:ascii="Times New Roman" w:eastAsia="Times New Roman" w:hAnsi="Times New Roman" w:cs="Times New Roman"/>
      <w:sz w:val="28"/>
      <w:szCs w:val="27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7E4A"/>
  </w:style>
  <w:style w:type="paragraph" w:styleId="a5">
    <w:name w:val="footer"/>
    <w:basedOn w:val="a"/>
    <w:link w:val="a6"/>
    <w:uiPriority w:val="99"/>
    <w:unhideWhenUsed/>
    <w:rsid w:val="002A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7E4A"/>
  </w:style>
  <w:style w:type="character" w:styleId="a7">
    <w:name w:val="Hyperlink"/>
    <w:basedOn w:val="a0"/>
    <w:uiPriority w:val="99"/>
    <w:unhideWhenUsed/>
    <w:rsid w:val="00A10BDD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71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7F84"/>
  </w:style>
  <w:style w:type="paragraph" w:styleId="a9">
    <w:name w:val="List Paragraph"/>
    <w:basedOn w:val="a"/>
    <w:uiPriority w:val="34"/>
    <w:qFormat/>
    <w:rsid w:val="00DE03E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6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607A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14835"/>
    <w:rPr>
      <w:b/>
      <w:bCs/>
    </w:rPr>
  </w:style>
  <w:style w:type="table" w:styleId="ad">
    <w:name w:val="Table Grid"/>
    <w:basedOn w:val="a1"/>
    <w:uiPriority w:val="59"/>
    <w:rsid w:val="0064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МУ по КР Знак"/>
    <w:basedOn w:val="a0"/>
    <w:link w:val="af"/>
    <w:locked/>
    <w:rsid w:val="00C65ECC"/>
    <w:rPr>
      <w:bCs/>
      <w:color w:val="000000"/>
      <w:sz w:val="28"/>
      <w:szCs w:val="28"/>
      <w:lang w:eastAsia="en-US"/>
    </w:rPr>
  </w:style>
  <w:style w:type="paragraph" w:customStyle="1" w:styleId="af">
    <w:name w:val="МУ по КР"/>
    <w:basedOn w:val="a"/>
    <w:link w:val="ae"/>
    <w:qFormat/>
    <w:rsid w:val="00C65ECC"/>
    <w:pPr>
      <w:spacing w:after="0" w:line="240" w:lineRule="auto"/>
      <w:ind w:firstLine="709"/>
      <w:jc w:val="both"/>
    </w:pPr>
    <w:rPr>
      <w:bCs/>
      <w:color w:val="000000"/>
      <w:sz w:val="28"/>
      <w:szCs w:val="28"/>
      <w:lang w:eastAsia="en-US"/>
    </w:rPr>
  </w:style>
  <w:style w:type="paragraph" w:customStyle="1" w:styleId="af0">
    <w:name w:val="РПД"/>
    <w:basedOn w:val="a"/>
    <w:link w:val="af1"/>
    <w:qFormat/>
    <w:rsid w:val="00AC6C16"/>
    <w:pPr>
      <w:spacing w:after="0" w:line="240" w:lineRule="auto"/>
      <w:ind w:left="23" w:right="23" w:firstLine="601"/>
      <w:jc w:val="both"/>
    </w:pPr>
    <w:rPr>
      <w:rFonts w:ascii="Times New Roman" w:eastAsia="Times New Roman" w:hAnsi="Times New Roman" w:cs="Times New Roman"/>
      <w:sz w:val="28"/>
      <w:szCs w:val="27"/>
      <w:lang w:eastAsia="en-US" w:bidi="en-US"/>
    </w:rPr>
  </w:style>
  <w:style w:type="character" w:customStyle="1" w:styleId="af1">
    <w:name w:val="РПД Знак"/>
    <w:basedOn w:val="a0"/>
    <w:link w:val="af0"/>
    <w:rsid w:val="00AC6C16"/>
    <w:rPr>
      <w:rFonts w:ascii="Times New Roman" w:eastAsia="Times New Roman" w:hAnsi="Times New Roman" w:cs="Times New Roman"/>
      <w:sz w:val="28"/>
      <w:szCs w:val="27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cons/cgi/online.cgi?req=doc&amp;base=LAW&amp;n=200297&amp;rnd=244973.667731437&amp;dst=102320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B7EAE-1313-488F-A82D-12E33FB7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TECHNO</cp:lastModifiedBy>
  <cp:revision>51</cp:revision>
  <cp:lastPrinted>2017-04-26T06:25:00Z</cp:lastPrinted>
  <dcterms:created xsi:type="dcterms:W3CDTF">2017-03-16T09:38:00Z</dcterms:created>
  <dcterms:modified xsi:type="dcterms:W3CDTF">2017-06-10T16:24:00Z</dcterms:modified>
</cp:coreProperties>
</file>