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9AD" w:rsidRPr="006F43E9" w:rsidRDefault="00D764E0" w:rsidP="006F43E9">
      <w:pPr>
        <w:spacing w:after="0" w:line="360" w:lineRule="auto"/>
        <w:ind w:firstLine="709"/>
        <w:jc w:val="center"/>
        <w:rPr>
          <w:rFonts w:ascii="Times New Roman" w:hAnsi="Times New Roman" w:cs="Times New Roman"/>
          <w:b/>
          <w:sz w:val="28"/>
          <w:szCs w:val="28"/>
        </w:rPr>
      </w:pPr>
      <w:bookmarkStart w:id="0" w:name="_GoBack"/>
      <w:bookmarkEnd w:id="0"/>
      <w:r w:rsidRPr="006F43E9">
        <w:rPr>
          <w:rFonts w:ascii="Times New Roman" w:hAnsi="Times New Roman" w:cs="Times New Roman"/>
          <w:b/>
          <w:sz w:val="28"/>
          <w:szCs w:val="28"/>
        </w:rPr>
        <w:t>СОДЕРЖАНИЕ</w:t>
      </w:r>
    </w:p>
    <w:sdt>
      <w:sdtPr>
        <w:rPr>
          <w:rFonts w:asciiTheme="minorHAnsi" w:eastAsiaTheme="minorEastAsia" w:hAnsiTheme="minorHAnsi" w:cstheme="minorBidi"/>
          <w:b w:val="0"/>
          <w:bCs w:val="0"/>
          <w:color w:val="auto"/>
          <w:sz w:val="22"/>
          <w:szCs w:val="22"/>
          <w:lang w:eastAsia="ru-RU"/>
        </w:rPr>
        <w:id w:val="7665994"/>
      </w:sdtPr>
      <w:sdtEndPr/>
      <w:sdtContent>
        <w:p w:rsidR="006F43E9" w:rsidRDefault="006F43E9">
          <w:pPr>
            <w:pStyle w:val="af0"/>
          </w:pPr>
        </w:p>
        <w:p w:rsidR="00D764E0" w:rsidRPr="00D764E0" w:rsidRDefault="00426611" w:rsidP="00D764E0">
          <w:pPr>
            <w:pStyle w:val="11"/>
            <w:tabs>
              <w:tab w:val="right" w:leader="dot" w:pos="9345"/>
            </w:tabs>
            <w:spacing w:after="0" w:line="360" w:lineRule="auto"/>
            <w:rPr>
              <w:rFonts w:ascii="Times New Roman" w:hAnsi="Times New Roman" w:cs="Times New Roman"/>
              <w:noProof/>
              <w:sz w:val="28"/>
              <w:szCs w:val="28"/>
            </w:rPr>
          </w:pPr>
          <w:r>
            <w:fldChar w:fldCharType="begin"/>
          </w:r>
          <w:r w:rsidR="006F43E9">
            <w:instrText xml:space="preserve"> TOC \o "1-3" \h \z \u </w:instrText>
          </w:r>
          <w:r>
            <w:fldChar w:fldCharType="separate"/>
          </w:r>
          <w:hyperlink w:anchor="_Toc436074524" w:history="1">
            <w:r w:rsidR="00D764E0" w:rsidRPr="00D764E0">
              <w:rPr>
                <w:rStyle w:val="af"/>
                <w:rFonts w:ascii="Times New Roman" w:hAnsi="Times New Roman" w:cs="Times New Roman"/>
                <w:noProof/>
                <w:sz w:val="28"/>
                <w:szCs w:val="28"/>
              </w:rPr>
              <w:t>ВВЕДЕНИЕ</w:t>
            </w:r>
            <w:r w:rsidR="00D764E0" w:rsidRPr="00D764E0">
              <w:rPr>
                <w:rFonts w:ascii="Times New Roman" w:hAnsi="Times New Roman" w:cs="Times New Roman"/>
                <w:noProof/>
                <w:webHidden/>
                <w:sz w:val="28"/>
                <w:szCs w:val="28"/>
              </w:rPr>
              <w:tab/>
            </w:r>
            <w:r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_Toc436074524 \h </w:instrText>
            </w:r>
            <w:r w:rsidRPr="00D764E0">
              <w:rPr>
                <w:rFonts w:ascii="Times New Roman" w:hAnsi="Times New Roman" w:cs="Times New Roman"/>
                <w:noProof/>
                <w:webHidden/>
                <w:sz w:val="28"/>
                <w:szCs w:val="28"/>
              </w:rPr>
            </w:r>
            <w:r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4</w:t>
            </w:r>
            <w:r w:rsidRPr="00D764E0">
              <w:rPr>
                <w:rFonts w:ascii="Times New Roman" w:hAnsi="Times New Roman" w:cs="Times New Roman"/>
                <w:noProof/>
                <w:webHidden/>
                <w:sz w:val="28"/>
                <w:szCs w:val="28"/>
              </w:rPr>
              <w:fldChar w:fldCharType="end"/>
            </w:r>
          </w:hyperlink>
        </w:p>
        <w:p w:rsidR="00D764E0" w:rsidRPr="00D764E0" w:rsidRDefault="00EA40CD" w:rsidP="00D764E0">
          <w:pPr>
            <w:pStyle w:val="11"/>
            <w:tabs>
              <w:tab w:val="right" w:leader="dot" w:pos="9345"/>
            </w:tabs>
            <w:spacing w:after="0" w:line="360" w:lineRule="auto"/>
            <w:rPr>
              <w:rFonts w:ascii="Times New Roman" w:hAnsi="Times New Roman" w:cs="Times New Roman"/>
              <w:noProof/>
              <w:sz w:val="28"/>
              <w:szCs w:val="28"/>
            </w:rPr>
          </w:pPr>
          <w:hyperlink w:anchor="_Toc436074525" w:history="1">
            <w:r w:rsidR="00D764E0" w:rsidRPr="00D764E0">
              <w:rPr>
                <w:rStyle w:val="af"/>
                <w:rFonts w:ascii="Times New Roman" w:hAnsi="Times New Roman" w:cs="Times New Roman"/>
                <w:noProof/>
                <w:sz w:val="28"/>
                <w:szCs w:val="28"/>
              </w:rPr>
              <w:t>1. ОБЩАЯ ХАРАКТЕРИСТИКА ПЕНСИОННОГО ФОНДА РОССИЙСКОЙ ФЕДЕРАЦИИ И ЕГО РЕГУЛИРОВАНИЯ</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_Toc436074525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6</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21"/>
            <w:tabs>
              <w:tab w:val="right" w:leader="dot" w:pos="9345"/>
            </w:tabs>
            <w:spacing w:after="0" w:line="360" w:lineRule="auto"/>
            <w:rPr>
              <w:rFonts w:ascii="Times New Roman" w:hAnsi="Times New Roman" w:cs="Times New Roman"/>
              <w:noProof/>
              <w:sz w:val="28"/>
              <w:szCs w:val="28"/>
            </w:rPr>
          </w:pPr>
          <w:hyperlink w:anchor="_Toc436074526" w:history="1">
            <w:r w:rsidR="00D764E0" w:rsidRPr="00D764E0">
              <w:rPr>
                <w:rStyle w:val="af"/>
                <w:rFonts w:ascii="Times New Roman" w:eastAsia="Times New Roman" w:hAnsi="Times New Roman" w:cs="Times New Roman"/>
                <w:noProof/>
                <w:kern w:val="36"/>
                <w:sz w:val="28"/>
                <w:szCs w:val="28"/>
              </w:rPr>
              <w:t>1.1. Административно-правовой режим пенсионных накоплений</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_Toc436074526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6</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21"/>
            <w:tabs>
              <w:tab w:val="right" w:leader="dot" w:pos="9345"/>
            </w:tabs>
            <w:spacing w:after="0" w:line="360" w:lineRule="auto"/>
            <w:rPr>
              <w:rFonts w:ascii="Times New Roman" w:hAnsi="Times New Roman" w:cs="Times New Roman"/>
              <w:noProof/>
              <w:sz w:val="28"/>
              <w:szCs w:val="28"/>
            </w:rPr>
          </w:pPr>
          <w:hyperlink w:anchor="_Toc436074535" w:history="1">
            <w:r w:rsidR="00D764E0" w:rsidRPr="00D764E0">
              <w:rPr>
                <w:rStyle w:val="af"/>
                <w:rFonts w:ascii="Times New Roman" w:eastAsia="Times New Roman" w:hAnsi="Times New Roman" w:cs="Times New Roman"/>
                <w:noProof/>
                <w:sz w:val="28"/>
                <w:szCs w:val="28"/>
              </w:rPr>
              <w:t>1.2. Осуществление контроля и надзора за деятельностью пенсионных фондов</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_Toc436074535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9</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21"/>
            <w:tabs>
              <w:tab w:val="right" w:leader="dot" w:pos="9345"/>
            </w:tabs>
            <w:spacing w:after="0" w:line="360" w:lineRule="auto"/>
            <w:rPr>
              <w:rFonts w:ascii="Times New Roman" w:hAnsi="Times New Roman" w:cs="Times New Roman"/>
              <w:noProof/>
              <w:sz w:val="28"/>
              <w:szCs w:val="28"/>
            </w:rPr>
          </w:pPr>
          <w:hyperlink w:anchor="_Toc436074564" w:history="1">
            <w:r w:rsidR="00D764E0" w:rsidRPr="00D764E0">
              <w:rPr>
                <w:rStyle w:val="af"/>
                <w:rFonts w:ascii="Times New Roman" w:eastAsia="Times New Roman" w:hAnsi="Times New Roman" w:cs="Times New Roman"/>
                <w:noProof/>
                <w:sz w:val="28"/>
                <w:szCs w:val="28"/>
              </w:rPr>
              <w:t>1.3. Сущность негосударственного пенсионного обеспечения</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_Toc436074564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16</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11"/>
            <w:tabs>
              <w:tab w:val="right" w:leader="dot" w:pos="9345"/>
            </w:tabs>
            <w:spacing w:after="0" w:line="360" w:lineRule="auto"/>
            <w:rPr>
              <w:rFonts w:ascii="Times New Roman" w:hAnsi="Times New Roman" w:cs="Times New Roman"/>
              <w:noProof/>
              <w:sz w:val="28"/>
              <w:szCs w:val="28"/>
            </w:rPr>
          </w:pPr>
          <w:hyperlink w:anchor="_Toc436074565" w:history="1">
            <w:r w:rsidR="00D764E0" w:rsidRPr="00D764E0">
              <w:rPr>
                <w:rStyle w:val="af"/>
                <w:rFonts w:ascii="Times New Roman" w:hAnsi="Times New Roman" w:cs="Times New Roman"/>
                <w:iCs/>
                <w:noProof/>
                <w:sz w:val="28"/>
                <w:szCs w:val="28"/>
              </w:rPr>
              <w:t>2. ОСОБЕННОСТИ НЕГОСУДАРСТВЕННЫХ ПЕНСИОННЫХ ФОНДОВ РФ</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_Toc436074565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20</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21"/>
            <w:tabs>
              <w:tab w:val="right" w:leader="dot" w:pos="9345"/>
            </w:tabs>
            <w:spacing w:after="0" w:line="360" w:lineRule="auto"/>
            <w:rPr>
              <w:rFonts w:ascii="Times New Roman" w:hAnsi="Times New Roman" w:cs="Times New Roman"/>
              <w:noProof/>
              <w:sz w:val="28"/>
              <w:szCs w:val="28"/>
            </w:rPr>
          </w:pPr>
          <w:hyperlink w:anchor="_Toc436074566" w:history="1">
            <w:r w:rsidR="00D764E0" w:rsidRPr="00D764E0">
              <w:rPr>
                <w:rStyle w:val="af"/>
                <w:rFonts w:ascii="Times New Roman" w:eastAsia="Times New Roman" w:hAnsi="Times New Roman" w:cs="Times New Roman"/>
                <w:iCs/>
                <w:noProof/>
                <w:sz w:val="28"/>
                <w:szCs w:val="28"/>
              </w:rPr>
              <w:t>2.1. Роль негосударственного пенсионного обеспечения в пенсионной системе РФ</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_Toc436074566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20</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21"/>
            <w:tabs>
              <w:tab w:val="right" w:leader="dot" w:pos="9345"/>
            </w:tabs>
            <w:spacing w:after="0" w:line="360" w:lineRule="auto"/>
            <w:rPr>
              <w:rFonts w:ascii="Times New Roman" w:hAnsi="Times New Roman" w:cs="Times New Roman"/>
              <w:noProof/>
              <w:sz w:val="28"/>
              <w:szCs w:val="28"/>
            </w:rPr>
          </w:pPr>
          <w:hyperlink w:anchor="_Toc436074567" w:history="1">
            <w:r w:rsidR="00D764E0" w:rsidRPr="00D764E0">
              <w:rPr>
                <w:rStyle w:val="af"/>
                <w:rFonts w:ascii="Times New Roman" w:eastAsia="Times New Roman" w:hAnsi="Times New Roman" w:cs="Times New Roman"/>
                <w:noProof/>
                <w:sz w:val="28"/>
                <w:szCs w:val="28"/>
              </w:rPr>
              <w:t>2.2. Особенности и тенденции развития негосударственных пенсионных фондов</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_Toc436074567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25</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21"/>
            <w:tabs>
              <w:tab w:val="right" w:leader="dot" w:pos="9345"/>
            </w:tabs>
            <w:spacing w:after="0" w:line="360" w:lineRule="auto"/>
            <w:rPr>
              <w:rFonts w:ascii="Times New Roman" w:hAnsi="Times New Roman" w:cs="Times New Roman"/>
              <w:noProof/>
              <w:sz w:val="28"/>
              <w:szCs w:val="28"/>
            </w:rPr>
          </w:pPr>
          <w:hyperlink w:anchor="_Toc436074568" w:history="1">
            <w:r w:rsidR="00D764E0" w:rsidRPr="00D764E0">
              <w:rPr>
                <w:rStyle w:val="af"/>
                <w:rFonts w:ascii="Times New Roman" w:eastAsia="Times New Roman" w:hAnsi="Times New Roman" w:cs="Times New Roman"/>
                <w:noProof/>
                <w:sz w:val="28"/>
                <w:szCs w:val="28"/>
              </w:rPr>
              <w:t>2.3. Заключение договоров с НПФ и порядок внесения взносов</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_Toc436074568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28</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11"/>
            <w:tabs>
              <w:tab w:val="right" w:leader="dot" w:pos="9345"/>
            </w:tabs>
            <w:spacing w:after="0" w:line="360" w:lineRule="auto"/>
            <w:rPr>
              <w:rFonts w:ascii="Times New Roman" w:hAnsi="Times New Roman" w:cs="Times New Roman"/>
              <w:noProof/>
              <w:sz w:val="28"/>
              <w:szCs w:val="28"/>
            </w:rPr>
          </w:pPr>
          <w:hyperlink w:anchor="_Toc436074569" w:history="1">
            <w:r w:rsidR="00D764E0" w:rsidRPr="00D764E0">
              <w:rPr>
                <w:rStyle w:val="af"/>
                <w:rFonts w:ascii="Times New Roman" w:hAnsi="Times New Roman" w:cs="Times New Roman"/>
                <w:noProof/>
                <w:sz w:val="28"/>
                <w:szCs w:val="28"/>
              </w:rPr>
              <w:t>ЗАКЛЮЧЕНИЕ</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_Toc436074569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33</w:t>
            </w:r>
            <w:r w:rsidR="00426611" w:rsidRPr="00D764E0">
              <w:rPr>
                <w:rFonts w:ascii="Times New Roman" w:hAnsi="Times New Roman" w:cs="Times New Roman"/>
                <w:noProof/>
                <w:webHidden/>
                <w:sz w:val="28"/>
                <w:szCs w:val="28"/>
              </w:rPr>
              <w:fldChar w:fldCharType="end"/>
            </w:r>
          </w:hyperlink>
        </w:p>
        <w:p w:rsidR="00D764E0" w:rsidRPr="00D764E0" w:rsidRDefault="00EA40CD" w:rsidP="00D764E0">
          <w:pPr>
            <w:pStyle w:val="11"/>
            <w:tabs>
              <w:tab w:val="right" w:leader="dot" w:pos="9345"/>
            </w:tabs>
            <w:spacing w:after="0" w:line="360" w:lineRule="auto"/>
            <w:rPr>
              <w:rFonts w:ascii="Times New Roman" w:hAnsi="Times New Roman" w:cs="Times New Roman"/>
              <w:noProof/>
              <w:sz w:val="28"/>
              <w:szCs w:val="28"/>
            </w:rPr>
          </w:pPr>
          <w:hyperlink w:anchor="_Toc436074570" w:history="1">
            <w:r w:rsidR="00D764E0" w:rsidRPr="00D764E0">
              <w:rPr>
                <w:rStyle w:val="af"/>
                <w:rFonts w:ascii="Times New Roman" w:hAnsi="Times New Roman" w:cs="Times New Roman"/>
                <w:noProof/>
                <w:sz w:val="28"/>
                <w:szCs w:val="28"/>
              </w:rPr>
              <w:t>СПИСОК ИСПОЛЬЗОВАННОЙ ЛИТЕРАТУРЫ</w:t>
            </w:r>
            <w:r w:rsidR="00D764E0" w:rsidRPr="00D764E0">
              <w:rPr>
                <w:rFonts w:ascii="Times New Roman" w:hAnsi="Times New Roman" w:cs="Times New Roman"/>
                <w:noProof/>
                <w:webHidden/>
                <w:sz w:val="28"/>
                <w:szCs w:val="28"/>
              </w:rPr>
              <w:tab/>
            </w:r>
            <w:r w:rsidR="00426611" w:rsidRPr="00D764E0">
              <w:rPr>
                <w:rFonts w:ascii="Times New Roman" w:hAnsi="Times New Roman" w:cs="Times New Roman"/>
                <w:noProof/>
                <w:webHidden/>
                <w:sz w:val="28"/>
                <w:szCs w:val="28"/>
              </w:rPr>
              <w:fldChar w:fldCharType="begin"/>
            </w:r>
            <w:r w:rsidR="00D764E0" w:rsidRPr="00D764E0">
              <w:rPr>
                <w:rFonts w:ascii="Times New Roman" w:hAnsi="Times New Roman" w:cs="Times New Roman"/>
                <w:noProof/>
                <w:webHidden/>
                <w:sz w:val="28"/>
                <w:szCs w:val="28"/>
              </w:rPr>
              <w:instrText xml:space="preserve"> PAGEREF _Toc436074570 \h </w:instrText>
            </w:r>
            <w:r w:rsidR="00426611" w:rsidRPr="00D764E0">
              <w:rPr>
                <w:rFonts w:ascii="Times New Roman" w:hAnsi="Times New Roman" w:cs="Times New Roman"/>
                <w:noProof/>
                <w:webHidden/>
                <w:sz w:val="28"/>
                <w:szCs w:val="28"/>
              </w:rPr>
            </w:r>
            <w:r w:rsidR="00426611" w:rsidRPr="00D764E0">
              <w:rPr>
                <w:rFonts w:ascii="Times New Roman" w:hAnsi="Times New Roman" w:cs="Times New Roman"/>
                <w:noProof/>
                <w:webHidden/>
                <w:sz w:val="28"/>
                <w:szCs w:val="28"/>
              </w:rPr>
              <w:fldChar w:fldCharType="separate"/>
            </w:r>
            <w:r w:rsidR="00341FA9">
              <w:rPr>
                <w:rFonts w:ascii="Times New Roman" w:hAnsi="Times New Roman" w:cs="Times New Roman"/>
                <w:noProof/>
                <w:webHidden/>
                <w:sz w:val="28"/>
                <w:szCs w:val="28"/>
              </w:rPr>
              <w:t>35</w:t>
            </w:r>
            <w:r w:rsidR="00426611" w:rsidRPr="00D764E0">
              <w:rPr>
                <w:rFonts w:ascii="Times New Roman" w:hAnsi="Times New Roman" w:cs="Times New Roman"/>
                <w:noProof/>
                <w:webHidden/>
                <w:sz w:val="28"/>
                <w:szCs w:val="28"/>
              </w:rPr>
              <w:fldChar w:fldCharType="end"/>
            </w:r>
          </w:hyperlink>
        </w:p>
        <w:p w:rsidR="006F43E9" w:rsidRDefault="00426611">
          <w:r>
            <w:fldChar w:fldCharType="end"/>
          </w:r>
        </w:p>
      </w:sdtContent>
    </w:sdt>
    <w:p w:rsidR="00793A78" w:rsidRPr="003A2289" w:rsidRDefault="00793A78" w:rsidP="003A2289">
      <w:pPr>
        <w:spacing w:after="0" w:line="360" w:lineRule="auto"/>
        <w:ind w:firstLine="709"/>
        <w:jc w:val="both"/>
        <w:rPr>
          <w:rFonts w:ascii="Times New Roman" w:hAnsi="Times New Roman" w:cs="Times New Roman"/>
          <w:sz w:val="28"/>
          <w:szCs w:val="28"/>
        </w:rPr>
      </w:pPr>
      <w:r w:rsidRPr="003A2289">
        <w:rPr>
          <w:rFonts w:ascii="Times New Roman" w:hAnsi="Times New Roman" w:cs="Times New Roman"/>
          <w:sz w:val="28"/>
          <w:szCs w:val="28"/>
        </w:rPr>
        <w:br w:type="page"/>
      </w:r>
    </w:p>
    <w:p w:rsidR="00793A78" w:rsidRPr="006F43E9" w:rsidRDefault="00D764E0" w:rsidP="006F43E9">
      <w:pPr>
        <w:pStyle w:val="1"/>
        <w:spacing w:before="0" w:beforeAutospacing="0" w:after="0" w:afterAutospacing="0" w:line="360" w:lineRule="auto"/>
        <w:jc w:val="center"/>
        <w:rPr>
          <w:sz w:val="28"/>
          <w:szCs w:val="28"/>
        </w:rPr>
      </w:pPr>
      <w:bookmarkStart w:id="1" w:name="_Toc436074524"/>
      <w:r w:rsidRPr="006F43E9">
        <w:rPr>
          <w:sz w:val="28"/>
          <w:szCs w:val="28"/>
        </w:rPr>
        <w:lastRenderedPageBreak/>
        <w:t>ВВЕДЕНИЕ</w:t>
      </w:r>
      <w:bookmarkEnd w:id="1"/>
    </w:p>
    <w:p w:rsidR="00CB3661" w:rsidRPr="003A2289" w:rsidRDefault="00CB3661" w:rsidP="003A2289">
      <w:pPr>
        <w:spacing w:after="0" w:line="360" w:lineRule="auto"/>
        <w:ind w:firstLine="709"/>
        <w:jc w:val="both"/>
        <w:rPr>
          <w:rFonts w:ascii="Times New Roman" w:hAnsi="Times New Roman" w:cs="Times New Roman"/>
          <w:sz w:val="28"/>
          <w:szCs w:val="28"/>
        </w:rPr>
      </w:pPr>
    </w:p>
    <w:p w:rsidR="00FB0C9B" w:rsidRPr="00FB0C9B" w:rsidRDefault="00895481" w:rsidP="00FB0C9B">
      <w:pPr>
        <w:pStyle w:val="a7"/>
        <w:spacing w:before="0" w:beforeAutospacing="0" w:after="0" w:afterAutospacing="0" w:line="360" w:lineRule="auto"/>
        <w:ind w:firstLine="709"/>
        <w:jc w:val="both"/>
        <w:rPr>
          <w:sz w:val="28"/>
          <w:szCs w:val="28"/>
        </w:rPr>
      </w:pPr>
      <w:r w:rsidRPr="00FB0C9B">
        <w:rPr>
          <w:sz w:val="28"/>
          <w:szCs w:val="28"/>
        </w:rPr>
        <w:t>Ак</w:t>
      </w:r>
      <w:r w:rsidR="00002F48" w:rsidRPr="00FB0C9B">
        <w:rPr>
          <w:sz w:val="28"/>
          <w:szCs w:val="28"/>
        </w:rPr>
        <w:t>ту</w:t>
      </w:r>
      <w:r w:rsidRPr="00FB0C9B">
        <w:rPr>
          <w:sz w:val="28"/>
          <w:szCs w:val="28"/>
        </w:rPr>
        <w:t xml:space="preserve">альность выбранной темы исследования обоснована тем фактом, что </w:t>
      </w:r>
      <w:r w:rsidR="00FB0C9B" w:rsidRPr="00FB0C9B">
        <w:rPr>
          <w:sz w:val="28"/>
          <w:szCs w:val="28"/>
        </w:rPr>
        <w:t>Пенсионный Фонд РФ – это независимая государственная кредитно-финансовая организация, которая отвечает за сбор и накопление страховых взносов от работающего населения, для выплаты госпенсий и прочих социальных видов помощи населению страны. Формирование бюджета ПФ осуществляется за счет страховых отчислений от:</w:t>
      </w:r>
    </w:p>
    <w:p w:rsidR="00FB0C9B" w:rsidRPr="00FB0C9B" w:rsidRDefault="00FB0C9B" w:rsidP="00FB0C9B">
      <w:pPr>
        <w:numPr>
          <w:ilvl w:val="0"/>
          <w:numId w:val="8"/>
        </w:numPr>
        <w:spacing w:after="0" w:line="360" w:lineRule="auto"/>
        <w:ind w:left="0" w:firstLine="709"/>
        <w:jc w:val="both"/>
        <w:rPr>
          <w:rFonts w:ascii="Times New Roman" w:eastAsia="Times New Roman" w:hAnsi="Times New Roman" w:cs="Times New Roman"/>
          <w:sz w:val="28"/>
          <w:szCs w:val="28"/>
        </w:rPr>
      </w:pPr>
      <w:r w:rsidRPr="00FB0C9B">
        <w:rPr>
          <w:rFonts w:ascii="Times New Roman" w:eastAsia="Times New Roman" w:hAnsi="Times New Roman" w:cs="Times New Roman"/>
          <w:sz w:val="28"/>
          <w:szCs w:val="28"/>
        </w:rPr>
        <w:t>Официально трудоустроенного населения.</w:t>
      </w:r>
    </w:p>
    <w:p w:rsidR="00FB0C9B" w:rsidRPr="00FB0C9B" w:rsidRDefault="00FB0C9B" w:rsidP="00FB0C9B">
      <w:pPr>
        <w:numPr>
          <w:ilvl w:val="0"/>
          <w:numId w:val="8"/>
        </w:numPr>
        <w:spacing w:after="0" w:line="360" w:lineRule="auto"/>
        <w:ind w:left="0" w:firstLine="709"/>
        <w:jc w:val="both"/>
        <w:rPr>
          <w:rFonts w:ascii="Times New Roman" w:eastAsia="Times New Roman" w:hAnsi="Times New Roman" w:cs="Times New Roman"/>
          <w:sz w:val="28"/>
          <w:szCs w:val="28"/>
        </w:rPr>
      </w:pPr>
      <w:r w:rsidRPr="00FB0C9B">
        <w:rPr>
          <w:rFonts w:ascii="Times New Roman" w:eastAsia="Times New Roman" w:hAnsi="Times New Roman" w:cs="Times New Roman"/>
          <w:sz w:val="28"/>
          <w:szCs w:val="28"/>
        </w:rPr>
        <w:t>Частных предпринимателей.</w:t>
      </w:r>
    </w:p>
    <w:p w:rsidR="00FB0C9B" w:rsidRPr="00FB0C9B" w:rsidRDefault="00FB0C9B" w:rsidP="00FB0C9B">
      <w:pPr>
        <w:spacing w:after="0" w:line="360" w:lineRule="auto"/>
        <w:ind w:firstLine="709"/>
        <w:jc w:val="both"/>
        <w:rPr>
          <w:rFonts w:ascii="Times New Roman" w:eastAsia="Times New Roman" w:hAnsi="Times New Roman" w:cs="Times New Roman"/>
          <w:sz w:val="28"/>
          <w:szCs w:val="28"/>
        </w:rPr>
      </w:pPr>
      <w:r w:rsidRPr="00FB0C9B">
        <w:rPr>
          <w:rFonts w:ascii="Times New Roman" w:eastAsia="Times New Roman" w:hAnsi="Times New Roman" w:cs="Times New Roman"/>
          <w:sz w:val="28"/>
          <w:szCs w:val="28"/>
        </w:rPr>
        <w:t>Дотаций из общего бюджета страны на выплаты для государственных пенсий, а также различных целевых социальных пособий. Денежные средства, которые возмещает ПФ Фонд занятости населения для выплат неработающим гражданам в виде досрочных пенсионных начислений. Добровольные взносы от различных юридических, а также физических лиц, к примеру, от официально не трудоустроенных граждан, для пенсионных накоплений.</w:t>
      </w:r>
    </w:p>
    <w:p w:rsidR="00FB0C9B" w:rsidRPr="00FB0C9B" w:rsidRDefault="00FB0C9B" w:rsidP="00FB0C9B">
      <w:pPr>
        <w:spacing w:after="0" w:line="360" w:lineRule="auto"/>
        <w:ind w:firstLine="709"/>
        <w:jc w:val="both"/>
        <w:rPr>
          <w:rFonts w:ascii="Times New Roman" w:eastAsia="Times New Roman" w:hAnsi="Times New Roman" w:cs="Times New Roman"/>
          <w:sz w:val="28"/>
          <w:szCs w:val="28"/>
        </w:rPr>
      </w:pPr>
      <w:r w:rsidRPr="00FB0C9B">
        <w:rPr>
          <w:rFonts w:ascii="Times New Roman" w:eastAsia="Times New Roman" w:hAnsi="Times New Roman" w:cs="Times New Roman"/>
          <w:sz w:val="28"/>
          <w:szCs w:val="28"/>
        </w:rPr>
        <w:t>Пенсионный Фонд России считается одним из важнейших социальных институтов. Он также считается главной федеральной финансовой системой в сфере государственного социального обеспечения для населения. Официальное основание организации состоялось в конце 1990 года, а именно 22 декабря специальным Постановлением от Верховного Совета страны. Стоит отметить, что ПФ – это внебюджетная система накопления средств, деньги из фонда не перенаправляются в общероссийский бюджет. Но из бюджета могут вноситься денежные средства на различные социальные выплаты для граждан страны.</w:t>
      </w:r>
    </w:p>
    <w:p w:rsidR="006F7EA7" w:rsidRPr="006F7EA7" w:rsidRDefault="006F7EA7" w:rsidP="006F7EA7">
      <w:pPr>
        <w:pStyle w:val="a7"/>
        <w:spacing w:before="0" w:beforeAutospacing="0" w:after="0" w:afterAutospacing="0" w:line="360" w:lineRule="auto"/>
        <w:ind w:firstLine="709"/>
        <w:jc w:val="both"/>
        <w:rPr>
          <w:sz w:val="28"/>
          <w:szCs w:val="28"/>
        </w:rPr>
      </w:pPr>
      <w:r w:rsidRPr="006F7EA7">
        <w:rPr>
          <w:sz w:val="28"/>
          <w:szCs w:val="28"/>
        </w:rPr>
        <w:t xml:space="preserve">Цель работы – изучить </w:t>
      </w:r>
      <w:r w:rsidR="00685390" w:rsidRPr="00685390">
        <w:rPr>
          <w:sz w:val="28"/>
          <w:szCs w:val="28"/>
        </w:rPr>
        <w:t>пенсионный фонд РФ, его роль в осуществлении пенсионной реформы</w:t>
      </w:r>
      <w:r w:rsidRPr="00685390">
        <w:rPr>
          <w:sz w:val="28"/>
          <w:szCs w:val="28"/>
        </w:rPr>
        <w:t>.</w:t>
      </w:r>
      <w:r w:rsidRPr="006F7EA7">
        <w:rPr>
          <w:sz w:val="28"/>
          <w:szCs w:val="28"/>
        </w:rPr>
        <w:t xml:space="preserve"> В связи с поставленной целью в процессе работы необходимо решить следующие задачи:</w:t>
      </w:r>
    </w:p>
    <w:p w:rsidR="00685390" w:rsidRPr="00685390" w:rsidRDefault="00685390" w:rsidP="00685390">
      <w:pPr>
        <w:pStyle w:val="a7"/>
        <w:spacing w:before="0" w:beforeAutospacing="0" w:after="0" w:afterAutospacing="0" w:line="360" w:lineRule="auto"/>
        <w:ind w:firstLine="709"/>
        <w:jc w:val="both"/>
        <w:rPr>
          <w:sz w:val="28"/>
          <w:szCs w:val="28"/>
        </w:rPr>
      </w:pPr>
      <w:r>
        <w:rPr>
          <w:sz w:val="28"/>
          <w:szCs w:val="28"/>
        </w:rPr>
        <w:t>- описать а</w:t>
      </w:r>
      <w:r w:rsidRPr="00685390">
        <w:rPr>
          <w:sz w:val="28"/>
          <w:szCs w:val="28"/>
        </w:rPr>
        <w:t>дминистративно-правовой режим пенсионных накоплений</w:t>
      </w:r>
      <w:r>
        <w:rPr>
          <w:sz w:val="28"/>
          <w:szCs w:val="28"/>
        </w:rPr>
        <w:t>;</w:t>
      </w:r>
    </w:p>
    <w:p w:rsidR="00685390" w:rsidRPr="00685390" w:rsidRDefault="00685390" w:rsidP="00685390">
      <w:pPr>
        <w:pStyle w:val="a7"/>
        <w:spacing w:before="0" w:beforeAutospacing="0" w:after="0" w:afterAutospacing="0" w:line="360" w:lineRule="auto"/>
        <w:ind w:firstLine="709"/>
        <w:jc w:val="both"/>
        <w:rPr>
          <w:sz w:val="28"/>
          <w:szCs w:val="28"/>
        </w:rPr>
      </w:pPr>
      <w:r>
        <w:rPr>
          <w:sz w:val="28"/>
          <w:szCs w:val="28"/>
        </w:rPr>
        <w:lastRenderedPageBreak/>
        <w:t>- рассмотреть о</w:t>
      </w:r>
      <w:r w:rsidRPr="00685390">
        <w:rPr>
          <w:sz w:val="28"/>
          <w:szCs w:val="28"/>
        </w:rPr>
        <w:t>существление контроля и надзора за деятельностью пенсионных фондов</w:t>
      </w:r>
      <w:r>
        <w:rPr>
          <w:sz w:val="28"/>
          <w:szCs w:val="28"/>
        </w:rPr>
        <w:t>;</w:t>
      </w:r>
    </w:p>
    <w:p w:rsidR="00685390" w:rsidRPr="00685390" w:rsidRDefault="00685390" w:rsidP="00685390">
      <w:pPr>
        <w:pStyle w:val="a7"/>
        <w:spacing w:before="0" w:beforeAutospacing="0" w:after="0" w:afterAutospacing="0" w:line="360" w:lineRule="auto"/>
        <w:ind w:firstLine="709"/>
        <w:jc w:val="both"/>
        <w:rPr>
          <w:sz w:val="28"/>
          <w:szCs w:val="28"/>
        </w:rPr>
      </w:pPr>
      <w:r>
        <w:rPr>
          <w:sz w:val="28"/>
          <w:szCs w:val="28"/>
        </w:rPr>
        <w:t>- определить с</w:t>
      </w:r>
      <w:r w:rsidRPr="00685390">
        <w:rPr>
          <w:sz w:val="28"/>
          <w:szCs w:val="28"/>
        </w:rPr>
        <w:t>ущность негосударственного пенсионного обеспечения</w:t>
      </w:r>
      <w:r>
        <w:rPr>
          <w:sz w:val="28"/>
          <w:szCs w:val="28"/>
        </w:rPr>
        <w:t>;</w:t>
      </w:r>
    </w:p>
    <w:p w:rsidR="00685390" w:rsidRPr="00685390" w:rsidRDefault="00685390" w:rsidP="00685390">
      <w:pPr>
        <w:pStyle w:val="a7"/>
        <w:spacing w:before="0" w:beforeAutospacing="0" w:after="0" w:afterAutospacing="0" w:line="360" w:lineRule="auto"/>
        <w:ind w:firstLine="709"/>
        <w:jc w:val="both"/>
        <w:rPr>
          <w:sz w:val="28"/>
          <w:szCs w:val="28"/>
        </w:rPr>
      </w:pPr>
      <w:r>
        <w:rPr>
          <w:sz w:val="28"/>
          <w:szCs w:val="28"/>
        </w:rPr>
        <w:t>- выявить р</w:t>
      </w:r>
      <w:r w:rsidRPr="00685390">
        <w:rPr>
          <w:sz w:val="28"/>
          <w:szCs w:val="28"/>
        </w:rPr>
        <w:t>оль негосударственного пенсионного обеспечения в пенсионной системе РФ</w:t>
      </w:r>
      <w:r>
        <w:rPr>
          <w:sz w:val="28"/>
          <w:szCs w:val="28"/>
        </w:rPr>
        <w:t>;</w:t>
      </w:r>
    </w:p>
    <w:p w:rsidR="00685390" w:rsidRPr="00685390" w:rsidRDefault="00685390" w:rsidP="00685390">
      <w:pPr>
        <w:pStyle w:val="a7"/>
        <w:spacing w:before="0" w:beforeAutospacing="0" w:after="0" w:afterAutospacing="0" w:line="360" w:lineRule="auto"/>
        <w:ind w:firstLine="709"/>
        <w:jc w:val="both"/>
        <w:rPr>
          <w:sz w:val="28"/>
          <w:szCs w:val="28"/>
        </w:rPr>
      </w:pPr>
      <w:r>
        <w:rPr>
          <w:sz w:val="28"/>
          <w:szCs w:val="28"/>
        </w:rPr>
        <w:t>- сформулировать о</w:t>
      </w:r>
      <w:r w:rsidRPr="00685390">
        <w:rPr>
          <w:sz w:val="28"/>
          <w:szCs w:val="28"/>
        </w:rPr>
        <w:t>собенности и тенденции развития негосударственных пенсионных фондов</w:t>
      </w:r>
      <w:r>
        <w:rPr>
          <w:sz w:val="28"/>
          <w:szCs w:val="28"/>
        </w:rPr>
        <w:t>;</w:t>
      </w:r>
    </w:p>
    <w:p w:rsidR="00685390" w:rsidRPr="00685390" w:rsidRDefault="00685390" w:rsidP="00685390">
      <w:pPr>
        <w:pStyle w:val="a7"/>
        <w:spacing w:before="0" w:beforeAutospacing="0" w:after="0" w:afterAutospacing="0" w:line="360" w:lineRule="auto"/>
        <w:ind w:firstLine="709"/>
        <w:jc w:val="both"/>
        <w:rPr>
          <w:sz w:val="28"/>
          <w:szCs w:val="28"/>
        </w:rPr>
      </w:pPr>
      <w:r>
        <w:rPr>
          <w:sz w:val="28"/>
          <w:szCs w:val="28"/>
        </w:rPr>
        <w:t>- охарактеризовать з</w:t>
      </w:r>
      <w:r w:rsidRPr="00685390">
        <w:rPr>
          <w:sz w:val="28"/>
          <w:szCs w:val="28"/>
        </w:rPr>
        <w:t>аключение договоров с НПФ и порядок внесения взносов</w:t>
      </w:r>
      <w:r>
        <w:rPr>
          <w:sz w:val="28"/>
          <w:szCs w:val="28"/>
        </w:rPr>
        <w:t>.</w:t>
      </w:r>
    </w:p>
    <w:p w:rsidR="006F7EA7" w:rsidRDefault="006F7EA7" w:rsidP="006F7EA7">
      <w:pPr>
        <w:pStyle w:val="a7"/>
        <w:spacing w:before="0" w:beforeAutospacing="0" w:after="0" w:afterAutospacing="0" w:line="360" w:lineRule="auto"/>
        <w:ind w:firstLine="709"/>
        <w:jc w:val="both"/>
        <w:rPr>
          <w:sz w:val="28"/>
          <w:szCs w:val="28"/>
        </w:rPr>
      </w:pPr>
      <w:r>
        <w:rPr>
          <w:sz w:val="28"/>
          <w:szCs w:val="28"/>
        </w:rPr>
        <w:t xml:space="preserve">Предмет исследования – </w:t>
      </w:r>
      <w:r w:rsidR="009F07A4">
        <w:rPr>
          <w:sz w:val="28"/>
          <w:szCs w:val="28"/>
        </w:rPr>
        <w:t>пенсионные взаимоотношения</w:t>
      </w:r>
      <w:r>
        <w:rPr>
          <w:sz w:val="28"/>
          <w:szCs w:val="28"/>
        </w:rPr>
        <w:t xml:space="preserve">. Объект исследования </w:t>
      </w:r>
      <w:r w:rsidR="009F07A4">
        <w:rPr>
          <w:sz w:val="28"/>
          <w:szCs w:val="28"/>
        </w:rPr>
        <w:t>–</w:t>
      </w:r>
      <w:r>
        <w:rPr>
          <w:sz w:val="28"/>
          <w:szCs w:val="28"/>
        </w:rPr>
        <w:t xml:space="preserve"> </w:t>
      </w:r>
      <w:r w:rsidR="003F6786" w:rsidRPr="00685390">
        <w:rPr>
          <w:sz w:val="28"/>
          <w:szCs w:val="28"/>
        </w:rPr>
        <w:t>пенсионн</w:t>
      </w:r>
      <w:r w:rsidR="009F07A4">
        <w:rPr>
          <w:sz w:val="28"/>
          <w:szCs w:val="28"/>
        </w:rPr>
        <w:t xml:space="preserve">ое обеспечение в </w:t>
      </w:r>
      <w:r w:rsidR="003F6786" w:rsidRPr="00685390">
        <w:rPr>
          <w:sz w:val="28"/>
          <w:szCs w:val="28"/>
        </w:rPr>
        <w:t xml:space="preserve"> РФ</w:t>
      </w:r>
      <w:r w:rsidRPr="006F7EA7">
        <w:rPr>
          <w:sz w:val="28"/>
          <w:szCs w:val="28"/>
        </w:rPr>
        <w:t>.</w:t>
      </w:r>
    </w:p>
    <w:p w:rsidR="006F7EA7" w:rsidRPr="006F7EA7" w:rsidRDefault="006F7EA7" w:rsidP="006F7EA7">
      <w:pPr>
        <w:pStyle w:val="a7"/>
        <w:spacing w:before="0" w:beforeAutospacing="0" w:after="0" w:afterAutospacing="0" w:line="360" w:lineRule="auto"/>
        <w:ind w:firstLine="709"/>
        <w:jc w:val="both"/>
        <w:rPr>
          <w:sz w:val="28"/>
          <w:szCs w:val="28"/>
        </w:rPr>
      </w:pPr>
      <w:r>
        <w:rPr>
          <w:sz w:val="28"/>
          <w:szCs w:val="28"/>
        </w:rPr>
        <w:t xml:space="preserve">Курсовая работа состоит из введения, </w:t>
      </w:r>
      <w:r w:rsidR="00392A0A">
        <w:rPr>
          <w:sz w:val="28"/>
          <w:szCs w:val="28"/>
        </w:rPr>
        <w:t>двух</w:t>
      </w:r>
      <w:r>
        <w:rPr>
          <w:sz w:val="28"/>
          <w:szCs w:val="28"/>
        </w:rPr>
        <w:t xml:space="preserve"> глав, заключения и списка </w:t>
      </w:r>
      <w:r w:rsidR="00392A0A">
        <w:rPr>
          <w:sz w:val="28"/>
          <w:szCs w:val="28"/>
        </w:rPr>
        <w:t xml:space="preserve">использованной </w:t>
      </w:r>
      <w:r>
        <w:rPr>
          <w:sz w:val="28"/>
          <w:szCs w:val="28"/>
        </w:rPr>
        <w:t>литературы.</w:t>
      </w:r>
    </w:p>
    <w:p w:rsidR="006F7EA7" w:rsidRPr="00BA6ADF" w:rsidRDefault="006F7EA7" w:rsidP="00BA6ADF">
      <w:pPr>
        <w:pStyle w:val="a7"/>
        <w:spacing w:before="0" w:beforeAutospacing="0" w:after="0" w:afterAutospacing="0" w:line="360" w:lineRule="auto"/>
        <w:ind w:firstLine="709"/>
        <w:jc w:val="both"/>
        <w:rPr>
          <w:sz w:val="28"/>
          <w:szCs w:val="28"/>
        </w:rPr>
      </w:pPr>
    </w:p>
    <w:p w:rsidR="00CB3661" w:rsidRPr="003A2289" w:rsidRDefault="00CB3661" w:rsidP="003A2289">
      <w:pPr>
        <w:spacing w:after="0" w:line="360" w:lineRule="auto"/>
        <w:ind w:firstLine="709"/>
        <w:jc w:val="both"/>
        <w:rPr>
          <w:rFonts w:ascii="Times New Roman" w:hAnsi="Times New Roman" w:cs="Times New Roman"/>
          <w:sz w:val="28"/>
          <w:szCs w:val="28"/>
        </w:rPr>
      </w:pPr>
    </w:p>
    <w:p w:rsidR="00793A78" w:rsidRPr="003A2289" w:rsidRDefault="00793A78" w:rsidP="003A2289">
      <w:pPr>
        <w:spacing w:after="0" w:line="360" w:lineRule="auto"/>
        <w:ind w:firstLine="709"/>
        <w:jc w:val="both"/>
        <w:rPr>
          <w:rFonts w:ascii="Times New Roman" w:hAnsi="Times New Roman" w:cs="Times New Roman"/>
          <w:sz w:val="28"/>
          <w:szCs w:val="28"/>
        </w:rPr>
      </w:pPr>
      <w:r w:rsidRPr="003A2289">
        <w:rPr>
          <w:rFonts w:ascii="Times New Roman" w:hAnsi="Times New Roman" w:cs="Times New Roman"/>
          <w:sz w:val="28"/>
          <w:szCs w:val="28"/>
        </w:rPr>
        <w:br w:type="page"/>
      </w:r>
    </w:p>
    <w:p w:rsidR="008F6638" w:rsidRPr="006F43E9" w:rsidRDefault="00D764E0" w:rsidP="006F43E9">
      <w:pPr>
        <w:pStyle w:val="1"/>
        <w:spacing w:before="0" w:beforeAutospacing="0" w:after="0" w:afterAutospacing="0" w:line="360" w:lineRule="auto"/>
        <w:jc w:val="center"/>
        <w:rPr>
          <w:sz w:val="28"/>
          <w:szCs w:val="28"/>
        </w:rPr>
      </w:pPr>
      <w:bookmarkStart w:id="2" w:name="_Toc324206699"/>
      <w:bookmarkStart w:id="3" w:name="_Toc436074525"/>
      <w:r w:rsidRPr="006F43E9">
        <w:rPr>
          <w:sz w:val="28"/>
          <w:szCs w:val="28"/>
        </w:rPr>
        <w:lastRenderedPageBreak/>
        <w:t>1</w:t>
      </w:r>
      <w:r w:rsidRPr="006F43E9">
        <w:rPr>
          <w:bCs w:val="0"/>
          <w:sz w:val="28"/>
          <w:szCs w:val="28"/>
        </w:rPr>
        <w:t>.</w:t>
      </w:r>
      <w:r w:rsidRPr="006F43E9">
        <w:rPr>
          <w:sz w:val="28"/>
          <w:szCs w:val="28"/>
        </w:rPr>
        <w:t> </w:t>
      </w:r>
      <w:r w:rsidRPr="006F43E9">
        <w:rPr>
          <w:bCs w:val="0"/>
          <w:sz w:val="28"/>
          <w:szCs w:val="28"/>
        </w:rPr>
        <w:t xml:space="preserve">ОБЩАЯ ХАРАКТЕРИСТИКА </w:t>
      </w:r>
      <w:r w:rsidRPr="006F43E9">
        <w:rPr>
          <w:sz w:val="28"/>
          <w:szCs w:val="28"/>
        </w:rPr>
        <w:t>ПЕНСИОНН</w:t>
      </w:r>
      <w:r w:rsidRPr="006F43E9">
        <w:rPr>
          <w:bCs w:val="0"/>
          <w:sz w:val="28"/>
          <w:szCs w:val="28"/>
        </w:rPr>
        <w:t>ОГО</w:t>
      </w:r>
      <w:r w:rsidRPr="006F43E9">
        <w:rPr>
          <w:sz w:val="28"/>
          <w:szCs w:val="28"/>
        </w:rPr>
        <w:t xml:space="preserve"> ФОНД</w:t>
      </w:r>
      <w:r w:rsidRPr="006F43E9">
        <w:rPr>
          <w:bCs w:val="0"/>
          <w:sz w:val="28"/>
          <w:szCs w:val="28"/>
        </w:rPr>
        <w:t>А</w:t>
      </w:r>
      <w:r w:rsidRPr="006F43E9">
        <w:rPr>
          <w:sz w:val="28"/>
          <w:szCs w:val="28"/>
        </w:rPr>
        <w:t xml:space="preserve"> РОССИЙСКОЙ</w:t>
      </w:r>
      <w:r w:rsidRPr="006B7E5F">
        <w:rPr>
          <w:sz w:val="28"/>
          <w:szCs w:val="28"/>
        </w:rPr>
        <w:t xml:space="preserve"> </w:t>
      </w:r>
      <w:r w:rsidRPr="006F43E9">
        <w:rPr>
          <w:sz w:val="28"/>
          <w:szCs w:val="28"/>
        </w:rPr>
        <w:t>ФЕДЕРАЦИИ</w:t>
      </w:r>
      <w:bookmarkEnd w:id="2"/>
      <w:r w:rsidRPr="006F43E9">
        <w:rPr>
          <w:sz w:val="28"/>
          <w:szCs w:val="28"/>
        </w:rPr>
        <w:t xml:space="preserve"> И ЕГО РЕГУЛИРОВАНИЯ</w:t>
      </w:r>
      <w:bookmarkEnd w:id="3"/>
    </w:p>
    <w:p w:rsidR="008F6638" w:rsidRPr="006B7E5F" w:rsidRDefault="008F6638" w:rsidP="008F6638">
      <w:pPr>
        <w:shd w:val="clear" w:color="auto" w:fill="FFFFFF"/>
        <w:spacing w:after="0" w:line="360" w:lineRule="auto"/>
        <w:ind w:firstLine="709"/>
        <w:jc w:val="both"/>
        <w:outlineLvl w:val="0"/>
        <w:rPr>
          <w:rFonts w:ascii="Times New Roman" w:eastAsia="Times New Roman" w:hAnsi="Times New Roman" w:cs="Times New Roman"/>
          <w:bCs/>
          <w:kern w:val="36"/>
          <w:sz w:val="28"/>
          <w:szCs w:val="28"/>
        </w:rPr>
      </w:pPr>
    </w:p>
    <w:p w:rsidR="0033400A" w:rsidRPr="006F43E9" w:rsidRDefault="0033400A" w:rsidP="006F43E9">
      <w:pPr>
        <w:pStyle w:val="2"/>
        <w:spacing w:before="0" w:line="360" w:lineRule="auto"/>
        <w:jc w:val="center"/>
        <w:rPr>
          <w:rFonts w:ascii="Times New Roman" w:eastAsia="Times New Roman" w:hAnsi="Times New Roman" w:cs="Times New Roman"/>
          <w:bCs w:val="0"/>
          <w:color w:val="auto"/>
          <w:kern w:val="36"/>
          <w:sz w:val="28"/>
          <w:szCs w:val="28"/>
        </w:rPr>
      </w:pPr>
      <w:bookmarkStart w:id="4" w:name="_Toc436074526"/>
      <w:r w:rsidRPr="006F43E9">
        <w:rPr>
          <w:rFonts w:ascii="Times New Roman" w:eastAsia="Times New Roman" w:hAnsi="Times New Roman" w:cs="Times New Roman"/>
          <w:bCs w:val="0"/>
          <w:color w:val="auto"/>
          <w:kern w:val="36"/>
          <w:sz w:val="28"/>
          <w:szCs w:val="28"/>
        </w:rPr>
        <w:t>1.</w:t>
      </w:r>
      <w:r w:rsidR="006F7EA7">
        <w:rPr>
          <w:rFonts w:ascii="Times New Roman" w:eastAsia="Times New Roman" w:hAnsi="Times New Roman" w:cs="Times New Roman"/>
          <w:bCs w:val="0"/>
          <w:color w:val="auto"/>
          <w:kern w:val="36"/>
          <w:sz w:val="28"/>
          <w:szCs w:val="28"/>
        </w:rPr>
        <w:t>1</w:t>
      </w:r>
      <w:r w:rsidRPr="006F43E9">
        <w:rPr>
          <w:rFonts w:ascii="Times New Roman" w:eastAsia="Times New Roman" w:hAnsi="Times New Roman" w:cs="Times New Roman"/>
          <w:bCs w:val="0"/>
          <w:color w:val="auto"/>
          <w:kern w:val="36"/>
          <w:sz w:val="28"/>
          <w:szCs w:val="28"/>
        </w:rPr>
        <w:t xml:space="preserve">. </w:t>
      </w:r>
      <w:r w:rsidRPr="0033400A">
        <w:rPr>
          <w:rFonts w:ascii="Times New Roman" w:eastAsia="Times New Roman" w:hAnsi="Times New Roman" w:cs="Times New Roman"/>
          <w:color w:val="auto"/>
          <w:kern w:val="36"/>
          <w:sz w:val="28"/>
          <w:szCs w:val="28"/>
        </w:rPr>
        <w:t>Административно-правовой режим пенсионных накоплений</w:t>
      </w:r>
      <w:bookmarkEnd w:id="4"/>
    </w:p>
    <w:p w:rsidR="0033400A" w:rsidRDefault="0033400A" w:rsidP="0033400A">
      <w:pPr>
        <w:spacing w:after="0" w:line="360" w:lineRule="auto"/>
        <w:ind w:firstLine="709"/>
        <w:jc w:val="both"/>
        <w:outlineLvl w:val="0"/>
        <w:rPr>
          <w:rFonts w:ascii="Times New Roman" w:eastAsia="Times New Roman" w:hAnsi="Times New Roman" w:cs="Times New Roman"/>
          <w:sz w:val="28"/>
          <w:szCs w:val="28"/>
        </w:rPr>
      </w:pPr>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5" w:name="_Toc436074527"/>
      <w:bookmarkStart w:id="6" w:name="_Toc417943430"/>
      <w:r w:rsidRPr="0033400A">
        <w:rPr>
          <w:rFonts w:ascii="Times New Roman" w:eastAsia="Times New Roman" w:hAnsi="Times New Roman" w:cs="Times New Roman"/>
          <w:sz w:val="28"/>
          <w:szCs w:val="28"/>
        </w:rPr>
        <w:t>В условиях российской экономики потребность в повышении эффективности управления централизованными финансами обусловлена возрастанием их роли, усложнением классификации и особенностями административно-правового режима, установление которого способствует улучшению правовых и финансово-экономических основ государственного регулирования финансовой системой. Как писал Д.Н. Бахрах, административно-правовой режим - это определенное сочетание административно-правовых средств регулирования, опосредованное централизованным порядком, императивным методом юридического воздействия, которое выражается в том, что субъекты правоотношений по своему статусу занимают юридически неравные позиции.</w:t>
      </w:r>
      <w:r w:rsidR="007C5494">
        <w:rPr>
          <w:rStyle w:val="ad"/>
          <w:rFonts w:ascii="Times New Roman" w:eastAsia="Times New Roman" w:hAnsi="Times New Roman"/>
          <w:sz w:val="28"/>
          <w:szCs w:val="28"/>
        </w:rPr>
        <w:footnoteReference w:id="1"/>
      </w:r>
      <w:r w:rsidRPr="0033400A">
        <w:rPr>
          <w:rFonts w:ascii="Times New Roman" w:eastAsia="Times New Roman" w:hAnsi="Times New Roman" w:cs="Times New Roman"/>
          <w:sz w:val="28"/>
          <w:szCs w:val="28"/>
        </w:rPr>
        <w:t xml:space="preserve"> Формирование административно-правового режима пенсионных накоплений началось в 2002 г. с вступлением в силу Федерального закона от 17.12.2001 N 173-ФЗ "О трудовых пенсиях в Российской Федерации".</w:t>
      </w:r>
      <w:bookmarkEnd w:id="5"/>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7" w:name="_Toc436074528"/>
      <w:r w:rsidRPr="0033400A">
        <w:rPr>
          <w:rFonts w:ascii="Times New Roman" w:eastAsia="Times New Roman" w:hAnsi="Times New Roman" w:cs="Times New Roman"/>
          <w:sz w:val="28"/>
          <w:szCs w:val="28"/>
        </w:rPr>
        <w:t xml:space="preserve">По мнению М.В. Шитова, введение индивидуальной накопительной системы пенсионного обеспечения преобразовало конституционное право гражданина на социальное обеспечение из меры государственной защиты населения в накапливаемый лично капитал человека и гражданина, при этом механизм реализации и содержание этого права изменились. Так, ч. 1 и 3 ст. 39 Конституции Российской Федерации предусматривают два вида пенсионного страхования - обязательное и добровольное. Тенденции реформирования государственных институтов свидетельствуют, что в новом формате социально-обеспечительных элементов намечен переход от "патерналистской" роли государства к делегированию выполнения </w:t>
      </w:r>
      <w:r w:rsidRPr="0033400A">
        <w:rPr>
          <w:rFonts w:ascii="Times New Roman" w:eastAsia="Times New Roman" w:hAnsi="Times New Roman" w:cs="Times New Roman"/>
          <w:sz w:val="28"/>
          <w:szCs w:val="28"/>
        </w:rPr>
        <w:lastRenderedPageBreak/>
        <w:t>отдельных социальных функций общественным институтам.</w:t>
      </w:r>
      <w:r w:rsidRPr="0033400A">
        <w:rPr>
          <w:rFonts w:ascii="Times New Roman" w:eastAsia="Times New Roman" w:hAnsi="Times New Roman" w:cs="Times New Roman"/>
          <w:sz w:val="28"/>
          <w:szCs w:val="28"/>
        </w:rPr>
        <w:br/>
        <w:t>Такая смена публичных приоритетов является практикой многих развитых стран. Как справедливо отмечено И.Г. Выговской, для достижения баланса публичных и частных интересов, по мнению западных специалистов по социальной политике, государство должно сосредоточиться лишь на выполнении задач, которые не может никому перепоручить.</w:t>
      </w:r>
      <w:r w:rsidRPr="0033400A">
        <w:rPr>
          <w:rFonts w:ascii="Times New Roman" w:eastAsia="Times New Roman" w:hAnsi="Times New Roman" w:cs="Times New Roman"/>
          <w:sz w:val="28"/>
          <w:szCs w:val="28"/>
        </w:rPr>
        <w:br/>
        <w:t>По смыслу, вытекающему из выбранной концепции реформирования пенсионного обеспечения, сложились его уровни и структура.</w:t>
      </w:r>
      <w:r w:rsidRPr="0033400A">
        <w:rPr>
          <w:rFonts w:ascii="Times New Roman" w:eastAsia="Times New Roman" w:hAnsi="Times New Roman" w:cs="Times New Roman"/>
          <w:sz w:val="28"/>
          <w:szCs w:val="28"/>
        </w:rPr>
        <w:br/>
        <w:t>Первый уровень (государственный) - государственное пенсионное обеспечение, которое предназначено не допустить обеднения нетрудоспособных граждан.</w:t>
      </w:r>
      <w:bookmarkEnd w:id="7"/>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8" w:name="_Toc436074529"/>
      <w:r w:rsidRPr="0033400A">
        <w:rPr>
          <w:rFonts w:ascii="Times New Roman" w:eastAsia="Times New Roman" w:hAnsi="Times New Roman" w:cs="Times New Roman"/>
          <w:sz w:val="28"/>
          <w:szCs w:val="28"/>
        </w:rPr>
        <w:t>Второй уровень (солидарный) - обязательное пенсионное страхование (вид социального страхования), которое имеет своей целью компенсировать застрахованным гражданам доход от трудовой деятельности, который ими был утрачен по причине нетрудоспособности вследствие наступления старости или инвалидности, а нетрудоспособным членам семьи умершего застрахованного лица, находившимся на его иждивении, - по причине смерти кормильца.</w:t>
      </w:r>
      <w:bookmarkEnd w:id="8"/>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9" w:name="_Toc436074530"/>
      <w:r w:rsidRPr="0033400A">
        <w:rPr>
          <w:rFonts w:ascii="Times New Roman" w:eastAsia="Times New Roman" w:hAnsi="Times New Roman" w:cs="Times New Roman"/>
          <w:sz w:val="28"/>
          <w:szCs w:val="28"/>
        </w:rPr>
        <w:t>Третий уровень (накопительный) - обязательное личное страхование на случай достижения пенсионного возраста, которое выполняет роль дополнительной гарантии обеспечения определенного уровня дохода пенсионеров, позволяет им вести достойный образ жизни после прекращения их трудовой деятельности.</w:t>
      </w:r>
      <w:bookmarkEnd w:id="9"/>
    </w:p>
    <w:p w:rsidR="00995FE7"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0" w:name="_Toc436074531"/>
      <w:r w:rsidRPr="0033400A">
        <w:rPr>
          <w:rFonts w:ascii="Times New Roman" w:eastAsia="Times New Roman" w:hAnsi="Times New Roman" w:cs="Times New Roman"/>
          <w:sz w:val="28"/>
          <w:szCs w:val="28"/>
        </w:rPr>
        <w:t xml:space="preserve">Правовое регулирование формирования пенсионных накоплений осуществляется на основании Федерального закона от 30.04.2008 N 56-ФЗ "О дополнительных страховых взносах на накопительную часть трудовой пенсии и государственной поддержке формирования пенсионных накоплений" (далее - Закон о дополнительных взносах), в целях стимулирования формирования пенсионных накоплений и повышения уровня пенсионного обеспечения граждан. С этой целью государство в лице </w:t>
      </w:r>
      <w:r w:rsidRPr="0033400A">
        <w:rPr>
          <w:rFonts w:ascii="Times New Roman" w:eastAsia="Times New Roman" w:hAnsi="Times New Roman" w:cs="Times New Roman"/>
          <w:sz w:val="28"/>
          <w:szCs w:val="28"/>
        </w:rPr>
        <w:lastRenderedPageBreak/>
        <w:t>уполномоченных субъектов обеспечивает государственное регулирование формирования и инвестирования средств пенсионных накоплений.</w:t>
      </w:r>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r w:rsidRPr="0033400A">
        <w:rPr>
          <w:rFonts w:ascii="Times New Roman" w:eastAsia="Times New Roman" w:hAnsi="Times New Roman" w:cs="Times New Roman"/>
          <w:sz w:val="28"/>
          <w:szCs w:val="28"/>
        </w:rPr>
        <w:t>По мнению М. Баранова, сущность надзора заключается в обеспечении законности и правопорядка путем выявления и устранения допущенных нарушений закона, а также их предупреждения, его содержание составляет основанная на законе деятельность специально уполномоченных субъектов, направленная на предупреждение, выявление и пресечение нарушений закона, за исключением непосредственного применения санкций к нарушителям.</w:t>
      </w:r>
      <w:r w:rsidR="007C5494">
        <w:rPr>
          <w:rStyle w:val="ad"/>
          <w:rFonts w:ascii="Times New Roman" w:eastAsia="Times New Roman" w:hAnsi="Times New Roman"/>
          <w:sz w:val="28"/>
          <w:szCs w:val="28"/>
        </w:rPr>
        <w:footnoteReference w:id="2"/>
      </w:r>
      <w:bookmarkEnd w:id="10"/>
    </w:p>
    <w:p w:rsidR="00995FE7"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1" w:name="_Toc436074532"/>
      <w:r w:rsidRPr="0033400A">
        <w:rPr>
          <w:rFonts w:ascii="Times New Roman" w:eastAsia="Times New Roman" w:hAnsi="Times New Roman" w:cs="Times New Roman"/>
          <w:sz w:val="28"/>
          <w:szCs w:val="28"/>
        </w:rPr>
        <w:t>Действенность финансового контроля, осуществляемого различными субъектами (органами государственной власти, общественными организациями, структурными подразделениями финансовых институтов), в значительной степени зависит от их взаимодействия.</w:t>
      </w:r>
      <w:r w:rsidRPr="0033400A">
        <w:rPr>
          <w:rFonts w:ascii="Times New Roman" w:eastAsia="Times New Roman" w:hAnsi="Times New Roman" w:cs="Times New Roman"/>
          <w:sz w:val="28"/>
          <w:szCs w:val="28"/>
        </w:rPr>
        <w:br/>
        <w:t xml:space="preserve">Как известно, под контролем и надзором понимают осуществление действий по контролю и надзору за исполнением органами государственной власти, органами местного самоуправления, их должностными лицами, юридическими лицами и гражданами установленных нормативными правовыми актами общеобязательных правил поведения, включая выдачу разрешений, регистрацию актов и издание индивидуальных правовых актов. </w:t>
      </w:r>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r w:rsidRPr="0033400A">
        <w:rPr>
          <w:rFonts w:ascii="Times New Roman" w:eastAsia="Times New Roman" w:hAnsi="Times New Roman" w:cs="Times New Roman"/>
          <w:sz w:val="28"/>
          <w:szCs w:val="28"/>
        </w:rPr>
        <w:t>Как уже отмечалось, защита прав застрахованных лиц заключается в деятельности по надзору и контролю, приводящей к устранению нарушений прав и законных интересов застрахованных лиц. В связи с этим надзор и контроль должны обеспечивать соблюдение прав застрахованных лиц и реализацию государственной политики в сфере пенсионного страхования.</w:t>
      </w:r>
      <w:r w:rsidRPr="0033400A">
        <w:rPr>
          <w:rFonts w:ascii="Times New Roman" w:eastAsia="Times New Roman" w:hAnsi="Times New Roman" w:cs="Times New Roman"/>
          <w:sz w:val="28"/>
          <w:szCs w:val="28"/>
        </w:rPr>
        <w:br/>
        <w:t xml:space="preserve">Можно согласиться с мнением о том, что контрольная деятельность государства может быть реализована в форме проведения инспектирования, проверки на предмет соответствия законам и актам вышестоящих органов деятельности конкретных должностных лиц, а также путем проверки </w:t>
      </w:r>
      <w:r w:rsidRPr="0033400A">
        <w:rPr>
          <w:rFonts w:ascii="Times New Roman" w:eastAsia="Times New Roman" w:hAnsi="Times New Roman" w:cs="Times New Roman"/>
          <w:sz w:val="28"/>
          <w:szCs w:val="28"/>
        </w:rPr>
        <w:lastRenderedPageBreak/>
        <w:t>соблюдения предусмотренных стандартов и выполнения должностных обязанностей.</w:t>
      </w:r>
      <w:bookmarkEnd w:id="11"/>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2" w:name="_Toc436074533"/>
      <w:r w:rsidRPr="0033400A">
        <w:rPr>
          <w:rFonts w:ascii="Times New Roman" w:eastAsia="Times New Roman" w:hAnsi="Times New Roman" w:cs="Times New Roman"/>
          <w:sz w:val="28"/>
          <w:szCs w:val="28"/>
        </w:rPr>
        <w:t>Государственные надзор и контроль являются функцией государства, осуществляемой одной из ветвей государственной власти, в частности исполнительной властью. Контрольная деятельность как функция обладает самостоятельной формой, которая выражается в деятельности государственных органов, направленной на получение и анализ информации о происходящих в обществе процессах и явлениях и осуществляемой с целью установления нарушений или отклонений от нормативно-индивидуальных предписаний. Однако заметим, что данная деятельность признается защитой прав застрахованных лиц после издания правоприменительного акта, например предписания о восстановлении нарушенного права лиц (лица) и его исполнения.</w:t>
      </w:r>
      <w:bookmarkEnd w:id="12"/>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3" w:name="_Toc436074534"/>
      <w:r w:rsidRPr="0033400A">
        <w:rPr>
          <w:rFonts w:ascii="Times New Roman" w:eastAsia="Times New Roman" w:hAnsi="Times New Roman" w:cs="Times New Roman"/>
          <w:sz w:val="28"/>
          <w:szCs w:val="28"/>
        </w:rPr>
        <w:t>Таким образом, государственное регулирование в сфере формирования и инвестирования средств пенсионных накоплений представляет собой воздействие государства на лиц, участвующих в данных правоотношениях, путем принятия нормативно-правовых актов, а также включает в себя контрольно-надзорную деятельность уполномоченных государственных органов. При этом надзор является специфической разновидностью контроля, направленной на обеспечение соблюдения законности в данной сфере.</w:t>
      </w:r>
      <w:bookmarkEnd w:id="13"/>
    </w:p>
    <w:p w:rsidR="00BB5D83" w:rsidRDefault="00BB5D83" w:rsidP="0033400A">
      <w:pPr>
        <w:spacing w:after="0" w:line="360" w:lineRule="auto"/>
        <w:ind w:firstLine="709"/>
        <w:jc w:val="both"/>
        <w:outlineLvl w:val="0"/>
        <w:rPr>
          <w:rFonts w:ascii="Times New Roman" w:eastAsia="Times New Roman" w:hAnsi="Times New Roman" w:cs="Times New Roman"/>
          <w:sz w:val="28"/>
          <w:szCs w:val="28"/>
        </w:rPr>
      </w:pPr>
    </w:p>
    <w:p w:rsidR="00BB5D83" w:rsidRPr="003167BD" w:rsidRDefault="00BB5D83" w:rsidP="003167BD">
      <w:pPr>
        <w:pStyle w:val="2"/>
        <w:spacing w:before="0" w:line="360" w:lineRule="auto"/>
        <w:jc w:val="center"/>
        <w:rPr>
          <w:rFonts w:ascii="Times New Roman" w:eastAsia="Times New Roman" w:hAnsi="Times New Roman" w:cs="Times New Roman"/>
          <w:color w:val="auto"/>
          <w:sz w:val="28"/>
          <w:szCs w:val="28"/>
        </w:rPr>
      </w:pPr>
      <w:bookmarkStart w:id="14" w:name="_Toc436074535"/>
      <w:r w:rsidRPr="003167BD">
        <w:rPr>
          <w:rFonts w:ascii="Times New Roman" w:eastAsia="Times New Roman" w:hAnsi="Times New Roman" w:cs="Times New Roman"/>
          <w:color w:val="auto"/>
          <w:sz w:val="28"/>
          <w:szCs w:val="28"/>
        </w:rPr>
        <w:t xml:space="preserve">1.2. </w:t>
      </w:r>
      <w:r w:rsidR="00D764E0" w:rsidRPr="003167BD">
        <w:rPr>
          <w:rFonts w:ascii="Times New Roman" w:eastAsia="Times New Roman" w:hAnsi="Times New Roman" w:cs="Times New Roman"/>
          <w:color w:val="auto"/>
          <w:sz w:val="28"/>
          <w:szCs w:val="28"/>
        </w:rPr>
        <w:t>Осуществление к</w:t>
      </w:r>
      <w:r w:rsidRPr="003167BD">
        <w:rPr>
          <w:rFonts w:ascii="Times New Roman" w:eastAsia="Times New Roman" w:hAnsi="Times New Roman" w:cs="Times New Roman"/>
          <w:color w:val="auto"/>
          <w:sz w:val="28"/>
          <w:szCs w:val="28"/>
        </w:rPr>
        <w:t>онтроля и надзора</w:t>
      </w:r>
      <w:r w:rsidR="00D764E0" w:rsidRPr="003167BD">
        <w:rPr>
          <w:rFonts w:ascii="Times New Roman" w:eastAsia="Times New Roman" w:hAnsi="Times New Roman" w:cs="Times New Roman"/>
          <w:color w:val="auto"/>
          <w:sz w:val="28"/>
          <w:szCs w:val="28"/>
        </w:rPr>
        <w:t xml:space="preserve"> за деятельностью пенсионных фондов</w:t>
      </w:r>
      <w:bookmarkEnd w:id="14"/>
    </w:p>
    <w:p w:rsidR="00BB5D83" w:rsidRDefault="00BB5D83" w:rsidP="0033400A">
      <w:pPr>
        <w:spacing w:after="0" w:line="360" w:lineRule="auto"/>
        <w:ind w:firstLine="709"/>
        <w:jc w:val="both"/>
        <w:outlineLvl w:val="0"/>
        <w:rPr>
          <w:rFonts w:ascii="Times New Roman" w:eastAsia="Times New Roman" w:hAnsi="Times New Roman" w:cs="Times New Roman"/>
          <w:sz w:val="28"/>
          <w:szCs w:val="28"/>
        </w:rPr>
      </w:pPr>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5" w:name="_Toc436074536"/>
      <w:r w:rsidRPr="0033400A">
        <w:rPr>
          <w:rFonts w:ascii="Times New Roman" w:eastAsia="Times New Roman" w:hAnsi="Times New Roman" w:cs="Times New Roman"/>
          <w:sz w:val="28"/>
          <w:szCs w:val="28"/>
        </w:rPr>
        <w:t>Субъекты регулирования, контроля и надзора за формированием и инвестированием средств пенсионных накоплений согласно ст. 6 Федерального закона от 24.07.2002 N 111-ФЗ "Об инвестировании средств для финансирования накопительной части трудовой пенсии в Российской Федерации" могут быть разделены на две группы:</w:t>
      </w:r>
      <w:bookmarkEnd w:id="15"/>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6" w:name="_Toc436074537"/>
      <w:r w:rsidRPr="0033400A">
        <w:rPr>
          <w:rFonts w:ascii="Times New Roman" w:eastAsia="Times New Roman" w:hAnsi="Times New Roman" w:cs="Times New Roman"/>
          <w:sz w:val="28"/>
          <w:szCs w:val="28"/>
        </w:rPr>
        <w:lastRenderedPageBreak/>
        <w:t>- орган государственного регулирования, контроля и надзора;</w:t>
      </w:r>
      <w:bookmarkEnd w:id="16"/>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7" w:name="_Toc436074538"/>
      <w:r w:rsidRPr="0033400A">
        <w:rPr>
          <w:rFonts w:ascii="Times New Roman" w:eastAsia="Times New Roman" w:hAnsi="Times New Roman" w:cs="Times New Roman"/>
          <w:sz w:val="28"/>
          <w:szCs w:val="28"/>
        </w:rPr>
        <w:t>- орган регулирования, контроля и надзора - ЦБ РФ, саморегулируемые организации (СРО).</w:t>
      </w:r>
      <w:bookmarkEnd w:id="17"/>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8" w:name="_Toc436074539"/>
      <w:r w:rsidRPr="0033400A">
        <w:rPr>
          <w:rFonts w:ascii="Times New Roman" w:eastAsia="Times New Roman" w:hAnsi="Times New Roman" w:cs="Times New Roman"/>
          <w:sz w:val="28"/>
          <w:szCs w:val="28"/>
        </w:rPr>
        <w:t>Такое разделение субъектного состава обусловлено передачей полномочий упраздненной ФСФР России по регулированию финансового рынка Минфину России и Банку России. Последний, приобретя в ходе реформирования статус мегарегулятора, не может быть отнесен к типу органа государственного регулирования. Саморегулируемые организации, функционирующие в сфере деятельности ГПФ, представляют собой добровольное объединение фондов в целях обеспечения условий их профессиональной деятельности. Они призваны обеспечивать защиту интересов клиентов фондов, устанавливать правила и стандарты проведения операций, которые будут способствовать обеспечению эффективности их деятельности.</w:t>
      </w:r>
      <w:bookmarkEnd w:id="18"/>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19" w:name="_Toc436074540"/>
      <w:r w:rsidRPr="0033400A">
        <w:rPr>
          <w:rFonts w:ascii="Times New Roman" w:eastAsia="Times New Roman" w:hAnsi="Times New Roman" w:cs="Times New Roman"/>
          <w:sz w:val="28"/>
          <w:szCs w:val="28"/>
        </w:rPr>
        <w:t>Отметим, что во всем мире регулированию деятельности негосударственных пенсионных органов уделяется особое внимание. Например, в Великобритании существует специальный орган (ОПРА), осуществляющий функции контроля и надзора за деятельностью пенсионных фондов.</w:t>
      </w:r>
      <w:bookmarkEnd w:id="19"/>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0" w:name="_Toc436074541"/>
      <w:r w:rsidRPr="0033400A">
        <w:rPr>
          <w:rFonts w:ascii="Times New Roman" w:eastAsia="Times New Roman" w:hAnsi="Times New Roman" w:cs="Times New Roman"/>
          <w:sz w:val="28"/>
          <w:szCs w:val="28"/>
        </w:rPr>
        <w:t>Министерством финансов Российской Федерации в сфере формирования и инвестирования средств пенсионных накоплений осуществляются функции по регулированию, надзору и контролю. Этот орган исполнительной власти уполномочен осуществлять деятельность по государственному регулированию в сфере инвестирования и формирования средств пенсионных накоплений, в т.ч. средств выплатного резерва и средств пенсионных накоплений, предназначенных для выплаты застрахованным лицам, обладающим правом на срочную пенсионную выплату.</w:t>
      </w:r>
      <w:r w:rsidRPr="0033400A">
        <w:rPr>
          <w:rFonts w:ascii="Times New Roman" w:eastAsia="Times New Roman" w:hAnsi="Times New Roman" w:cs="Times New Roman"/>
          <w:sz w:val="28"/>
          <w:szCs w:val="28"/>
        </w:rPr>
        <w:br/>
        <w:t>Эту норму следует рассматривать как один из примеров применения исключений, предусмотренных Указом Президента N 314.</w:t>
      </w:r>
      <w:bookmarkEnd w:id="20"/>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1" w:name="_Toc436074542"/>
      <w:r w:rsidRPr="0033400A">
        <w:rPr>
          <w:rFonts w:ascii="Times New Roman" w:eastAsia="Times New Roman" w:hAnsi="Times New Roman" w:cs="Times New Roman"/>
          <w:sz w:val="28"/>
          <w:szCs w:val="28"/>
        </w:rPr>
        <w:lastRenderedPageBreak/>
        <w:t>Минфин России вправе направлять ПФР, специализированному депозитарию, управляющим компаниям, брокерам, кредитным организациям и НПФ, осуществляющим деятельность по обязательному пенсионному страхованию, запросы о предоставлении информации об осуществлении ими деятельности по формированию и инвестированию средств пенсионных накоплений, а также иной информации. Помимо этого, Минфин России определяет принципы, порядок и показатели расчета чистого финансового результата, полученного от временного размещения сумм страховых взносов на финансирование накопительной части трудовой пенсии, поступивших в Пенсионный фонд Российской Федерации в течение финансового года и еще не переданных в доверительное управление управляющим компаниям, отобранным по результатам конкурсов, и государственной управляющей компании. Регулируются Минфином России и состав, порядок и сроки раскрытия информации об инвестировании средств пенсионных накоплений и информации о структуре и составе акционеров (участников) управляющих компаний и специализированного депозитария.</w:t>
      </w:r>
      <w:bookmarkEnd w:id="21"/>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2" w:name="_Toc436074543"/>
      <w:r w:rsidRPr="0033400A">
        <w:rPr>
          <w:rFonts w:ascii="Times New Roman" w:eastAsia="Times New Roman" w:hAnsi="Times New Roman" w:cs="Times New Roman"/>
          <w:sz w:val="28"/>
          <w:szCs w:val="28"/>
        </w:rPr>
        <w:t>Банку России приданы самые существенные контрольные полномочия. Центральный банк Российской Федерации осуществляет контроль за ПФР, специализированным депозитарием, управляющими компаниями, брокерами, кредитными организациями и НПФ, которые осуществляют деятельность по обязательному пенсионному страхованию.</w:t>
      </w:r>
      <w:bookmarkEnd w:id="22"/>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3" w:name="_Toc436074544"/>
      <w:r w:rsidRPr="0033400A">
        <w:rPr>
          <w:rFonts w:ascii="Times New Roman" w:eastAsia="Times New Roman" w:hAnsi="Times New Roman" w:cs="Times New Roman"/>
          <w:sz w:val="28"/>
          <w:szCs w:val="28"/>
        </w:rPr>
        <w:t>Саморегулируемая организация осуществляет контроль работы фондов, являющихся ее членами, в части соблюдения правил (стандартов) профессиональной деятельности. Как следует из статуса СРО, ее контрольные полномочия распространяются только на ее членов. Но при этом в Федеральном законе от 07.05.1998 N 75-ФЗ "О негосударственных пенсионных фондах" (далее - Закон о НПФ) не установлено безусловное требование об обязательном членстве НПФ в СРО.</w:t>
      </w:r>
      <w:bookmarkEnd w:id="23"/>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4" w:name="_Toc436074545"/>
      <w:r w:rsidRPr="0033400A">
        <w:rPr>
          <w:rFonts w:ascii="Times New Roman" w:eastAsia="Times New Roman" w:hAnsi="Times New Roman" w:cs="Times New Roman"/>
          <w:sz w:val="28"/>
          <w:szCs w:val="28"/>
        </w:rPr>
        <w:t xml:space="preserve">Иные федеральные органы исполнительной власти также могут осуществлять государственное регулирование, контроль и надзор в сфере </w:t>
      </w:r>
      <w:r w:rsidRPr="0033400A">
        <w:rPr>
          <w:rFonts w:ascii="Times New Roman" w:eastAsia="Times New Roman" w:hAnsi="Times New Roman" w:cs="Times New Roman"/>
          <w:sz w:val="28"/>
          <w:szCs w:val="28"/>
        </w:rPr>
        <w:lastRenderedPageBreak/>
        <w:t>формирования и инвестирования средств пенсионных накоплений в пределах своей компетенции. Так, согласно Постановлению Правительства РФ от 26.08.2013 N 739 Министерство труда и социальной защиты Российской Федерации (Минтруд России) является уполномоченным федеральным органом исполнительной власти по регулированию, контролю и надзору в сфере формирования и инвестирования средств пенсионных накоплений, за исключением функций по контролю за Пенсионным фондом Российской Федерации, которые отнесены к функциям Банка России. Кроме того, Минтруд России осуществляет функции по разработке мер государственной политики, нормативно-правового регулирования в сфере пенсионного обеспечения, в т.ч. в сфере формирования средств пенсионных накоплений. Также Минтруд РФ координирует деятельность ПФР в целом, а также осуществляет контроль за деятельностью ПФР в случаях, устанавливаемых федеральным законом.</w:t>
      </w:r>
      <w:bookmarkEnd w:id="24"/>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5" w:name="_Toc436074546"/>
      <w:r w:rsidRPr="0033400A">
        <w:rPr>
          <w:rFonts w:ascii="Times New Roman" w:eastAsia="Times New Roman" w:hAnsi="Times New Roman" w:cs="Times New Roman"/>
          <w:sz w:val="28"/>
          <w:szCs w:val="28"/>
        </w:rPr>
        <w:t>Помимо этого, Федеральная служба финансово-бюджетного надзора России осуществляет контроль за органами управления государственными внебюджетными фондами Российской Федерации и юридическими лицами, получающими средства из бюджетов государственных внебюджетных фондов Российской Федерации по договорам о финансовом обеспечении обязательного медицинского страхования.</w:t>
      </w:r>
      <w:r w:rsidR="007C5494">
        <w:rPr>
          <w:rStyle w:val="ad"/>
          <w:rFonts w:ascii="Times New Roman" w:eastAsia="Times New Roman" w:hAnsi="Times New Roman"/>
          <w:sz w:val="28"/>
          <w:szCs w:val="28"/>
        </w:rPr>
        <w:footnoteReference w:id="3"/>
      </w:r>
      <w:bookmarkEnd w:id="25"/>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6" w:name="_Toc436074547"/>
      <w:r w:rsidRPr="0033400A">
        <w:rPr>
          <w:rFonts w:ascii="Times New Roman" w:eastAsia="Times New Roman" w:hAnsi="Times New Roman" w:cs="Times New Roman"/>
          <w:sz w:val="28"/>
          <w:szCs w:val="28"/>
        </w:rPr>
        <w:t>Особо отметим деятельность Счетной палаты РФ (СП РФ), уполномоченной в соответствии с Законом об инвестировании средств осуществлять ежегодную проверку ведения бухгалтерского учета Пенсионным фондом Российской Федерации, учета пенсионных накоплений в специальных частях индивидуальных лицевых счетов застрахованных лиц, а также его бухгалтерскую (финансовую) отчетность.</w:t>
      </w:r>
      <w:bookmarkEnd w:id="26"/>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7" w:name="_Toc436074548"/>
      <w:r w:rsidRPr="0033400A">
        <w:rPr>
          <w:rFonts w:ascii="Times New Roman" w:eastAsia="Times New Roman" w:hAnsi="Times New Roman" w:cs="Times New Roman"/>
          <w:sz w:val="28"/>
          <w:szCs w:val="28"/>
        </w:rPr>
        <w:t xml:space="preserve">СП РФ занимается организацией и осуществлением контроля за целевым и эффективным использованием средств федерального бюджета и бюджетов государственных внебюджетных фондов. Осуществляет </w:t>
      </w:r>
      <w:r w:rsidRPr="0033400A">
        <w:rPr>
          <w:rFonts w:ascii="Times New Roman" w:eastAsia="Times New Roman" w:hAnsi="Times New Roman" w:cs="Times New Roman"/>
          <w:sz w:val="28"/>
          <w:szCs w:val="28"/>
        </w:rPr>
        <w:lastRenderedPageBreak/>
        <w:t>аудиторские проверки реализуемости и результативности достижения стратегических целей социально-экономического развития Российской Федерации. Кроме того, на основании ст. 12 Закона об инвестировании средств контрольные полномочия СП РФ распространяются и на деятельность негосударственных фондов и иных негосударственных некоммерческих организаций в части получения, перечисления или использования ими средств федерального бюджета, а также использования федеральной собственности и управления ею. Статьей 9 указанного закона предусмотрено, что ежегодной проверке аудиторской организацией подлежит бухгалтерский учет специализированного депозитария и управляющих компаний, их бухгалтерская (финансовая) отчетность, отражающая деятельность по формированию и инвестированию средств пенсионных накоплений, а также выплаты за счет средств пенсионных накоплений.</w:t>
      </w:r>
      <w:bookmarkEnd w:id="27"/>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8" w:name="_Toc436074549"/>
      <w:r w:rsidRPr="0033400A">
        <w:rPr>
          <w:rFonts w:ascii="Times New Roman" w:eastAsia="Times New Roman" w:hAnsi="Times New Roman" w:cs="Times New Roman"/>
          <w:sz w:val="28"/>
          <w:szCs w:val="28"/>
        </w:rPr>
        <w:t>Помимо внешнего контроля, законодательством предусмотрен еще и внутренний контроль за деятельностью НПФ (негосударственных пенсионных фондов). Так, в соответствии со ст. 7 Закона о НПФ на негосударственные пенсионные фонды возложена обязанность по организации внутреннего контроля за собственной деятельностью по негосударственному пенсионному обеспечению, пенсионному страхованию и профессиональному пенсионному страхованию. Под внутренним контролем понимается деятельность, направленная на обеспечение соблюдения фондом требований федеральных законов и иных нормативных правовых актов Российской Федерации. Эта деятельность в соответствии с правилами организации и осуществления внутреннего контроля осуществляется контролером или руководителем, также сотрудниками службы внутреннего контроля</w:t>
      </w:r>
      <w:r w:rsidR="00497F2E">
        <w:rPr>
          <w:rFonts w:ascii="Times New Roman" w:eastAsia="Times New Roman" w:hAnsi="Times New Roman" w:cs="Times New Roman"/>
          <w:sz w:val="28"/>
          <w:szCs w:val="28"/>
        </w:rPr>
        <w:t>.</w:t>
      </w:r>
      <w:bookmarkEnd w:id="28"/>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29" w:name="_Toc436074550"/>
      <w:r w:rsidRPr="0033400A">
        <w:rPr>
          <w:rFonts w:ascii="Times New Roman" w:eastAsia="Times New Roman" w:hAnsi="Times New Roman" w:cs="Times New Roman"/>
          <w:sz w:val="28"/>
          <w:szCs w:val="28"/>
        </w:rPr>
        <w:t>Для проведения внутреннего контроля в фонде может вводиться должность внутреннего контролера или создаваться подразделение в виде службы внутреннего контроля.</w:t>
      </w:r>
      <w:bookmarkEnd w:id="29"/>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0" w:name="_Toc436074551"/>
      <w:r w:rsidRPr="0033400A">
        <w:rPr>
          <w:rFonts w:ascii="Times New Roman" w:eastAsia="Times New Roman" w:hAnsi="Times New Roman" w:cs="Times New Roman"/>
          <w:sz w:val="28"/>
          <w:szCs w:val="28"/>
        </w:rPr>
        <w:lastRenderedPageBreak/>
        <w:t>Решением совета фонда проводятся назначение на должность и освобождение от должности контролера, руководителя, сотрудников службы внутреннего контроля, осуществляющих внутренний контроль. Перечисленные лица и подразделения подотчетны совету фонда и независимы от исполнительных органов фонда.</w:t>
      </w:r>
      <w:bookmarkEnd w:id="30"/>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1" w:name="_Toc436074552"/>
      <w:r w:rsidRPr="0033400A">
        <w:rPr>
          <w:rFonts w:ascii="Times New Roman" w:eastAsia="Times New Roman" w:hAnsi="Times New Roman" w:cs="Times New Roman"/>
          <w:sz w:val="28"/>
          <w:szCs w:val="28"/>
        </w:rPr>
        <w:t>При осуществлении внутреннего контроля проводятся мероприятия по контролю за соблюдением устава фонда, требований к деятельности исполнительных органов фонда и его главного бухгалтера.</w:t>
      </w:r>
      <w:r w:rsidRPr="0033400A">
        <w:rPr>
          <w:rFonts w:ascii="Times New Roman" w:eastAsia="Times New Roman" w:hAnsi="Times New Roman" w:cs="Times New Roman"/>
          <w:sz w:val="28"/>
          <w:szCs w:val="28"/>
        </w:rPr>
        <w:br/>
        <w:t>Контроль осуществляется также за исполнением обязательств по договорам о негосударственном пенсионном обеспечении в порядке и на условиях, установленных правилами пенсионного фонда, исполнением обязательств по договорам об обязательном пенсионном страховании в порядке и на условиях, установленных страховыми правилами фонда.</w:t>
      </w:r>
      <w:bookmarkEnd w:id="31"/>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2" w:name="_Toc436074553"/>
      <w:r w:rsidRPr="0033400A">
        <w:rPr>
          <w:rFonts w:ascii="Times New Roman" w:eastAsia="Times New Roman" w:hAnsi="Times New Roman" w:cs="Times New Roman"/>
          <w:sz w:val="28"/>
          <w:szCs w:val="28"/>
        </w:rPr>
        <w:t>Отдельно контролируется соблюдение кодекса профессиональной этики фонда; правил внутреннего контроля, способствующих противодействию легализации (отмыванию) доходов, полученных преступным путем, и финансированию терроризма и распространению оружия массового поражения; требований по размещению и организации размещения средств пенсионных резервов, осуществлению мер по инвестированию средств пенсионных накоплений, а также требований, предъявляемых к формированию имущества, которое предназначено обеспечивать уставную деятельность фонда, и в отношении инвестирования активов, его составляющих.</w:t>
      </w:r>
      <w:bookmarkEnd w:id="32"/>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3" w:name="_Toc436074554"/>
      <w:r w:rsidRPr="0033400A">
        <w:rPr>
          <w:rFonts w:ascii="Times New Roman" w:eastAsia="Times New Roman" w:hAnsi="Times New Roman" w:cs="Times New Roman"/>
          <w:sz w:val="28"/>
          <w:szCs w:val="28"/>
        </w:rPr>
        <w:t>Проводятся контрольные мероприятия: по организации контроля управления информационными потоками; проверке полноты, своевременности составления и представления финансовой, бухгалтерской и иной отчетности, предназначенной для внешних и внутренних пользователей, подготовке ответов на обращения вкладчиков, участников, застрахованных лиц и их правопреемников.</w:t>
      </w:r>
      <w:bookmarkEnd w:id="33"/>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4" w:name="_Toc436074555"/>
      <w:r w:rsidRPr="0033400A">
        <w:rPr>
          <w:rFonts w:ascii="Times New Roman" w:eastAsia="Times New Roman" w:hAnsi="Times New Roman" w:cs="Times New Roman"/>
          <w:sz w:val="28"/>
          <w:szCs w:val="28"/>
        </w:rPr>
        <w:lastRenderedPageBreak/>
        <w:t>Общественный контроль формирования и инвестирования средств пенсионных накоплений осуществляется Общественным советом по инвестированию средств пенсионных накоплений, образованным в соответствии с Указом Президента РФ от 23.07.2003 N 827, утвердившим Положение о нем.</w:t>
      </w:r>
      <w:bookmarkEnd w:id="34"/>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5" w:name="_Toc436074556"/>
      <w:r w:rsidRPr="0033400A">
        <w:rPr>
          <w:rFonts w:ascii="Times New Roman" w:eastAsia="Times New Roman" w:hAnsi="Times New Roman" w:cs="Times New Roman"/>
          <w:sz w:val="28"/>
          <w:szCs w:val="28"/>
        </w:rPr>
        <w:t>Персональный состав Совета формируется из представителей СРО, профессиональных участников рынка бумаг, иных общественных организаций и федеральных органов исполнительной власти (п. 2 ст. 8).</w:t>
      </w:r>
      <w:r w:rsidRPr="0033400A">
        <w:rPr>
          <w:rFonts w:ascii="Times New Roman" w:eastAsia="Times New Roman" w:hAnsi="Times New Roman" w:cs="Times New Roman"/>
          <w:sz w:val="28"/>
          <w:szCs w:val="28"/>
        </w:rPr>
        <w:br/>
        <w:t>Рассмотрение полномочий по финансовому контролю в сфере формирования и инвестирования средств пенсионных накоплений, в т.ч. средств выплатного резерва и средств пенсионных накоплений застрахованных лиц, позволило сделать ряд выводов.</w:t>
      </w:r>
      <w:bookmarkEnd w:id="35"/>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6" w:name="_Toc436074557"/>
      <w:r w:rsidRPr="0033400A">
        <w:rPr>
          <w:rFonts w:ascii="Times New Roman" w:eastAsia="Times New Roman" w:hAnsi="Times New Roman" w:cs="Times New Roman"/>
          <w:sz w:val="28"/>
          <w:szCs w:val="28"/>
        </w:rPr>
        <w:t>Государственное регулирование деятельности уполномоченных субъектов по формированию и инвестированию средств пенсионных накоплений осуществляется следующими субъектами:</w:t>
      </w:r>
      <w:bookmarkEnd w:id="36"/>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7" w:name="_Toc436074558"/>
      <w:r w:rsidRPr="0033400A">
        <w:rPr>
          <w:rFonts w:ascii="Times New Roman" w:eastAsia="Times New Roman" w:hAnsi="Times New Roman" w:cs="Times New Roman"/>
          <w:sz w:val="28"/>
          <w:szCs w:val="28"/>
        </w:rPr>
        <w:t>а) представительные органы - Счетная палата РФ;</w:t>
      </w:r>
      <w:bookmarkEnd w:id="37"/>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8" w:name="_Toc436074559"/>
      <w:r w:rsidRPr="0033400A">
        <w:rPr>
          <w:rFonts w:ascii="Times New Roman" w:eastAsia="Times New Roman" w:hAnsi="Times New Roman" w:cs="Times New Roman"/>
          <w:sz w:val="28"/>
          <w:szCs w:val="28"/>
        </w:rPr>
        <w:t>б) исполнительные органы, в т.ч. органы общей компетенции - Правительство РФ и органы специальной компетенции - Минфин России, Министерство труда и социальной защиты, финансово-кредитные учреждения - ЦБ РФ, ПФР;</w:t>
      </w:r>
      <w:bookmarkEnd w:id="38"/>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39" w:name="_Toc436074560"/>
      <w:r w:rsidRPr="0033400A">
        <w:rPr>
          <w:rFonts w:ascii="Times New Roman" w:eastAsia="Times New Roman" w:hAnsi="Times New Roman" w:cs="Times New Roman"/>
          <w:sz w:val="28"/>
          <w:szCs w:val="28"/>
        </w:rPr>
        <w:t>в) внутренний контроль - специальные структурные подразделения НПФ;</w:t>
      </w:r>
      <w:bookmarkEnd w:id="39"/>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40" w:name="_Toc436074561"/>
      <w:r w:rsidRPr="0033400A">
        <w:rPr>
          <w:rFonts w:ascii="Times New Roman" w:eastAsia="Times New Roman" w:hAnsi="Times New Roman" w:cs="Times New Roman"/>
          <w:sz w:val="28"/>
          <w:szCs w:val="28"/>
        </w:rPr>
        <w:t>г) общественный контроль - Общественный совет по инвестированию средств пенсионных накоплений саморегулируемых организаций.</w:t>
      </w:r>
      <w:r w:rsidR="007C5494">
        <w:rPr>
          <w:rStyle w:val="ad"/>
          <w:rFonts w:ascii="Times New Roman" w:eastAsia="Times New Roman" w:hAnsi="Times New Roman"/>
          <w:sz w:val="28"/>
          <w:szCs w:val="28"/>
        </w:rPr>
        <w:footnoteReference w:id="4"/>
      </w:r>
      <w:bookmarkEnd w:id="40"/>
    </w:p>
    <w:p w:rsidR="00497F2E"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41" w:name="_Toc436074562"/>
      <w:r w:rsidRPr="0033400A">
        <w:rPr>
          <w:rFonts w:ascii="Times New Roman" w:eastAsia="Times New Roman" w:hAnsi="Times New Roman" w:cs="Times New Roman"/>
          <w:sz w:val="28"/>
          <w:szCs w:val="28"/>
        </w:rPr>
        <w:t xml:space="preserve">Многие аналитики как на серьезную проблему указывают на наличие сразу нескольких органов, осуществляющих контроль формирования и инвестирования средств пенсионных накоплений, что не оставляет сомнений </w:t>
      </w:r>
      <w:r w:rsidRPr="0033400A">
        <w:rPr>
          <w:rFonts w:ascii="Times New Roman" w:eastAsia="Times New Roman" w:hAnsi="Times New Roman" w:cs="Times New Roman"/>
          <w:sz w:val="28"/>
          <w:szCs w:val="28"/>
        </w:rPr>
        <w:lastRenderedPageBreak/>
        <w:t>в том, что в координировании их деятельности возможны противоречия и несогласованность.</w:t>
      </w:r>
      <w:bookmarkEnd w:id="41"/>
    </w:p>
    <w:p w:rsidR="0033400A" w:rsidRPr="0033400A" w:rsidRDefault="0033400A" w:rsidP="0033400A">
      <w:pPr>
        <w:spacing w:after="0" w:line="360" w:lineRule="auto"/>
        <w:ind w:firstLine="709"/>
        <w:jc w:val="both"/>
        <w:outlineLvl w:val="0"/>
        <w:rPr>
          <w:rFonts w:ascii="Times New Roman" w:eastAsia="Times New Roman" w:hAnsi="Times New Roman" w:cs="Times New Roman"/>
          <w:sz w:val="28"/>
          <w:szCs w:val="28"/>
        </w:rPr>
      </w:pPr>
      <w:bookmarkStart w:id="42" w:name="_Toc436074563"/>
      <w:r w:rsidRPr="0033400A">
        <w:rPr>
          <w:rFonts w:ascii="Times New Roman" w:eastAsia="Times New Roman" w:hAnsi="Times New Roman" w:cs="Times New Roman"/>
          <w:sz w:val="28"/>
          <w:szCs w:val="28"/>
        </w:rPr>
        <w:t>Другим существенным недостатком государственного регулирования деятельности по формированию и инвестированию средств пенсионных накоплений является отсутствие единого регулятора, что послужило причиной того, что перевод накопительной части пенсионных отчислений осуществляется с нарушениями. Исходя из наработанного опыта реализации мер административной реформы, можно предположить, что передача полномочий органов власти по проведению проверок саморегулируемым организациям может иметь неоднозначные последствия.</w:t>
      </w:r>
      <w:bookmarkEnd w:id="6"/>
      <w:bookmarkEnd w:id="42"/>
    </w:p>
    <w:p w:rsidR="0033400A" w:rsidRDefault="0033400A" w:rsidP="00FE2A7E">
      <w:pPr>
        <w:spacing w:after="0" w:line="360" w:lineRule="auto"/>
        <w:ind w:firstLine="709"/>
        <w:jc w:val="both"/>
        <w:rPr>
          <w:rFonts w:ascii="Times New Roman" w:eastAsia="Times New Roman" w:hAnsi="Times New Roman" w:cs="Times New Roman"/>
          <w:b/>
          <w:bCs/>
          <w:sz w:val="28"/>
          <w:szCs w:val="28"/>
        </w:rPr>
      </w:pPr>
    </w:p>
    <w:p w:rsidR="00FE2A7E" w:rsidRPr="00D764E0" w:rsidRDefault="0033400A" w:rsidP="00D764E0">
      <w:pPr>
        <w:pStyle w:val="2"/>
        <w:spacing w:before="0" w:line="360" w:lineRule="auto"/>
        <w:jc w:val="center"/>
        <w:rPr>
          <w:rFonts w:ascii="Times New Roman" w:eastAsia="Times New Roman" w:hAnsi="Times New Roman" w:cs="Times New Roman"/>
          <w:bCs w:val="0"/>
          <w:color w:val="auto"/>
          <w:sz w:val="28"/>
          <w:szCs w:val="28"/>
        </w:rPr>
      </w:pPr>
      <w:bookmarkStart w:id="43" w:name="_Toc436074564"/>
      <w:r w:rsidRPr="00D764E0">
        <w:rPr>
          <w:rFonts w:ascii="Times New Roman" w:eastAsia="Times New Roman" w:hAnsi="Times New Roman" w:cs="Times New Roman"/>
          <w:bCs w:val="0"/>
          <w:color w:val="auto"/>
          <w:sz w:val="28"/>
          <w:szCs w:val="28"/>
        </w:rPr>
        <w:t>1.</w:t>
      </w:r>
      <w:r w:rsidR="00BB5D83" w:rsidRPr="00D764E0">
        <w:rPr>
          <w:rFonts w:ascii="Times New Roman" w:eastAsia="Times New Roman" w:hAnsi="Times New Roman" w:cs="Times New Roman"/>
          <w:color w:val="auto"/>
          <w:sz w:val="28"/>
          <w:szCs w:val="28"/>
        </w:rPr>
        <w:t>3</w:t>
      </w:r>
      <w:r w:rsidR="00FE2A7E" w:rsidRPr="00D764E0">
        <w:rPr>
          <w:rFonts w:ascii="Times New Roman" w:eastAsia="Times New Roman" w:hAnsi="Times New Roman" w:cs="Times New Roman"/>
          <w:bCs w:val="0"/>
          <w:color w:val="auto"/>
          <w:sz w:val="28"/>
          <w:szCs w:val="28"/>
        </w:rPr>
        <w:t>. Сущность н</w:t>
      </w:r>
      <w:r w:rsidR="00FE2A7E" w:rsidRPr="00D764E0">
        <w:rPr>
          <w:rFonts w:ascii="Times New Roman" w:eastAsia="Times New Roman" w:hAnsi="Times New Roman" w:cs="Times New Roman"/>
          <w:color w:val="auto"/>
          <w:sz w:val="28"/>
          <w:szCs w:val="28"/>
        </w:rPr>
        <w:t>егосударственно</w:t>
      </w:r>
      <w:r w:rsidR="00FE2A7E" w:rsidRPr="00D764E0">
        <w:rPr>
          <w:rFonts w:ascii="Times New Roman" w:eastAsia="Times New Roman" w:hAnsi="Times New Roman" w:cs="Times New Roman"/>
          <w:bCs w:val="0"/>
          <w:color w:val="auto"/>
          <w:sz w:val="28"/>
          <w:szCs w:val="28"/>
        </w:rPr>
        <w:t>го</w:t>
      </w:r>
      <w:r w:rsidR="00FE2A7E" w:rsidRPr="00D764E0">
        <w:rPr>
          <w:rFonts w:ascii="Times New Roman" w:eastAsia="Times New Roman" w:hAnsi="Times New Roman" w:cs="Times New Roman"/>
          <w:color w:val="auto"/>
          <w:sz w:val="28"/>
          <w:szCs w:val="28"/>
        </w:rPr>
        <w:t xml:space="preserve"> пенсионно</w:t>
      </w:r>
      <w:r w:rsidR="00FE2A7E" w:rsidRPr="00D764E0">
        <w:rPr>
          <w:rFonts w:ascii="Times New Roman" w:eastAsia="Times New Roman" w:hAnsi="Times New Roman" w:cs="Times New Roman"/>
          <w:bCs w:val="0"/>
          <w:color w:val="auto"/>
          <w:sz w:val="28"/>
          <w:szCs w:val="28"/>
        </w:rPr>
        <w:t>го обеспечения</w:t>
      </w:r>
      <w:bookmarkEnd w:id="43"/>
    </w:p>
    <w:p w:rsidR="00FE2A7E" w:rsidRDefault="00FE2A7E" w:rsidP="00FE2A7E">
      <w:pPr>
        <w:spacing w:after="0" w:line="360" w:lineRule="auto"/>
        <w:ind w:firstLine="709"/>
        <w:jc w:val="both"/>
        <w:rPr>
          <w:rFonts w:ascii="Times New Roman" w:eastAsia="Times New Roman" w:hAnsi="Times New Roman" w:cs="Times New Roman"/>
          <w:sz w:val="28"/>
          <w:szCs w:val="28"/>
        </w:rPr>
      </w:pPr>
    </w:p>
    <w:p w:rsidR="00FE2A7E" w:rsidRPr="00C80F0D"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Негосударственной является пенсия, которая формируется непосредственно самими работниками и их работодателями (или только работниками) за счет накоплений и последующего инвестирования добровольных взносов.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Общие принципы такового вида страхования установлены Федеральным законом от 07.05.98 № 75-ФЗ “О негосударственных пенсионных фондах”. Конкретные условия страхования устанавливаются соответствующими договорами, заключаемыми страховщиком – негосударственным пенсионным фондом (НПФ) и застрахованным лицом.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случае заключения такого договора негосударственная пенсия выплачивается пенсионеру в дополнение к трудовой пенсии и независимо от нее. Размер такой пенсии не зависит от продолжительности производственного стажа и величины заработной платы застрахованного лица, а определяется суммой накопленных пенсионных (страховых) взносов, получаемым инвестиционным доходом и продолжительностью периода выплаты пенсии.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lastRenderedPageBreak/>
        <w:t xml:space="preserve">В качестве застрахованных в системе негосударственного пенсионного страхования могут выступать как физические, так и юридические лица. Если в качестве застрахованного выступает юридическое лицо, то его взносы могут вноситься как по солидарной (обезличенной), так и по персонифицированной (именной) схемам.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Взнос по солидарной схеме проводится организацией без распределения сумм по отдельным работникам (настоящим или бывшим). Допускается выделение части средств, находящихся на солидарном счете, ныне нуждающемуся работнику данной организации (в т. ч. бывшему), при этом остальная сумма остается нераспределенной.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Средства, находящиеся на персонифицированном пенсионном счете застрахованного лица, выплачиваются ему в виде негосударственной пенсии. Они сохраняются за участником при его переходе на другое место работы и могут передаваться по наследству. При некоторых обстоятельствах (например, заболевание, приводящее к инвалидности и досрочному наступлению пенсионных оснований) период пенсионных выплат может наступить до достижения пенсионного возраста. </w:t>
      </w:r>
    </w:p>
    <w:p w:rsidR="00FE2A7E" w:rsidRPr="003A2289"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В случае</w:t>
      </w:r>
      <w:r w:rsidR="007C5494">
        <w:rPr>
          <w:rFonts w:ascii="Times New Roman" w:eastAsia="Times New Roman" w:hAnsi="Times New Roman" w:cs="Times New Roman"/>
          <w:sz w:val="28"/>
          <w:szCs w:val="28"/>
        </w:rPr>
        <w:t>,</w:t>
      </w:r>
      <w:r w:rsidRPr="00C80F0D">
        <w:rPr>
          <w:rFonts w:ascii="Times New Roman" w:eastAsia="Times New Roman" w:hAnsi="Times New Roman" w:cs="Times New Roman"/>
          <w:sz w:val="28"/>
          <w:szCs w:val="28"/>
        </w:rPr>
        <w:t xml:space="preserve"> когда солидарный взнос данной организации распределяется ею по персонифицированным счетам своих работников (в т. ч. и бывших), выделенные из него “именные” части уже становятся налогооблагаемыми.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Солидарная схема по сравнению с персонифицированной для юридического лица (предприятия, учреждения и организации) до последнего времени считалась экономически более выгодной, поскольку ни перечисленные суммы, ни получаемый инвестиционный доход подоходным налогом не облагались. Однако Минфин России письмом от 03.06.04 № 04-04-04/67 предложил взимать единый социальный налог (ЕСН) с платежей добровольного пенсионного страхования независимо от вида этого взноса. При этом Минфин России ссылается на п. 1 ст. 237 Налогового кодекса РФ, согласно которому объектом ЕСН признаются все виды выплат и вознаграждений физическому лицу.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lastRenderedPageBreak/>
        <w:t>По нашему мнению, это предложение не отвечает букве Кодекса. Ведь организация перечисляет страховые взносы безымянно на свой солидарный счет. Поэтому в момент перечисления средств персонифицировать их по конкретным работникам невозможно, а</w:t>
      </w:r>
      <w:r w:rsidR="007C5494">
        <w:rPr>
          <w:rFonts w:ascii="Times New Roman" w:eastAsia="Times New Roman" w:hAnsi="Times New Roman" w:cs="Times New Roman"/>
          <w:sz w:val="28"/>
          <w:szCs w:val="28"/>
        </w:rPr>
        <w:t>,</w:t>
      </w:r>
      <w:r w:rsidRPr="00C80F0D">
        <w:rPr>
          <w:rFonts w:ascii="Times New Roman" w:eastAsia="Times New Roman" w:hAnsi="Times New Roman" w:cs="Times New Roman"/>
          <w:sz w:val="28"/>
          <w:szCs w:val="28"/>
        </w:rPr>
        <w:t xml:space="preserve"> следовательно, нельзя установить налогооблагаемую базу. </w:t>
      </w:r>
    </w:p>
    <w:p w:rsidR="00FE2A7E" w:rsidRPr="00C80F0D"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Это мнение подтверждается судебной практикой. И хотя она на сегодняшний день только формируется, большинство рассмотренных в судах дел по данному вопросу выиграли налогоплательщики. Поэтому решение об уплате или неуплате налога принимает сама организация с учетом возможных последствий.</w:t>
      </w:r>
      <w:r w:rsidRPr="003A2289">
        <w:rPr>
          <w:rFonts w:ascii="Times New Roman" w:eastAsia="Times New Roman" w:hAnsi="Times New Roman" w:cs="Times New Roman"/>
          <w:sz w:val="28"/>
          <w:szCs w:val="28"/>
        </w:rPr>
        <w:t xml:space="preserve">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Организацией работы по формированию и выплате негосударственных пенсий занимаются негосударственные пенсионные фонды. Они призваны привлекать денежные средства населения, аккумулировать их на именных (персонифицированных) счетах участников (вкладчиков), передавать средства для инвестирования управляющим компаниям, распределять полученный отинвестирования доход по именным счетам и выплачивать дополнительные пенсии. Управляющие компании должны обеспечить доходность инвестируемых средств путем размещения их в различные инструменты (акции, облигации, векселя). </w:t>
      </w:r>
    </w:p>
    <w:p w:rsidR="00FE2A7E" w:rsidRPr="007C5494"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bCs/>
          <w:iCs/>
          <w:sz w:val="28"/>
          <w:szCs w:val="28"/>
        </w:rPr>
        <w:t>Есть ли необходимость в НПФ, если деньги, откладываемые на пенсию, физическое лицо может хранить в коммерческих банках, получая банковские доходы?</w:t>
      </w:r>
      <w:r w:rsidRPr="00C80F0D">
        <w:rPr>
          <w:rFonts w:ascii="Times New Roman" w:eastAsia="Times New Roman" w:hAnsi="Times New Roman" w:cs="Times New Roman"/>
          <w:sz w:val="28"/>
          <w:szCs w:val="28"/>
        </w:rPr>
        <w:t xml:space="preserve">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Преимущество негосударственных пенсионных фондов, на наш взгляд, заключается в их устойчивости, обусловленной долгосрочным характером обязательств перед участниками НПФ, возможностями компенсировать колебания финансовых рынков, а также существующей системой государственного контроля. Каждый участник имеет возможность наблюдать за движением находящихся на его именном счете собственных накоплений в течение всего процесса инвестирования. Кроме того, работа НПФ ежегодно в обязательном порядке проверяется независимой аудиторской фирмой. Также </w:t>
      </w:r>
      <w:r w:rsidRPr="00C80F0D">
        <w:rPr>
          <w:rFonts w:ascii="Times New Roman" w:eastAsia="Times New Roman" w:hAnsi="Times New Roman" w:cs="Times New Roman"/>
          <w:sz w:val="28"/>
          <w:szCs w:val="28"/>
        </w:rPr>
        <w:lastRenderedPageBreak/>
        <w:t xml:space="preserve">ежегодно проводится обязательное актуарное оценивание деятельности фонда, позволяющее получить исчерпывающую информацию о его устойчивости и возможности выполнения им пенсионных обязательств перед участниками и вкладчиками. Такого контроля нет ни у страховых, ни у других компаний, принимающих участие в негосударственном пенсионном обеспечении. </w:t>
      </w:r>
      <w:r w:rsidR="007C5494">
        <w:rPr>
          <w:rStyle w:val="ad"/>
          <w:rFonts w:ascii="Times New Roman" w:eastAsia="Times New Roman" w:hAnsi="Times New Roman"/>
          <w:sz w:val="28"/>
          <w:szCs w:val="28"/>
        </w:rPr>
        <w:footnoteReference w:id="5"/>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Следует также учитывать, что в НПФ не взимается 13-процентный налог на доход физических лиц при получении ими негосударственных пенсий, а находящиеся на персонифицированных счетах пенсионные накопления не подлежат конфискации. И наконец, негосударственные пенсионные фонды в отличие от коммерческих банков менее подвержены риску банкротства, что доказывается всей практикой финансовой жизни России за последние десятилетия. Негосударственные пенсионные фонды бывают двух типов: открытого (таких большинство) и закрытого.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К НПФ закрытого типа относятся отраслевые фонды работников железнодорожного транспорта, текстильной промышленности, нефтяной и газовой промышленности и т. п. </w:t>
      </w:r>
    </w:p>
    <w:p w:rsidR="00FE2A7E" w:rsidRDefault="00FE2A7E" w:rsidP="00FE2A7E">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Примером фонда открытого типа может служить Объединенный профсоюзный негосударственный пенсионный фонд (НПФ “Объединенный профсоюзный”). Он был создан в 1994 г. под эгидой Федерации независимых профсоюзов России, Московской федерации профсоюзов, Московского областного объединения организаций профсоюзов, Всеобщей конфедерации профсоюзов и ряда других профсоюзных объединений для организации негосударственного пенсионного обеспечения и защиты пенсионных прав членов профсоюзов. И хотя за последнее время зона обслуживаемого им контингента значительно расширилась, профсоюзные организации (юридические лица) и члены профсоюзов (физические лица) по-прежнему пользуются приоритетом в его деятельности. </w:t>
      </w:r>
    </w:p>
    <w:p w:rsidR="00D764E0" w:rsidRDefault="00D764E0" w:rsidP="00D764E0">
      <w:pPr>
        <w:pStyle w:val="1"/>
        <w:spacing w:before="0" w:beforeAutospacing="0" w:after="0" w:afterAutospacing="0" w:line="360" w:lineRule="auto"/>
        <w:jc w:val="center"/>
        <w:rPr>
          <w:iCs/>
          <w:sz w:val="28"/>
          <w:szCs w:val="28"/>
        </w:rPr>
      </w:pPr>
      <w:bookmarkStart w:id="44" w:name="_Toc436074565"/>
      <w:r>
        <w:rPr>
          <w:iCs/>
          <w:sz w:val="28"/>
          <w:szCs w:val="28"/>
        </w:rPr>
        <w:lastRenderedPageBreak/>
        <w:t>2. ОСОБЕННОСТИ НЕГОСУДАРСТВЕННЫХ ПЕНСИОННЫХ ФОНДОВ РФ</w:t>
      </w:r>
      <w:bookmarkEnd w:id="44"/>
    </w:p>
    <w:p w:rsidR="00D764E0" w:rsidRDefault="00D764E0" w:rsidP="006F43E9">
      <w:pPr>
        <w:pStyle w:val="2"/>
        <w:spacing w:before="0" w:line="360" w:lineRule="auto"/>
        <w:jc w:val="center"/>
        <w:rPr>
          <w:rFonts w:ascii="Times New Roman" w:eastAsia="Times New Roman" w:hAnsi="Times New Roman" w:cs="Times New Roman"/>
          <w:iCs/>
          <w:color w:val="auto"/>
          <w:sz w:val="28"/>
          <w:szCs w:val="28"/>
        </w:rPr>
      </w:pPr>
    </w:p>
    <w:p w:rsidR="003A2289" w:rsidRPr="006F43E9" w:rsidRDefault="003A2289" w:rsidP="006F43E9">
      <w:pPr>
        <w:pStyle w:val="2"/>
        <w:spacing w:before="0" w:line="360" w:lineRule="auto"/>
        <w:jc w:val="center"/>
        <w:rPr>
          <w:rFonts w:ascii="Times New Roman" w:eastAsia="Times New Roman" w:hAnsi="Times New Roman" w:cs="Times New Roman"/>
          <w:iCs/>
          <w:color w:val="auto"/>
          <w:sz w:val="28"/>
          <w:szCs w:val="28"/>
        </w:rPr>
      </w:pPr>
      <w:bookmarkStart w:id="45" w:name="_Toc436074566"/>
      <w:r w:rsidRPr="006F43E9">
        <w:rPr>
          <w:rFonts w:ascii="Times New Roman" w:eastAsia="Times New Roman" w:hAnsi="Times New Roman" w:cs="Times New Roman"/>
          <w:iCs/>
          <w:color w:val="auto"/>
          <w:sz w:val="28"/>
          <w:szCs w:val="28"/>
        </w:rPr>
        <w:t>2.</w:t>
      </w:r>
      <w:r w:rsidR="00BB5D83">
        <w:rPr>
          <w:rFonts w:ascii="Times New Roman" w:eastAsia="Times New Roman" w:hAnsi="Times New Roman" w:cs="Times New Roman"/>
          <w:iCs/>
          <w:color w:val="auto"/>
          <w:sz w:val="28"/>
          <w:szCs w:val="28"/>
        </w:rPr>
        <w:t>1</w:t>
      </w:r>
      <w:r w:rsidRPr="006F43E9">
        <w:rPr>
          <w:rFonts w:ascii="Times New Roman" w:eastAsia="Times New Roman" w:hAnsi="Times New Roman" w:cs="Times New Roman"/>
          <w:iCs/>
          <w:color w:val="auto"/>
          <w:sz w:val="28"/>
          <w:szCs w:val="28"/>
        </w:rPr>
        <w:t>.</w:t>
      </w:r>
      <w:r w:rsidR="008C799B" w:rsidRPr="006F43E9">
        <w:rPr>
          <w:rFonts w:ascii="Times New Roman" w:eastAsia="Times New Roman" w:hAnsi="Times New Roman" w:cs="Times New Roman"/>
          <w:iCs/>
          <w:color w:val="auto"/>
          <w:sz w:val="28"/>
          <w:szCs w:val="28"/>
        </w:rPr>
        <w:t xml:space="preserve"> Роль негосударственного пенсионного обеспечения в пенсионной</w:t>
      </w:r>
      <w:r w:rsidR="008C799B">
        <w:rPr>
          <w:rFonts w:ascii="Times New Roman" w:eastAsia="Times New Roman" w:hAnsi="Times New Roman" w:cs="Times New Roman"/>
          <w:iCs/>
          <w:sz w:val="28"/>
          <w:szCs w:val="28"/>
        </w:rPr>
        <w:t xml:space="preserve"> </w:t>
      </w:r>
      <w:r w:rsidR="008C799B" w:rsidRPr="006F43E9">
        <w:rPr>
          <w:rFonts w:ascii="Times New Roman" w:eastAsia="Times New Roman" w:hAnsi="Times New Roman" w:cs="Times New Roman"/>
          <w:iCs/>
          <w:color w:val="auto"/>
          <w:sz w:val="28"/>
          <w:szCs w:val="28"/>
        </w:rPr>
        <w:t>системе РФ</w:t>
      </w:r>
      <w:bookmarkEnd w:id="45"/>
    </w:p>
    <w:p w:rsidR="003A2289" w:rsidRDefault="003A2289" w:rsidP="003A2289">
      <w:pPr>
        <w:spacing w:after="0" w:line="360" w:lineRule="auto"/>
        <w:ind w:firstLine="709"/>
        <w:jc w:val="both"/>
        <w:rPr>
          <w:rFonts w:ascii="Times New Roman" w:eastAsia="Times New Roman" w:hAnsi="Times New Roman" w:cs="Times New Roman"/>
          <w:iCs/>
          <w:sz w:val="28"/>
          <w:szCs w:val="28"/>
        </w:rPr>
      </w:pPr>
    </w:p>
    <w:p w:rsidR="00C80F0D" w:rsidRP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iCs/>
          <w:sz w:val="28"/>
          <w:szCs w:val="28"/>
        </w:rPr>
        <w:t xml:space="preserve">Сформированная в 2001 г. концепция реформы отечественной системы пенсионного обеспечения, в основе которой было придание трудовым пенсиям накопительного и страхового характера, как тогда представлялось, была прогрессивной и отвечала требованиям экономического развития государства. Однако прошедшие годы подтвердили правоту тех, кто предостерегал от поспешности воплощения еще одной не продуманной до конца и не имевшей действенного механизма реализации модели. </w:t>
      </w:r>
      <w:r w:rsidR="007C5494">
        <w:rPr>
          <w:rStyle w:val="ad"/>
          <w:rFonts w:ascii="Times New Roman" w:eastAsia="Times New Roman" w:hAnsi="Times New Roman"/>
          <w:iCs/>
          <w:sz w:val="28"/>
          <w:szCs w:val="28"/>
        </w:rPr>
        <w:footnoteReference w:id="6"/>
      </w:r>
    </w:p>
    <w:p w:rsidR="003A2289" w:rsidRDefault="00C80F0D" w:rsidP="003A2289">
      <w:pPr>
        <w:spacing w:after="0" w:line="360" w:lineRule="auto"/>
        <w:ind w:firstLine="709"/>
        <w:jc w:val="both"/>
        <w:rPr>
          <w:rFonts w:ascii="Times New Roman" w:eastAsia="Times New Roman" w:hAnsi="Times New Roman" w:cs="Times New Roman"/>
          <w:iCs/>
          <w:sz w:val="28"/>
          <w:szCs w:val="28"/>
        </w:rPr>
      </w:pPr>
      <w:r w:rsidRPr="00C80F0D">
        <w:rPr>
          <w:rFonts w:ascii="Times New Roman" w:eastAsia="Times New Roman" w:hAnsi="Times New Roman" w:cs="Times New Roman"/>
          <w:iCs/>
          <w:sz w:val="28"/>
          <w:szCs w:val="28"/>
        </w:rPr>
        <w:t xml:space="preserve">Необходимость корректировки реформы пенсионной системы очевидна. Федеральным законом от 20.07.04 № 70-ФЗ «О внесении изменений в главу 24 части второй Налогового кодекса Российской Федерации, Федеральный закон “Об обязательном пенсионном страховании в Российской Федерации” и признании утратившими силу некоторых положений законодательных актов Российской Федерации» внесен ряд изменений в налоговую и пенсионную системы, смысл которых фактически свелся к двум основным моментам: государство отсекло от формирования накопительной части трудовой пенсии граждан старше 37 лет и практически полностью переложило пенсионное обеспечение населения на плечи работодателей и самих застрахованных лиц. </w:t>
      </w:r>
    </w:p>
    <w:p w:rsidR="003A2289"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iCs/>
          <w:sz w:val="28"/>
          <w:szCs w:val="28"/>
        </w:rPr>
        <w:t xml:space="preserve">Высказываются мнения, что в таких условиях наиболее реальным путем улучшения пенсионного обеспечения граждан является развитие системы негосударственного пенсионного обеспечения, позволяющее </w:t>
      </w:r>
      <w:r w:rsidRPr="00C80F0D">
        <w:rPr>
          <w:rFonts w:ascii="Times New Roman" w:eastAsia="Times New Roman" w:hAnsi="Times New Roman" w:cs="Times New Roman"/>
          <w:iCs/>
          <w:sz w:val="28"/>
          <w:szCs w:val="28"/>
        </w:rPr>
        <w:lastRenderedPageBreak/>
        <w:t>выплачивать застрахованным лицам негосударственную (дополнительную) пенсию.</w:t>
      </w:r>
      <w:r w:rsidRPr="00C80F0D">
        <w:rPr>
          <w:rFonts w:ascii="Times New Roman" w:eastAsia="Times New Roman" w:hAnsi="Times New Roman" w:cs="Times New Roman"/>
          <w:sz w:val="28"/>
          <w:szCs w:val="28"/>
        </w:rPr>
        <w:t xml:space="preserve">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История негосударственных пенсионных фондов (НПФ) насчитывает более 12 лет. Первые НПФ появились после выхода Указа Президента РФ от 16.09.92 № 1077 “О негосударственных пенсионных фондах”. Организовывались они с целью создания специального механизма, который дополнял бы государственное пенсионное обеспечение и позволял людям самостоятельно определять размер будущей пенсии.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Вначале трудно было ожидать, что этот новый социальный институт приживется на отечественной почве – слишком сильна была у граждан, да и у руководителей предприятий, привычка все заботы о пенсионном обеспечении возлагать на государство. Однако со временем практика работы негосударственных пенсионных фондов показала, что они стали неотъемлемой частью пенсионной системы страны.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настоящее время численность участников (вкладчиков) НПФ достигла 5,64 млн человек, из них 467,3 тыс. уже получают негосударственные пенсии. Фондами накоплены значительные пенсионные резервы (средства, за счет которых выплачиваются дополнительные пенсии) – 110,8 млрд руб.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Таким образом, НПФ представляет собой достаточно эффективную организацию, устойчивость которой обусловлена, в частности, наличием эффективного государственного контроля.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С момента создания системы негосударственных пенсионных фондов лицензирование, надзор и контроль за их деятельностью осуществляла Инспекция НПФ при Минтруде России. В соответствии с постановлением Правительства РФ от 30.06.04 № 317 “Об утверждении Положения о Федеральной службе по финансовым рынкам” эти функции возложены на новый федеральный орган – Федеральную службу по финансовым рынкам.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связи с ее созданием произошли существенные изменения в плане организации контроля и надзора за деятельностью НПФ. В структуре </w:t>
      </w:r>
      <w:r w:rsidRPr="00C80F0D">
        <w:rPr>
          <w:rFonts w:ascii="Times New Roman" w:eastAsia="Times New Roman" w:hAnsi="Times New Roman" w:cs="Times New Roman"/>
          <w:sz w:val="28"/>
          <w:szCs w:val="28"/>
        </w:rPr>
        <w:lastRenderedPageBreak/>
        <w:t>Службы было создано Управление регулирования и контроля над коллективными инвестициями, состоящее из двух отделов:</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контроля за инвестированием средств пенсионных накоплений и за деятельностью негосударственных пенсионных фондов;</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 лицензирования негосударственных пенсионных фондов.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Наряду с лицензированием фондов Управление разрабатывает проекты нормативно-правовых актов в области негосударственного пенсионного обеспечения, регистрирует Правила НПФ, принимает стандарты раскрытия информации и форм отчетности. Кроме того, Управление проводит проверки фондов и их саморегулируемых организаций, согласовывает вопросы образования, реорганизации и ликвидации НПФ и состав ликвидационных комиссий, а также осуществляет ряд других функций. </w:t>
      </w:r>
      <w:r w:rsidR="007C5494">
        <w:rPr>
          <w:rStyle w:val="ad"/>
          <w:rFonts w:ascii="Times New Roman" w:eastAsia="Times New Roman" w:hAnsi="Times New Roman"/>
          <w:sz w:val="28"/>
          <w:szCs w:val="28"/>
        </w:rPr>
        <w:footnoteReference w:id="7"/>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круг новых задач Управления входит: анализ статистической отчетности фондов, рассмотрение поступивших жалоб и предложений, контроль (мониторинг) с использованием различных форм. На основании обобщения данных, имеющихся и полученных в ходе проверки и мониторинга, соответствующему пенсионному фонду в случае необходимости выдается предписание об устранении выявленных нарушений.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отличие от практики работы бывшей Инспекции НПФ проверки деятельности фондов осуществляются работниками Управления в составе комплексных групп, формируемых с помощью других структурных подразделений Федеральной службы по финансовым рынкам (ФСФР).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Значительное место в работе Управления занимает разработка проектов документов, регламентирующих деятельность НПФ. К настоящему времени практически завершено формирование их нормативно-правовой базы. Ожидается, что в ближайшие месяцы будут утверждены Правила размещения средств пенсионных резервов. На завершающей стадии </w:t>
      </w:r>
      <w:r w:rsidRPr="00C80F0D">
        <w:rPr>
          <w:rFonts w:ascii="Times New Roman" w:eastAsia="Times New Roman" w:hAnsi="Times New Roman" w:cs="Times New Roman"/>
          <w:sz w:val="28"/>
          <w:szCs w:val="28"/>
        </w:rPr>
        <w:lastRenderedPageBreak/>
        <w:t xml:space="preserve">находятся проекты типовых договоров по доверенному управлению средствами между НПФ и управляющими компаниями, а также между НПФ и паевыми инвестиционными фондами.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Основополагающим документом, которым регламентируется деятельность негосударственных пенсионных фондов, является Федеральный закон от 07.05.98 № 75-ФЗ “О негосударственных пенсионных фондах”. Кроме того, НПФ в своей работе руководствуются положениями действующего законодательства РФ в области пенсионного обеспечения и пенсионного страхования (Федеральные законы от 15.12.01 № 166-ФЗ “О государственном пенсионном обеспечении в Российской Федерации”, от 15.12.01 № 167-ФЗ “Об обязательном пенсионном страховании в Российской Федерации” и от 17.12.01 № 173-ФЗ “О трудовых пенсиях в Российской Федерации” и др.).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соответствии с законодательными актами негосударственный пенсионный фонд, заявивший о своем намерении работать в сфере пенсионного обеспечения, должен отвечать ряду требований.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В частности, НПФ обязан иметь:</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опыт работы в данной области не менее 2 лет;</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величину денежной оценки имущества для обеспечения уставной деятельности фонда с 1 января 2005 г. не менее 30 млн руб. (а с 1 января 2009 г. – не менее 50 млн руб.);</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совокупный вклад учредителей с 1 января 2005 г. не менее 30 млн руб.</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Кроме того, фонд должен в течение одного года одновременно вести не менее 5 тыс. именных пенсионных счетов участников (с 1 июля 2009 г. – не менее 20 тыс. таких счетов) и в течение двух последних лет фонд не должен иметь актуарного дефицита и приостановления деятельности лицензии.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Насколько серьезны эти требования, свидетельствуют следующие данные: из общего числа зарегистрированных НПФ (около 400) только 216 имеют опыт работы по пенсионному обеспечению в течение 2 лет при </w:t>
      </w:r>
      <w:r w:rsidRPr="00C80F0D">
        <w:rPr>
          <w:rFonts w:ascii="Times New Roman" w:eastAsia="Times New Roman" w:hAnsi="Times New Roman" w:cs="Times New Roman"/>
          <w:sz w:val="28"/>
          <w:szCs w:val="28"/>
        </w:rPr>
        <w:lastRenderedPageBreak/>
        <w:t xml:space="preserve">отсутствии фактов приостановления действия лицензии; необходимым совокупным вкладом располагают 108 фондов, вели одновременно более 5 тыс. именных счетов 44 фонда.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Помимо того, что были ужесточены требования, предъявляемые к НПФ, Федеральным законом № 75-ФЗ им разрешено с 1 января 2004 г. принимать участие в обязательном пенсионном страховании в качестве страховщика. Лицензия на право работы в этой сфере также выдается ФСФР. За последнее время таким правом наделены негосударственные пенсионные фонды: “Благоденствие”, “Пенсионная касса”, “Кооперация”, “Русь”, “Связьстрой-1” и Национальный негосударственный фонд пенсионного и социального обеспечения металлургов. Бессрочные лицензии на право занятия указанной деятельностью выданы НПФ “ВКА-Фонд”, НПФ “Волгоград-АСКОФонд”, Северо-Западному НПФ и др.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Позитивная тенденция развития системы негосударственного пенсионного обеспечения подтверждается динамикой ее основных показателей. Так, сумма пенсионных резервов НПФ за июль–сентябрь 20</w:t>
      </w:r>
      <w:r>
        <w:rPr>
          <w:rFonts w:ascii="Times New Roman" w:eastAsia="Times New Roman" w:hAnsi="Times New Roman" w:cs="Times New Roman"/>
          <w:sz w:val="28"/>
          <w:szCs w:val="28"/>
        </w:rPr>
        <w:t>1</w:t>
      </w:r>
      <w:r w:rsidRPr="00C80F0D">
        <w:rPr>
          <w:rFonts w:ascii="Times New Roman" w:eastAsia="Times New Roman" w:hAnsi="Times New Roman" w:cs="Times New Roman"/>
          <w:sz w:val="28"/>
          <w:szCs w:val="28"/>
        </w:rPr>
        <w:t>4 г. увеличилась с 99,1 млрд руб. до 114,3 млрд руб. (рост на 15,3%), а стоимость собственного имущества – со 135,2 млрд руб. до 153,5 млрд руб. (на 13,5%).</w:t>
      </w:r>
      <w:r w:rsidR="003167BD">
        <w:rPr>
          <w:rStyle w:val="ad"/>
          <w:rFonts w:ascii="Times New Roman" w:eastAsia="Times New Roman" w:hAnsi="Times New Roman"/>
          <w:sz w:val="28"/>
          <w:szCs w:val="28"/>
        </w:rPr>
        <w:footnoteReference w:id="8"/>
      </w:r>
      <w:r w:rsidRPr="00C80F0D">
        <w:rPr>
          <w:rFonts w:ascii="Times New Roman" w:eastAsia="Times New Roman" w:hAnsi="Times New Roman" w:cs="Times New Roman"/>
          <w:sz w:val="28"/>
          <w:szCs w:val="28"/>
        </w:rPr>
        <w:t xml:space="preserve">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Введение накопительного пенсионного страхования и предоставление фондам права принимать участие в этой работе способствуют количественному и качественному расширению рынка пенсионных услуг. Высокие темпы роста основных показателей деятельности НПФ во многом обусловлены тем, что все большее число работодателей и граждан осознает необходимость вкладывать личные средства для получения дополнительных (негосударственных) пенсий.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Вместе с тем сложившаяся сеть НПФ не однородна. Исходя из условий региональной и отраслевой специфики, наличия финансовых и организационных возможностей около 20 фондов в последнее время </w:t>
      </w:r>
      <w:r w:rsidRPr="00C80F0D">
        <w:rPr>
          <w:rFonts w:ascii="Times New Roman" w:eastAsia="Times New Roman" w:hAnsi="Times New Roman" w:cs="Times New Roman"/>
          <w:sz w:val="28"/>
          <w:szCs w:val="28"/>
        </w:rPr>
        <w:lastRenderedPageBreak/>
        <w:t xml:space="preserve">практически прекратили свою деятельность. Еще примерно 80 НПФ пребывают в состоянии “неустойчивого равновесия”, т. е. при определенных обстоятельствах они смогут осуществлять полноценную работу в области негосударственного пенсионного обеспечения.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Остальные фонды в той или иной степени активно участвуют на современном рынке пенсионных услуг.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К числу последних можно отнести НПФ “Объединенный профсоюзный”. По основным параметрам деятельности (стоимость имущества, объем пенсионных резервов, численность участников и вкладчиков и др.) он прочно удерживает место в первой сотне наиболее благополучных и надежных негосударственных пенсионных фондов. Вся его деятельность на протяжении 10 с лишним лет полностью отвечает требованиям действующего законодательства в области негосударственного пенсионного обеспечения. Заслуживает внимания разработанная НПФ “Объединенный профсоюзный” универсальная Программа создания системы негосударственного пенсионного обеспечения работников органов и организаций всех уровней, в т. ч. профсоюзных. </w:t>
      </w:r>
    </w:p>
    <w:p w:rsidR="003A2289" w:rsidRP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Таким образом, руководителям организаций, кадровых служб следует выработать социальную политику и сделать выбор в пользу той или иной схемы негосударственного пенсионного обеспечения своих работников, того или иного негосударственного пенсионного фонда, а также грамотно построить с ним отношения на основе заключенных договоров.</w:t>
      </w:r>
    </w:p>
    <w:p w:rsidR="003A2289" w:rsidRPr="003A2289" w:rsidRDefault="003A2289" w:rsidP="003A2289">
      <w:pPr>
        <w:spacing w:after="0" w:line="360" w:lineRule="auto"/>
        <w:ind w:firstLine="709"/>
        <w:jc w:val="both"/>
        <w:rPr>
          <w:rFonts w:ascii="Times New Roman" w:eastAsia="Times New Roman" w:hAnsi="Times New Roman" w:cs="Times New Roman"/>
          <w:b/>
          <w:bCs/>
          <w:sz w:val="28"/>
          <w:szCs w:val="28"/>
        </w:rPr>
      </w:pPr>
    </w:p>
    <w:p w:rsidR="003A2289" w:rsidRPr="006F43E9" w:rsidRDefault="003A2289" w:rsidP="006F43E9">
      <w:pPr>
        <w:pStyle w:val="2"/>
        <w:spacing w:before="0" w:line="360" w:lineRule="auto"/>
        <w:jc w:val="center"/>
        <w:rPr>
          <w:rFonts w:ascii="Times New Roman" w:eastAsia="Times New Roman" w:hAnsi="Times New Roman" w:cs="Times New Roman"/>
          <w:bCs w:val="0"/>
          <w:color w:val="auto"/>
          <w:sz w:val="28"/>
          <w:szCs w:val="28"/>
        </w:rPr>
      </w:pPr>
      <w:bookmarkStart w:id="46" w:name="_Toc436074567"/>
      <w:r w:rsidRPr="006F43E9">
        <w:rPr>
          <w:rFonts w:ascii="Times New Roman" w:eastAsia="Times New Roman" w:hAnsi="Times New Roman" w:cs="Times New Roman"/>
          <w:bCs w:val="0"/>
          <w:color w:val="auto"/>
          <w:sz w:val="28"/>
          <w:szCs w:val="28"/>
        </w:rPr>
        <w:t>2.</w:t>
      </w:r>
      <w:r w:rsidR="00BB5D83">
        <w:rPr>
          <w:rFonts w:ascii="Times New Roman" w:eastAsia="Times New Roman" w:hAnsi="Times New Roman" w:cs="Times New Roman"/>
          <w:bCs w:val="0"/>
          <w:color w:val="auto"/>
          <w:sz w:val="28"/>
          <w:szCs w:val="28"/>
        </w:rPr>
        <w:t>2</w:t>
      </w:r>
      <w:r w:rsidRPr="006F43E9">
        <w:rPr>
          <w:rFonts w:ascii="Times New Roman" w:eastAsia="Times New Roman" w:hAnsi="Times New Roman" w:cs="Times New Roman"/>
          <w:bCs w:val="0"/>
          <w:color w:val="auto"/>
          <w:sz w:val="28"/>
          <w:szCs w:val="28"/>
        </w:rPr>
        <w:t>.</w:t>
      </w:r>
      <w:r w:rsidR="008C799B" w:rsidRPr="006F43E9">
        <w:rPr>
          <w:rFonts w:ascii="Times New Roman" w:eastAsia="Times New Roman" w:hAnsi="Times New Roman" w:cs="Times New Roman"/>
          <w:bCs w:val="0"/>
          <w:color w:val="auto"/>
          <w:sz w:val="28"/>
          <w:szCs w:val="28"/>
        </w:rPr>
        <w:t xml:space="preserve"> Особенности и </w:t>
      </w:r>
      <w:r w:rsidR="006F43E9" w:rsidRPr="006F43E9">
        <w:rPr>
          <w:rFonts w:ascii="Times New Roman" w:eastAsia="Times New Roman" w:hAnsi="Times New Roman" w:cs="Times New Roman"/>
          <w:bCs w:val="0"/>
          <w:color w:val="auto"/>
          <w:sz w:val="28"/>
          <w:szCs w:val="28"/>
        </w:rPr>
        <w:t>тенденции</w:t>
      </w:r>
      <w:r w:rsidR="008C799B" w:rsidRPr="006F43E9">
        <w:rPr>
          <w:rFonts w:ascii="Times New Roman" w:eastAsia="Times New Roman" w:hAnsi="Times New Roman" w:cs="Times New Roman"/>
          <w:bCs w:val="0"/>
          <w:color w:val="auto"/>
          <w:sz w:val="28"/>
          <w:szCs w:val="28"/>
        </w:rPr>
        <w:t xml:space="preserve"> развития негосударственных пенсионных</w:t>
      </w:r>
      <w:r w:rsidR="008C799B">
        <w:rPr>
          <w:rFonts w:ascii="Times New Roman" w:eastAsia="Times New Roman" w:hAnsi="Times New Roman" w:cs="Times New Roman"/>
          <w:b w:val="0"/>
          <w:bCs w:val="0"/>
          <w:sz w:val="28"/>
          <w:szCs w:val="28"/>
        </w:rPr>
        <w:t xml:space="preserve"> </w:t>
      </w:r>
      <w:r w:rsidR="008C799B" w:rsidRPr="006F43E9">
        <w:rPr>
          <w:rFonts w:ascii="Times New Roman" w:eastAsia="Times New Roman" w:hAnsi="Times New Roman" w:cs="Times New Roman"/>
          <w:bCs w:val="0"/>
          <w:color w:val="auto"/>
          <w:sz w:val="28"/>
          <w:szCs w:val="28"/>
        </w:rPr>
        <w:t>фондов</w:t>
      </w:r>
      <w:bookmarkEnd w:id="46"/>
    </w:p>
    <w:p w:rsidR="003A2289" w:rsidRDefault="003A2289" w:rsidP="003A2289">
      <w:pPr>
        <w:spacing w:after="0" w:line="360" w:lineRule="auto"/>
        <w:ind w:firstLine="709"/>
        <w:jc w:val="both"/>
        <w:rPr>
          <w:rFonts w:ascii="Times New Roman" w:eastAsia="Times New Roman" w:hAnsi="Times New Roman" w:cs="Times New Roman"/>
          <w:sz w:val="28"/>
          <w:szCs w:val="28"/>
        </w:rPr>
      </w:pP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Оценивая роль и значение в обществе негосударственных пенсионных фондов, прежде всего, надо учитывать опыт других стран, которые живут в условиях рыночной экономики достаточно давно. Этот опыт – лучший аргумент. Он убеждает, что уровень пенсионного обеспечения все </w:t>
      </w:r>
      <w:r w:rsidRPr="00C80F0D">
        <w:rPr>
          <w:rFonts w:ascii="Times New Roman" w:eastAsia="Times New Roman" w:hAnsi="Times New Roman" w:cs="Times New Roman"/>
          <w:sz w:val="28"/>
          <w:szCs w:val="28"/>
        </w:rPr>
        <w:lastRenderedPageBreak/>
        <w:t xml:space="preserve">работающие могут существенно повысить, непосредственно пользуясь не только гарантированной государством системой пенсионного обеспечения, но и системами нестрахового пенсионного обеспечения.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Преимущество рыночной экономики в том, что на рынке потребителю предлагают очень много всяких услуг. И одной из таких услуг является услуга по пенсионному страхованию. Конечно, если пользоваться услугами негосударственного пенсионного страхования в условиях, когда нормально функционирует экономика, когда существует определенная стабильность финансового положения соответствующих банков, то ответ на вопрос: пользоваться или не пользоваться системами негосударственного пенсионного страхования, должен быть только положительным. Здесь у каждого появляется возможность самостоятельно определить, какие средства и сколько средств можно доверить таким негосударственным пенсионным фондам. И в соответствии с этим – на какой дополнительный уровень пенсионного обеспечения впоследствии можно рассчитывать.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Это как бы общая оценка роли и значения негосударственного пенсионного обеспечения.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Что касается особенностей настоящего периода, то в данном случае можно говорить, что в стране определенный опыт деятельности таких негосударственных пенсионных фондов уже накоплен.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Во-первых, эта система существует, она поддерживается государством, она рассматривается государством как существенное дополнение к обязательной пенсионной страховой системе. Во-вторых, на рынке страховых услуг в соответствии с предложениями данных услуг появилось достаточно соответствующих негосударственных пенсионных фондов.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Приведенные цифры о том, что в общей сложности в стране действует на сегодня свыше четырехсот таких негосударственных пенсионных фондов, убеждают, что, очевидно, эта система прочно укореняется в жизни общества и в нашей экономике. Но, с другой стороны, здесь есть аргументы, которые вызывают тревогу. И к этим аргументам из названной статьи можно отнести </w:t>
      </w:r>
      <w:r w:rsidRPr="00C80F0D">
        <w:rPr>
          <w:rFonts w:ascii="Times New Roman" w:eastAsia="Times New Roman" w:hAnsi="Times New Roman" w:cs="Times New Roman"/>
          <w:sz w:val="28"/>
          <w:szCs w:val="28"/>
        </w:rPr>
        <w:lastRenderedPageBreak/>
        <w:t xml:space="preserve">следующие цифры. Из 400 негосударственных пенсионных фондов только 216 имеют опыт работы по пенсионному обеспечению в течение двух лет. И их лицензия не приостанавливалась. А определенным требованиям, которым должны отвечать негосударственные пенсионные фонды, по представленным данным отвечают всего 44 фонда. Следовательно, выбор в данном случае со стороны граждан по размещению своих средств в таких негосударственных пенсионных фондах становится довольно рискованным. Чтобы избежать этого риска, наверное, нужно проводить широкую разъяснительную работу, в частности, связанную с тем, что каждый должен принимать такое решение не “с закрытыми глазами”. Гражданин точно должен убедиться в надежности соответствующего негосударственного пенсионного фонда, которому доверяет свои средства. Использование негосударственного пенсионного страхования базируется на принципе добровольности, поэтому в данном случае в отличие от обязательной системы пенсионного страхования, которая введена Федеральным законом от 15.12.01 № 167-ФЗ “Об обязательном пенсионном страховании в Российской Федерации”, здесь есть возможность выбора. </w:t>
      </w:r>
      <w:r w:rsidR="003167BD">
        <w:rPr>
          <w:rStyle w:val="ad"/>
          <w:rFonts w:ascii="Times New Roman" w:eastAsia="Times New Roman" w:hAnsi="Times New Roman"/>
          <w:sz w:val="28"/>
          <w:szCs w:val="28"/>
        </w:rPr>
        <w:footnoteReference w:id="9"/>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связи с этим возникает еще одна проблема, которая сегодня очень многих волнует и интересует. Она заключается в том, что данный закон и последующие акты, принятые в его развитие, по существу как бы предлагают каждому те средства, которые аккумулируются в специальном разделе лицевого счета застрахованного, передать из Пенсионного фонда в частную управляющую компанию. Они называются накопительными средствами, пенсионными накоплениями, их можно разместить не только в Пенсионном фонде (ПФ) РФ, но и в негосударственных пенсионных фондах. И управлять этими средствами будут так называемые ЧУКи – частные управляющие компании. И многие, очевидно, получили, как их в народе называли, “письма счастья”, – соответствующие сообщения от территориальных отделений ПФ </w:t>
      </w:r>
      <w:r w:rsidRPr="00C80F0D">
        <w:rPr>
          <w:rFonts w:ascii="Times New Roman" w:eastAsia="Times New Roman" w:hAnsi="Times New Roman" w:cs="Times New Roman"/>
          <w:sz w:val="28"/>
          <w:szCs w:val="28"/>
        </w:rPr>
        <w:lastRenderedPageBreak/>
        <w:t xml:space="preserve">о том, какие средства, какая сумма пенсионных средств есть у каждого на лицевом счете, и предложение о том, что можно пенсионное накопление размещать непосредственно в негосударственных пенсионных фондах.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Очень многие задаются вопросом: надо это делать или это очень рискованно? В современных условиях нет стопроцентной гарантии, что эти средства будут полностью сохранены, что они будут приумножены, во всяком случае, не обесценятся. Поэтому опять же каждый принимает добровольное решение, но надо отдавать себе отчет в том, что, приняв его, человек полностью возлагает на себя все те риски, которые связаны с функционированием, в частности, негосударственных пенсионных фондов. </w:t>
      </w:r>
    </w:p>
    <w:p w:rsidR="003A2289" w:rsidRDefault="003A2289"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Очень многие еще помнят дефолт 1998 г. и поэтому не распыляют свои средства и не доверяют их даже солидным, проверенным банкам. В данном случае это недоверие выражается в том, что преимущественно все застрахованные оставили свои средства непосредственно в ПФР. Пенсионный фонд России, конечно, не гарантирует высокого процента от использования этих средств, но, во всяком случае, гарантирует, что эти средства будут в сохранности. И здесь еще один очень важный документ. Он заключается в том, что в Законе об обязательном пенсионном страховании есть принципиально важное положение, а именно само государство несет солидарную ответственность по всем тем средствам, которыми управляет непосредственно Пенсионный фонд России. Поэтому, прежде чем принять конкретное решение, очевидно, нужно все серьезно взвесить с учетом тех возможных выгод и возможных рисков.</w:t>
      </w:r>
    </w:p>
    <w:p w:rsidR="00FE2A7E" w:rsidRDefault="00FE2A7E" w:rsidP="003A2289">
      <w:pPr>
        <w:spacing w:after="0" w:line="360" w:lineRule="auto"/>
        <w:ind w:firstLine="709"/>
        <w:jc w:val="both"/>
        <w:rPr>
          <w:rFonts w:ascii="Times New Roman" w:eastAsia="Times New Roman" w:hAnsi="Times New Roman" w:cs="Times New Roman"/>
          <w:sz w:val="28"/>
          <w:szCs w:val="28"/>
        </w:rPr>
      </w:pPr>
    </w:p>
    <w:p w:rsidR="003A2289" w:rsidRPr="006F43E9" w:rsidRDefault="008C799B" w:rsidP="006F43E9">
      <w:pPr>
        <w:pStyle w:val="2"/>
        <w:spacing w:before="0" w:line="360" w:lineRule="auto"/>
        <w:jc w:val="center"/>
        <w:rPr>
          <w:rFonts w:ascii="Times New Roman" w:eastAsia="Times New Roman" w:hAnsi="Times New Roman" w:cs="Times New Roman"/>
          <w:color w:val="auto"/>
          <w:sz w:val="28"/>
          <w:szCs w:val="28"/>
        </w:rPr>
      </w:pPr>
      <w:bookmarkStart w:id="47" w:name="_Toc436074568"/>
      <w:r w:rsidRPr="006F43E9">
        <w:rPr>
          <w:rFonts w:ascii="Times New Roman" w:eastAsia="Times New Roman" w:hAnsi="Times New Roman" w:cs="Times New Roman"/>
          <w:bCs w:val="0"/>
          <w:color w:val="auto"/>
          <w:sz w:val="28"/>
          <w:szCs w:val="28"/>
        </w:rPr>
        <w:t>2</w:t>
      </w:r>
      <w:r w:rsidR="003A2289" w:rsidRPr="006F43E9">
        <w:rPr>
          <w:rFonts w:ascii="Times New Roman" w:eastAsia="Times New Roman" w:hAnsi="Times New Roman" w:cs="Times New Roman"/>
          <w:bCs w:val="0"/>
          <w:color w:val="auto"/>
          <w:sz w:val="28"/>
          <w:szCs w:val="28"/>
        </w:rPr>
        <w:t>.</w:t>
      </w:r>
      <w:r w:rsidR="00BB5D83">
        <w:rPr>
          <w:rFonts w:ascii="Times New Roman" w:eastAsia="Times New Roman" w:hAnsi="Times New Roman" w:cs="Times New Roman"/>
          <w:bCs w:val="0"/>
          <w:color w:val="auto"/>
          <w:sz w:val="28"/>
          <w:szCs w:val="28"/>
        </w:rPr>
        <w:t>3.</w:t>
      </w:r>
      <w:r w:rsidR="003A2289" w:rsidRPr="006F43E9">
        <w:rPr>
          <w:rFonts w:ascii="Times New Roman" w:eastAsia="Times New Roman" w:hAnsi="Times New Roman" w:cs="Times New Roman"/>
          <w:bCs w:val="0"/>
          <w:color w:val="auto"/>
          <w:sz w:val="28"/>
          <w:szCs w:val="28"/>
        </w:rPr>
        <w:t xml:space="preserve"> </w:t>
      </w:r>
      <w:r w:rsidR="005B5123">
        <w:rPr>
          <w:rFonts w:ascii="Times New Roman" w:eastAsia="Times New Roman" w:hAnsi="Times New Roman" w:cs="Times New Roman"/>
          <w:color w:val="auto"/>
          <w:sz w:val="28"/>
          <w:szCs w:val="28"/>
        </w:rPr>
        <w:t>З</w:t>
      </w:r>
      <w:r w:rsidR="00C80F0D" w:rsidRPr="00C80F0D">
        <w:rPr>
          <w:rFonts w:ascii="Times New Roman" w:eastAsia="Times New Roman" w:hAnsi="Times New Roman" w:cs="Times New Roman"/>
          <w:color w:val="auto"/>
          <w:sz w:val="28"/>
          <w:szCs w:val="28"/>
        </w:rPr>
        <w:t>аключени</w:t>
      </w:r>
      <w:r w:rsidR="005B5123">
        <w:rPr>
          <w:rFonts w:ascii="Times New Roman" w:eastAsia="Times New Roman" w:hAnsi="Times New Roman" w:cs="Times New Roman"/>
          <w:color w:val="auto"/>
          <w:sz w:val="28"/>
          <w:szCs w:val="28"/>
        </w:rPr>
        <w:t>е</w:t>
      </w:r>
      <w:r w:rsidR="00C80F0D" w:rsidRPr="00C80F0D">
        <w:rPr>
          <w:rFonts w:ascii="Times New Roman" w:eastAsia="Times New Roman" w:hAnsi="Times New Roman" w:cs="Times New Roman"/>
          <w:color w:val="auto"/>
          <w:sz w:val="28"/>
          <w:szCs w:val="28"/>
        </w:rPr>
        <w:t xml:space="preserve"> договоров с НПФ </w:t>
      </w:r>
      <w:r w:rsidR="00552B47" w:rsidRPr="006F43E9">
        <w:rPr>
          <w:rFonts w:ascii="Times New Roman" w:eastAsia="Times New Roman" w:hAnsi="Times New Roman" w:cs="Times New Roman"/>
          <w:color w:val="auto"/>
          <w:sz w:val="28"/>
          <w:szCs w:val="28"/>
        </w:rPr>
        <w:t>и порядок внесения</w:t>
      </w:r>
      <w:r w:rsidR="00552B47">
        <w:rPr>
          <w:rFonts w:ascii="Times New Roman" w:eastAsia="Times New Roman" w:hAnsi="Times New Roman" w:cs="Times New Roman"/>
          <w:sz w:val="28"/>
          <w:szCs w:val="28"/>
        </w:rPr>
        <w:t xml:space="preserve"> </w:t>
      </w:r>
      <w:r w:rsidR="00552B47" w:rsidRPr="006F43E9">
        <w:rPr>
          <w:rFonts w:ascii="Times New Roman" w:eastAsia="Times New Roman" w:hAnsi="Times New Roman" w:cs="Times New Roman"/>
          <w:color w:val="auto"/>
          <w:sz w:val="28"/>
          <w:szCs w:val="28"/>
        </w:rPr>
        <w:t>взносов</w:t>
      </w:r>
      <w:bookmarkEnd w:id="47"/>
    </w:p>
    <w:p w:rsidR="003A2289" w:rsidRDefault="003A2289" w:rsidP="003A2289">
      <w:pPr>
        <w:spacing w:after="0" w:line="360" w:lineRule="auto"/>
        <w:ind w:firstLine="709"/>
        <w:jc w:val="both"/>
        <w:rPr>
          <w:rFonts w:ascii="Times New Roman" w:eastAsia="Times New Roman" w:hAnsi="Times New Roman" w:cs="Times New Roman"/>
          <w:sz w:val="28"/>
          <w:szCs w:val="28"/>
        </w:rPr>
      </w:pPr>
    </w:p>
    <w:p w:rsid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Застраховаться в НПФ открытого типа могут любые юридические и физические лица (вкладчики). При этом вкладчик и фонд заключают договор о негосударственном пенсионном обеспечении, в котором определяется порядок внесения взносов, открытия именных пенсионных счетов на </w:t>
      </w:r>
      <w:r w:rsidRPr="00C80F0D">
        <w:rPr>
          <w:rFonts w:ascii="Times New Roman" w:eastAsia="Times New Roman" w:hAnsi="Times New Roman" w:cs="Times New Roman"/>
          <w:sz w:val="28"/>
          <w:szCs w:val="28"/>
        </w:rPr>
        <w:lastRenderedPageBreak/>
        <w:t>работников, осуществления пенсионных выплат работникам, у которых по законодательству РФ наступили пенсионные основания,</w:t>
      </w:r>
      <w:r w:rsidR="003A2289">
        <w:rPr>
          <w:rFonts w:ascii="Times New Roman" w:eastAsia="Times New Roman" w:hAnsi="Times New Roman" w:cs="Times New Roman"/>
          <w:sz w:val="28"/>
          <w:szCs w:val="28"/>
        </w:rPr>
        <w:t xml:space="preserve"> </w:t>
      </w:r>
      <w:r w:rsidRPr="00C80F0D">
        <w:rPr>
          <w:rFonts w:ascii="Times New Roman" w:eastAsia="Times New Roman" w:hAnsi="Times New Roman" w:cs="Times New Roman"/>
          <w:sz w:val="28"/>
          <w:szCs w:val="28"/>
        </w:rPr>
        <w:t xml:space="preserve">начисления инвестиционного дохода, информирования о состоянии пенсионного счета и т. д. </w:t>
      </w:r>
    </w:p>
    <w:p w:rsidR="003A2289"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Если в качестве застрахованного лица выступает юридическое лицо, то его взносы могут вноситься как по солидарной, так и по персонифицированной схеме. </w:t>
      </w:r>
    </w:p>
    <w:p w:rsidR="003A2289"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При заключении договора с юридическим лицом и открытии счета (солидарного или персонифицированного) целевой сбор фонда составляет не более 3% от суммы взноса. Физические лица вносят вступительный взнос в размере 150 руб. Внесение целевого взноса производится при каждом последующем пенсионном взносе. </w:t>
      </w:r>
    </w:p>
    <w:p w:rsidR="003A2289"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Пенсионные взносы в НПФ выплачиваются работодателем и застрахованным лицом. Существует три вида внесения взносов: </w:t>
      </w:r>
    </w:p>
    <w:p w:rsidR="003A2289"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перечисление денежных средств работодателем;</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перечисление денежных средств работодателем совместно с работником в выбранных пропорциях (пропорции определяются на основании соглашения между работодателем и работниками);</w:t>
      </w:r>
    </w:p>
    <w:p w:rsidR="00C80F0D" w:rsidRP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 перечисление денежных средств работником. </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При солидарной схеме каждому предприятию-вкладчику фонд открывает солидарный счет и производит на него начисление денежных средств (сроки внесения взносов также оговариваются в договоре). </w:t>
      </w:r>
      <w:r w:rsidRPr="00C80F0D">
        <w:rPr>
          <w:rFonts w:ascii="Times New Roman" w:eastAsia="Times New Roman" w:hAnsi="Times New Roman" w:cs="Times New Roman"/>
          <w:sz w:val="28"/>
          <w:szCs w:val="28"/>
        </w:rPr>
        <w:br/>
        <w:t xml:space="preserve">Вкладчик предоставляет фонду список лиц, подлежащих негосударственному пенсионному обеспечению. Каждому участнику по списку фонд открывает именной пенсионный счет (ИПС) и в соответствии с суммами, указанными в списке, производит распределение денежных средств. Участник (работник организации) может перечислять дополнительные средства на свой ИПС. </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lastRenderedPageBreak/>
        <w:t xml:space="preserve">Ежегодно на солидарный счет производится начисление инвестиционного дохода. В начале года фонд предоставляет вкладчику извещение о состоянии солидарного счета. </w:t>
      </w:r>
    </w:p>
    <w:p w:rsid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При наступлении периода пенсионных выплат участником оформляется заявление на проведение пенсионных выплат с указанием срока выплат и периодичности. В том случае, если участником не вносились собственные пенсионные взносы, то для начала проведения выплат ему необходимо получить согласие вкладчика на эти выплаты. </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Размер негосударственной пенсии определяется на основе актуарных расчетов. При этом учитываются:</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сумма взносов и инвестиционного дохода, накопленных на именном пенсионном счете;</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период выплаты негосударственной пенсии;</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инвестиционный доход в период проведения выплат пенсии;</w:t>
      </w:r>
    </w:p>
    <w:p w:rsidR="00C80F0D" w:rsidRP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 взносы, внесенные уже непосредственно в процессе получения пенсии. </w:t>
      </w:r>
    </w:p>
    <w:p w:rsidR="00C80F0D" w:rsidRP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Участником фонда (физическим лицом) совместно с предприятием (юридическим лицом), перечислившим на его именной пенсионной счет определенную денежную сумму, накоплено 172 тыс. руб. Это позволит ему при выходе на пенсию с использованием схемы № 2 получать (по своему желанию) негосударственную (дополнительную) пенсию в размере 2100 руб. ежемесячно в течение 10 лет. </w:t>
      </w:r>
    </w:p>
    <w:p w:rsidR="00C80F0D" w:rsidRP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 ряде случаев может работать схема, когда пенсии выплачиваются сразу после поступления средств. Это возможно, если сотрудник предприятия уже является пенсионером или выходит на пенсию в ближайшее время. В этом случае предприятие, заключив договор с фондом, единовременно переводит определенную сумму в НПФ и дает распорядительное письмо о направлении этих средств своему работнику. Сумма средств должна быть рассчитана исходя из выплаты законодательно </w:t>
      </w:r>
      <w:r w:rsidRPr="00C80F0D">
        <w:rPr>
          <w:rFonts w:ascii="Times New Roman" w:eastAsia="Times New Roman" w:hAnsi="Times New Roman" w:cs="Times New Roman"/>
          <w:sz w:val="28"/>
          <w:szCs w:val="28"/>
        </w:rPr>
        <w:lastRenderedPageBreak/>
        <w:t xml:space="preserve">установленного размера пенсии, выплачиваемой в срок, превышающий два года. </w:t>
      </w:r>
    </w:p>
    <w:p w:rsid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Например, для выплаты пенсии в размере 500–600 руб. в месяц в течение двух-трех лет потребуются незначительные средства – от 12 тыс. до 20 тыс. руб. </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Заключить договор о негосударственном пенсионном обеспечении может и любое физическое лицо в возрасте от 14 лет. При этом вкладчик может заключить договор как в свою пользу, так и в пользу другого физического лица, которому при наступлении пенсионного случая будет выплачиваться негосударственная пенсия. </w:t>
      </w:r>
    </w:p>
    <w:p w:rsidR="00552B47" w:rsidRPr="00552B47" w:rsidRDefault="00552B47" w:rsidP="00552B47">
      <w:pPr>
        <w:spacing w:after="0" w:line="360" w:lineRule="auto"/>
        <w:ind w:firstLine="709"/>
        <w:jc w:val="right"/>
        <w:rPr>
          <w:rFonts w:ascii="Times New Roman" w:eastAsia="Times New Roman" w:hAnsi="Times New Roman" w:cs="Times New Roman"/>
          <w:bCs/>
          <w:i/>
          <w:sz w:val="28"/>
          <w:szCs w:val="28"/>
        </w:rPr>
      </w:pPr>
      <w:r w:rsidRPr="00552B47">
        <w:rPr>
          <w:rFonts w:ascii="Times New Roman" w:eastAsia="Times New Roman" w:hAnsi="Times New Roman" w:cs="Times New Roman"/>
          <w:bCs/>
          <w:i/>
          <w:sz w:val="28"/>
          <w:szCs w:val="28"/>
        </w:rPr>
        <w:t xml:space="preserve">Таблица </w:t>
      </w:r>
      <w:r w:rsidR="00D764E0">
        <w:rPr>
          <w:rFonts w:ascii="Times New Roman" w:eastAsia="Times New Roman" w:hAnsi="Times New Roman" w:cs="Times New Roman"/>
          <w:bCs/>
          <w:i/>
          <w:sz w:val="28"/>
          <w:szCs w:val="28"/>
        </w:rPr>
        <w:t>2</w:t>
      </w:r>
      <w:r w:rsidRPr="00552B47">
        <w:rPr>
          <w:rFonts w:ascii="Times New Roman" w:eastAsia="Times New Roman" w:hAnsi="Times New Roman" w:cs="Times New Roman"/>
          <w:bCs/>
          <w:i/>
          <w:sz w:val="28"/>
          <w:szCs w:val="28"/>
        </w:rPr>
        <w:t>.1</w:t>
      </w:r>
    </w:p>
    <w:p w:rsidR="00552B47" w:rsidRDefault="00C80F0D" w:rsidP="00552B47">
      <w:pPr>
        <w:spacing w:after="0" w:line="360" w:lineRule="auto"/>
        <w:ind w:firstLine="709"/>
        <w:jc w:val="center"/>
        <w:rPr>
          <w:rFonts w:ascii="Times New Roman" w:eastAsia="Times New Roman" w:hAnsi="Times New Roman" w:cs="Times New Roman"/>
          <w:sz w:val="28"/>
          <w:szCs w:val="28"/>
        </w:rPr>
      </w:pPr>
      <w:r w:rsidRPr="00C80F0D">
        <w:rPr>
          <w:rFonts w:ascii="Times New Roman" w:eastAsia="Times New Roman" w:hAnsi="Times New Roman" w:cs="Times New Roman"/>
          <w:bCs/>
          <w:sz w:val="28"/>
          <w:szCs w:val="28"/>
        </w:rPr>
        <w:t>Возможные выплаты негосударственных пенсий</w:t>
      </w:r>
      <w:r w:rsidR="007C5494">
        <w:rPr>
          <w:rStyle w:val="ad"/>
          <w:rFonts w:ascii="Times New Roman" w:eastAsia="Times New Roman" w:hAnsi="Times New Roman"/>
          <w:bCs/>
          <w:sz w:val="28"/>
          <w:szCs w:val="28"/>
        </w:rPr>
        <w:footnoteReference w:id="10"/>
      </w:r>
      <w:r w:rsidRPr="00C80F0D">
        <w:rPr>
          <w:rFonts w:ascii="Times New Roman" w:eastAsia="Times New Roman" w:hAnsi="Times New Roman" w:cs="Times New Roman"/>
          <w:sz w:val="28"/>
          <w:szCs w:val="28"/>
        </w:rPr>
        <w:t xml:space="preserve"> </w:t>
      </w:r>
      <w:r w:rsidRPr="00C80F0D">
        <w:rPr>
          <w:rFonts w:ascii="Times New Roman" w:eastAsia="Times New Roman" w:hAnsi="Times New Roman" w:cs="Times New Roman"/>
          <w:sz w:val="28"/>
          <w:szCs w:val="28"/>
        </w:rPr>
        <w:br/>
      </w:r>
      <w:r w:rsidRPr="00C80F0D">
        <w:rPr>
          <w:rFonts w:ascii="Times New Roman" w:eastAsia="Times New Roman" w:hAnsi="Times New Roman" w:cs="Times New Roman"/>
          <w:sz w:val="28"/>
          <w:szCs w:val="28"/>
        </w:rPr>
        <w:br/>
      </w:r>
      <w:r w:rsidRPr="003A2289">
        <w:rPr>
          <w:rFonts w:ascii="Times New Roman" w:eastAsia="Times New Roman" w:hAnsi="Times New Roman" w:cs="Times New Roman"/>
          <w:noProof/>
          <w:sz w:val="28"/>
          <w:szCs w:val="28"/>
        </w:rPr>
        <w:drawing>
          <wp:inline distT="0" distB="0" distL="0" distR="0">
            <wp:extent cx="5715000" cy="2143125"/>
            <wp:effectExtent l="19050" t="0" r="0" b="0"/>
            <wp:docPr id="9" name="Рисунок 9" descr="Возможные выплаты негосударственных пенс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озможные выплаты негосударственных пенсий"/>
                    <pic:cNvPicPr>
                      <a:picLocks noChangeAspect="1" noChangeArrowheads="1"/>
                    </pic:cNvPicPr>
                  </pic:nvPicPr>
                  <pic:blipFill>
                    <a:blip r:embed="rId9"/>
                    <a:srcRect/>
                    <a:stretch>
                      <a:fillRect/>
                    </a:stretch>
                  </pic:blipFill>
                  <pic:spPr bwMode="auto">
                    <a:xfrm>
                      <a:off x="0" y="0"/>
                      <a:ext cx="5715000" cy="2143125"/>
                    </a:xfrm>
                    <a:prstGeom prst="rect">
                      <a:avLst/>
                    </a:prstGeom>
                    <a:noFill/>
                    <a:ln w="9525">
                      <a:noFill/>
                      <a:miter lim="800000"/>
                      <a:headEnd/>
                      <a:tailEnd/>
                    </a:ln>
                  </pic:spPr>
                </pic:pic>
              </a:graphicData>
            </a:graphic>
          </wp:inline>
        </w:drawing>
      </w:r>
      <w:r w:rsidRPr="00C80F0D">
        <w:rPr>
          <w:rFonts w:ascii="Times New Roman" w:eastAsia="Times New Roman" w:hAnsi="Times New Roman" w:cs="Times New Roman"/>
          <w:sz w:val="28"/>
          <w:szCs w:val="28"/>
        </w:rPr>
        <w:br/>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Включение в коллективный договор положения о предоставлении работнику права участвовать в сфере негосударственных пенсионных услуг позволяет повысить уровень материального стимулирования в коллективе, обеспечить достойное содержание ветеранов, осуществить закрепление квалифицированных кадров и привлечь способных молодых специалистов гарантией расширения их социального пакета и возможностью получить в перспективе дополнительную пенсию. </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lastRenderedPageBreak/>
        <w:t xml:space="preserve">С другой стороны, социальные гарантии в современном обществе являются не только инструментом кадровой политики, но и средством повышения производительности труда. Регулируемые работодателем размер, периодичность и продолжительность внесения в НПФ пенсионных взносов являются важным стимулом для любого работника (застрахованного лица). </w:t>
      </w:r>
    </w:p>
    <w:p w:rsidR="00552B47"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Что же касается роли работников кадровых служб, то их задача – стимулировать руководство предприятия систематически заниматься вопросами пенсионного обеспечения трудящихся граждан, в т. ч. ветеранов, и вышедших на пенсию работников. </w:t>
      </w:r>
    </w:p>
    <w:p w:rsidR="00C80F0D" w:rsidRDefault="00C80F0D" w:rsidP="003A2289">
      <w:pPr>
        <w:spacing w:after="0" w:line="360" w:lineRule="auto"/>
        <w:ind w:firstLine="709"/>
        <w:jc w:val="both"/>
        <w:rPr>
          <w:rFonts w:ascii="Times New Roman" w:eastAsia="Times New Roman" w:hAnsi="Times New Roman" w:cs="Times New Roman"/>
          <w:sz w:val="28"/>
          <w:szCs w:val="28"/>
        </w:rPr>
      </w:pPr>
      <w:r w:rsidRPr="00C80F0D">
        <w:rPr>
          <w:rFonts w:ascii="Times New Roman" w:eastAsia="Times New Roman" w:hAnsi="Times New Roman" w:cs="Times New Roman"/>
          <w:sz w:val="28"/>
          <w:szCs w:val="28"/>
        </w:rPr>
        <w:t xml:space="preserve">Развитие деловых контактов с НПФ позволит не только решить проблему материального благосостояния работников, но и отработать механизмы защиты пенсионных прав работающих граждан и формирования профессиональных пенсионных систем. </w:t>
      </w:r>
    </w:p>
    <w:p w:rsidR="008C799B" w:rsidRDefault="008C799B" w:rsidP="003A2289">
      <w:pPr>
        <w:spacing w:after="0" w:line="360" w:lineRule="auto"/>
        <w:ind w:firstLine="709"/>
        <w:jc w:val="both"/>
        <w:rPr>
          <w:rFonts w:ascii="Times New Roman" w:eastAsia="Times New Roman" w:hAnsi="Times New Roman" w:cs="Times New Roman"/>
          <w:sz w:val="28"/>
          <w:szCs w:val="28"/>
        </w:rPr>
      </w:pPr>
    </w:p>
    <w:p w:rsidR="008C799B" w:rsidRPr="00C80F0D" w:rsidRDefault="008C799B" w:rsidP="003A2289">
      <w:pPr>
        <w:spacing w:after="0" w:line="360" w:lineRule="auto"/>
        <w:ind w:firstLine="709"/>
        <w:jc w:val="both"/>
        <w:rPr>
          <w:rFonts w:ascii="Times New Roman" w:eastAsia="Times New Roman" w:hAnsi="Times New Roman" w:cs="Times New Roman"/>
          <w:sz w:val="28"/>
          <w:szCs w:val="28"/>
        </w:rPr>
      </w:pPr>
    </w:p>
    <w:p w:rsidR="00C80F0D" w:rsidRPr="00C80F0D" w:rsidRDefault="00C80F0D" w:rsidP="003A2289">
      <w:pPr>
        <w:spacing w:after="0" w:line="360" w:lineRule="auto"/>
        <w:ind w:firstLine="709"/>
        <w:jc w:val="both"/>
        <w:rPr>
          <w:rFonts w:ascii="Times New Roman" w:eastAsia="Times New Roman" w:hAnsi="Times New Roman" w:cs="Times New Roman"/>
          <w:vanish/>
          <w:sz w:val="28"/>
          <w:szCs w:val="28"/>
        </w:rPr>
      </w:pPr>
    </w:p>
    <w:p w:rsidR="00266063" w:rsidRPr="00341FA9" w:rsidRDefault="00793A78" w:rsidP="00335767">
      <w:pPr>
        <w:spacing w:after="0" w:line="360" w:lineRule="auto"/>
        <w:ind w:firstLine="709"/>
        <w:jc w:val="both"/>
        <w:rPr>
          <w:rFonts w:ascii="Times New Roman" w:hAnsi="Times New Roman" w:cs="Times New Roman"/>
          <w:sz w:val="28"/>
          <w:szCs w:val="28"/>
        </w:rPr>
      </w:pPr>
      <w:r w:rsidRPr="003A2289">
        <w:rPr>
          <w:rFonts w:ascii="Times New Roman" w:hAnsi="Times New Roman" w:cs="Times New Roman"/>
          <w:sz w:val="28"/>
          <w:szCs w:val="28"/>
        </w:rPr>
        <w:br w:type="page"/>
      </w:r>
    </w:p>
    <w:p w:rsidR="00793A78" w:rsidRPr="006F43E9" w:rsidRDefault="00D764E0" w:rsidP="006F43E9">
      <w:pPr>
        <w:pStyle w:val="1"/>
        <w:spacing w:before="0" w:beforeAutospacing="0" w:after="0" w:afterAutospacing="0" w:line="360" w:lineRule="auto"/>
        <w:jc w:val="center"/>
        <w:rPr>
          <w:sz w:val="28"/>
          <w:szCs w:val="28"/>
        </w:rPr>
      </w:pPr>
      <w:bookmarkStart w:id="48" w:name="_Toc436074569"/>
      <w:r w:rsidRPr="006F43E9">
        <w:rPr>
          <w:sz w:val="28"/>
          <w:szCs w:val="28"/>
        </w:rPr>
        <w:lastRenderedPageBreak/>
        <w:t>ЗАКЛЮЧЕНИЕ</w:t>
      </w:r>
      <w:bookmarkEnd w:id="48"/>
    </w:p>
    <w:p w:rsidR="002F77F9" w:rsidRDefault="002F77F9" w:rsidP="003A2289">
      <w:pPr>
        <w:spacing w:after="0" w:line="360" w:lineRule="auto"/>
        <w:ind w:firstLine="709"/>
        <w:jc w:val="both"/>
        <w:rPr>
          <w:rFonts w:ascii="Times New Roman" w:hAnsi="Times New Roman" w:cs="Times New Roman"/>
          <w:sz w:val="28"/>
          <w:szCs w:val="28"/>
        </w:rPr>
      </w:pPr>
    </w:p>
    <w:p w:rsidR="003F6786" w:rsidRPr="006F7EA7" w:rsidRDefault="003F6786" w:rsidP="003F6786">
      <w:pPr>
        <w:pStyle w:val="a7"/>
        <w:spacing w:before="0" w:beforeAutospacing="0" w:after="0" w:afterAutospacing="0" w:line="360" w:lineRule="auto"/>
        <w:ind w:firstLine="709"/>
        <w:jc w:val="both"/>
        <w:rPr>
          <w:sz w:val="28"/>
          <w:szCs w:val="28"/>
        </w:rPr>
      </w:pPr>
      <w:r>
        <w:rPr>
          <w:sz w:val="28"/>
          <w:szCs w:val="28"/>
        </w:rPr>
        <w:t>В процессе работы был изучен</w:t>
      </w:r>
      <w:r w:rsidRPr="006F7EA7">
        <w:rPr>
          <w:sz w:val="28"/>
          <w:szCs w:val="28"/>
        </w:rPr>
        <w:t xml:space="preserve"> </w:t>
      </w:r>
      <w:r w:rsidRPr="00685390">
        <w:rPr>
          <w:sz w:val="28"/>
          <w:szCs w:val="28"/>
        </w:rPr>
        <w:t>пенсионный фонд РФ, его роль в осуществлении пенсионной реформы.</w:t>
      </w:r>
      <w:r w:rsidRPr="006F7EA7">
        <w:rPr>
          <w:sz w:val="28"/>
          <w:szCs w:val="28"/>
        </w:rPr>
        <w:t xml:space="preserve"> В </w:t>
      </w:r>
      <w:r>
        <w:rPr>
          <w:sz w:val="28"/>
          <w:szCs w:val="28"/>
        </w:rPr>
        <w:t>результате были решены</w:t>
      </w:r>
      <w:r w:rsidRPr="006F7EA7">
        <w:rPr>
          <w:sz w:val="28"/>
          <w:szCs w:val="28"/>
        </w:rPr>
        <w:t xml:space="preserve"> следующие задачи:</w:t>
      </w:r>
    </w:p>
    <w:p w:rsidR="003F6786" w:rsidRPr="00685390" w:rsidRDefault="003F6786" w:rsidP="003F6786">
      <w:pPr>
        <w:pStyle w:val="a7"/>
        <w:spacing w:before="0" w:beforeAutospacing="0" w:after="0" w:afterAutospacing="0" w:line="360" w:lineRule="auto"/>
        <w:ind w:firstLine="709"/>
        <w:jc w:val="both"/>
        <w:rPr>
          <w:sz w:val="28"/>
          <w:szCs w:val="28"/>
        </w:rPr>
      </w:pPr>
      <w:r>
        <w:rPr>
          <w:sz w:val="28"/>
          <w:szCs w:val="28"/>
        </w:rPr>
        <w:t>- описан а</w:t>
      </w:r>
      <w:r w:rsidRPr="00685390">
        <w:rPr>
          <w:sz w:val="28"/>
          <w:szCs w:val="28"/>
        </w:rPr>
        <w:t>дминистративно-правовой режим пенсионных накоплений</w:t>
      </w:r>
      <w:r>
        <w:rPr>
          <w:sz w:val="28"/>
          <w:szCs w:val="28"/>
        </w:rPr>
        <w:t>;</w:t>
      </w:r>
    </w:p>
    <w:p w:rsidR="003F6786" w:rsidRPr="00685390" w:rsidRDefault="003F6786" w:rsidP="003F6786">
      <w:pPr>
        <w:pStyle w:val="a7"/>
        <w:spacing w:before="0" w:beforeAutospacing="0" w:after="0" w:afterAutospacing="0" w:line="360" w:lineRule="auto"/>
        <w:ind w:firstLine="709"/>
        <w:jc w:val="both"/>
        <w:rPr>
          <w:sz w:val="28"/>
          <w:szCs w:val="28"/>
        </w:rPr>
      </w:pPr>
      <w:r>
        <w:rPr>
          <w:sz w:val="28"/>
          <w:szCs w:val="28"/>
        </w:rPr>
        <w:t>- рассмотрено о</w:t>
      </w:r>
      <w:r w:rsidRPr="00685390">
        <w:rPr>
          <w:sz w:val="28"/>
          <w:szCs w:val="28"/>
        </w:rPr>
        <w:t>существление контроля и надзора за деятельностью пенсионных фондов</w:t>
      </w:r>
      <w:r>
        <w:rPr>
          <w:sz w:val="28"/>
          <w:szCs w:val="28"/>
        </w:rPr>
        <w:t>;</w:t>
      </w:r>
    </w:p>
    <w:p w:rsidR="003F6786" w:rsidRPr="00685390" w:rsidRDefault="003F6786" w:rsidP="003F6786">
      <w:pPr>
        <w:pStyle w:val="a7"/>
        <w:spacing w:before="0" w:beforeAutospacing="0" w:after="0" w:afterAutospacing="0" w:line="360" w:lineRule="auto"/>
        <w:ind w:firstLine="709"/>
        <w:jc w:val="both"/>
        <w:rPr>
          <w:sz w:val="28"/>
          <w:szCs w:val="28"/>
        </w:rPr>
      </w:pPr>
      <w:r>
        <w:rPr>
          <w:sz w:val="28"/>
          <w:szCs w:val="28"/>
        </w:rPr>
        <w:t>- определена с</w:t>
      </w:r>
      <w:r w:rsidRPr="00685390">
        <w:rPr>
          <w:sz w:val="28"/>
          <w:szCs w:val="28"/>
        </w:rPr>
        <w:t>ущность негосударственного пенсионного обеспечения</w:t>
      </w:r>
      <w:r>
        <w:rPr>
          <w:sz w:val="28"/>
          <w:szCs w:val="28"/>
        </w:rPr>
        <w:t>;</w:t>
      </w:r>
    </w:p>
    <w:p w:rsidR="003F6786" w:rsidRPr="00685390" w:rsidRDefault="003F6786" w:rsidP="003F6786">
      <w:pPr>
        <w:pStyle w:val="a7"/>
        <w:spacing w:before="0" w:beforeAutospacing="0" w:after="0" w:afterAutospacing="0" w:line="360" w:lineRule="auto"/>
        <w:ind w:firstLine="709"/>
        <w:jc w:val="both"/>
        <w:rPr>
          <w:sz w:val="28"/>
          <w:szCs w:val="28"/>
        </w:rPr>
      </w:pPr>
      <w:r>
        <w:rPr>
          <w:sz w:val="28"/>
          <w:szCs w:val="28"/>
        </w:rPr>
        <w:t>- выявлена р</w:t>
      </w:r>
      <w:r w:rsidRPr="00685390">
        <w:rPr>
          <w:sz w:val="28"/>
          <w:szCs w:val="28"/>
        </w:rPr>
        <w:t>оль негосударственного пенсионного обеспечения в пенсионной системе РФ</w:t>
      </w:r>
      <w:r>
        <w:rPr>
          <w:sz w:val="28"/>
          <w:szCs w:val="28"/>
        </w:rPr>
        <w:t>;</w:t>
      </w:r>
    </w:p>
    <w:p w:rsidR="003F6786" w:rsidRPr="00685390" w:rsidRDefault="003F6786" w:rsidP="003F6786">
      <w:pPr>
        <w:pStyle w:val="a7"/>
        <w:spacing w:before="0" w:beforeAutospacing="0" w:after="0" w:afterAutospacing="0" w:line="360" w:lineRule="auto"/>
        <w:ind w:firstLine="709"/>
        <w:jc w:val="both"/>
        <w:rPr>
          <w:sz w:val="28"/>
          <w:szCs w:val="28"/>
        </w:rPr>
      </w:pPr>
      <w:r>
        <w:rPr>
          <w:sz w:val="28"/>
          <w:szCs w:val="28"/>
        </w:rPr>
        <w:t>- сформулированы о</w:t>
      </w:r>
      <w:r w:rsidRPr="00685390">
        <w:rPr>
          <w:sz w:val="28"/>
          <w:szCs w:val="28"/>
        </w:rPr>
        <w:t>собенности и тенденции развития негосударственных пенсионных фондов</w:t>
      </w:r>
      <w:r>
        <w:rPr>
          <w:sz w:val="28"/>
          <w:szCs w:val="28"/>
        </w:rPr>
        <w:t>;</w:t>
      </w:r>
    </w:p>
    <w:p w:rsidR="003F6786" w:rsidRPr="00685390" w:rsidRDefault="003F6786" w:rsidP="003F6786">
      <w:pPr>
        <w:pStyle w:val="a7"/>
        <w:spacing w:before="0" w:beforeAutospacing="0" w:after="0" w:afterAutospacing="0" w:line="360" w:lineRule="auto"/>
        <w:ind w:firstLine="709"/>
        <w:jc w:val="both"/>
        <w:rPr>
          <w:sz w:val="28"/>
          <w:szCs w:val="28"/>
        </w:rPr>
      </w:pPr>
      <w:r>
        <w:rPr>
          <w:sz w:val="28"/>
          <w:szCs w:val="28"/>
        </w:rPr>
        <w:t>- охарактеризовано з</w:t>
      </w:r>
      <w:r w:rsidRPr="00685390">
        <w:rPr>
          <w:sz w:val="28"/>
          <w:szCs w:val="28"/>
        </w:rPr>
        <w:t>аключение договоров с НПФ и порядок внесения взносов</w:t>
      </w:r>
      <w:r>
        <w:rPr>
          <w:sz w:val="28"/>
          <w:szCs w:val="28"/>
        </w:rPr>
        <w:t>.</w:t>
      </w:r>
    </w:p>
    <w:p w:rsidR="006F7EA7" w:rsidRDefault="006F7EA7" w:rsidP="00D6619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Исходя из всего вышесказанного, хотелось бы сделать некоторые выводы.</w:t>
      </w:r>
    </w:p>
    <w:p w:rsidR="00F75728" w:rsidRPr="00F75728" w:rsidRDefault="00F75728" w:rsidP="00F75728">
      <w:pPr>
        <w:spacing w:after="0" w:line="360" w:lineRule="auto"/>
        <w:ind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Хотя реформа пенсионной системы и призвана повысить роль частных финансовых институтов в обслуживании пенсионной системы, но на первом этапе реформы значительная часть пенсионных функций будет по прежнему выполняться Пенсионным фондом РФ (ПФР).</w:t>
      </w:r>
    </w:p>
    <w:p w:rsidR="00F75728" w:rsidRPr="00F75728" w:rsidRDefault="00F75728" w:rsidP="00F75728">
      <w:pPr>
        <w:spacing w:after="0" w:line="360" w:lineRule="auto"/>
        <w:ind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bCs/>
          <w:sz w:val="28"/>
          <w:szCs w:val="28"/>
        </w:rPr>
        <w:t>Причины, по которым роль Пенсионного фонда России в новой накопительно-страховой пенсионной системе будет возрастать:</w:t>
      </w:r>
    </w:p>
    <w:p w:rsidR="00F75728" w:rsidRPr="00F75728" w:rsidRDefault="00F75728" w:rsidP="00F75728">
      <w:pPr>
        <w:spacing w:after="0" w:line="360" w:lineRule="auto"/>
        <w:ind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bCs/>
          <w:sz w:val="28"/>
          <w:szCs w:val="28"/>
        </w:rPr>
        <w:t>Во-первых</w:t>
      </w:r>
      <w:r w:rsidRPr="00F75728">
        <w:rPr>
          <w:rFonts w:ascii="Times New Roman" w:eastAsia="Times New Roman" w:hAnsi="Times New Roman" w:cs="Times New Roman"/>
          <w:sz w:val="28"/>
          <w:szCs w:val="28"/>
        </w:rPr>
        <w:t>, за Пенсионным фондом остается обслуживание распределительной пенсионной системы.</w:t>
      </w:r>
    </w:p>
    <w:p w:rsidR="00F75728" w:rsidRPr="00F75728" w:rsidRDefault="00F75728" w:rsidP="00F75728">
      <w:pPr>
        <w:spacing w:after="0" w:line="360" w:lineRule="auto"/>
        <w:ind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bCs/>
          <w:sz w:val="28"/>
          <w:szCs w:val="28"/>
        </w:rPr>
        <w:t>Во-вторых,</w:t>
      </w:r>
      <w:r w:rsidRPr="00F75728">
        <w:rPr>
          <w:rFonts w:ascii="Times New Roman" w:eastAsia="Times New Roman" w:hAnsi="Times New Roman" w:cs="Times New Roman"/>
          <w:sz w:val="28"/>
          <w:szCs w:val="28"/>
        </w:rPr>
        <w:t xml:space="preserve"> у Пенсионного фонда есть несколько важных направлений деятельности в рамках накопительной пенсионной системы, без осуществления которых нынешняя модель реформы просто не сможет работать.</w:t>
      </w:r>
    </w:p>
    <w:p w:rsidR="00F75728" w:rsidRPr="00F75728" w:rsidRDefault="00F75728" w:rsidP="00F75728">
      <w:pPr>
        <w:spacing w:after="0" w:line="360" w:lineRule="auto"/>
        <w:ind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lastRenderedPageBreak/>
        <w:t>Вот только некоторые из социально значимых функций, выполняемых в настоящее время Пенсионным фондом:</w:t>
      </w:r>
    </w:p>
    <w:p w:rsidR="00F75728" w:rsidRPr="00F75728" w:rsidRDefault="00F75728" w:rsidP="00F75728">
      <w:pPr>
        <w:numPr>
          <w:ilvl w:val="0"/>
          <w:numId w:val="3"/>
        </w:numPr>
        <w:spacing w:after="0" w:line="360" w:lineRule="auto"/>
        <w:ind w:left="0"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учет страховых средств граждан, поступающих в рамках обязательного пенсионного страхования;</w:t>
      </w:r>
    </w:p>
    <w:p w:rsidR="00F75728" w:rsidRPr="00F75728" w:rsidRDefault="00F75728" w:rsidP="00F75728">
      <w:pPr>
        <w:numPr>
          <w:ilvl w:val="0"/>
          <w:numId w:val="4"/>
        </w:numPr>
        <w:spacing w:after="0" w:line="360" w:lineRule="auto"/>
        <w:ind w:left="0"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назначение и выплата пенсий. Среди них трудовые пенсии (по старости, по инвалидности, по случаю потери кормильца), пенсии по государственному пенсионному обеспечению, пенсии военнослужащих и их семей, социальные пенсии, пенсии госслужащих. За счет средств Пенсионного фонда получают пенсии более 36 млн. российских пенсионеров;</w:t>
      </w:r>
    </w:p>
    <w:p w:rsidR="00F75728" w:rsidRPr="00F75728" w:rsidRDefault="00F75728" w:rsidP="00F75728">
      <w:pPr>
        <w:numPr>
          <w:ilvl w:val="0"/>
          <w:numId w:val="5"/>
        </w:numPr>
        <w:spacing w:after="0" w:line="360" w:lineRule="auto"/>
        <w:ind w:left="0"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назначение и реализация социальных выплат отдельным категориям граждан: ветеранам, инвалидам, инвалидам вследствие военной травмы, Героям Советского Союза, Героям Российской Федерации и др.</w:t>
      </w:r>
    </w:p>
    <w:p w:rsidR="00F75728" w:rsidRPr="00F75728" w:rsidRDefault="00F75728" w:rsidP="00F75728">
      <w:pPr>
        <w:numPr>
          <w:ilvl w:val="0"/>
          <w:numId w:val="6"/>
        </w:numPr>
        <w:spacing w:after="0" w:line="360" w:lineRule="auto"/>
        <w:ind w:left="0"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персонифицированный учет участников системы обязательного пенсионного страхования. В системе персонифицированного учета Пенсионным фондом учитываются страховые пенсионные платежи почти 60 млн. граждан РФ;</w:t>
      </w:r>
    </w:p>
    <w:p w:rsidR="00F75728" w:rsidRPr="00F75728" w:rsidRDefault="00F75728" w:rsidP="00F75728">
      <w:pPr>
        <w:numPr>
          <w:ilvl w:val="0"/>
          <w:numId w:val="7"/>
        </w:numPr>
        <w:spacing w:after="0" w:line="360" w:lineRule="auto"/>
        <w:ind w:left="0"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взаимодействие с работодателями - плательщиками страховых пенсионных взносов. Информация о гражданах, застрахованных в пенсионной системе, поступает от более чем 6 млн. юридических лиц;</w:t>
      </w:r>
    </w:p>
    <w:p w:rsidR="00F75728" w:rsidRPr="00F75728" w:rsidRDefault="00F75728" w:rsidP="00F75728">
      <w:pPr>
        <w:numPr>
          <w:ilvl w:val="0"/>
          <w:numId w:val="7"/>
        </w:numPr>
        <w:spacing w:after="0" w:line="360" w:lineRule="auto"/>
        <w:ind w:left="0"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выдача сертификатов на получение материнского (семейного) капитала и выплата денежных средств по программе материнского капитала;</w:t>
      </w:r>
    </w:p>
    <w:p w:rsidR="00F75728" w:rsidRPr="00F75728" w:rsidRDefault="00F75728" w:rsidP="00F75728">
      <w:pPr>
        <w:numPr>
          <w:ilvl w:val="0"/>
          <w:numId w:val="7"/>
        </w:numPr>
        <w:spacing w:after="0" w:line="360" w:lineRule="auto"/>
        <w:ind w:left="0"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управление средствами пенсионной системы, в т.ч. накопительной частью трудовой пенсии, которое осуществляется через государственную управляющую компанию (Внешэкономбанк)</w:t>
      </w:r>
      <w:r w:rsidR="00002F48">
        <w:rPr>
          <w:rFonts w:ascii="Times New Roman" w:eastAsia="Times New Roman" w:hAnsi="Times New Roman" w:cs="Times New Roman"/>
          <w:sz w:val="28"/>
          <w:szCs w:val="28"/>
        </w:rPr>
        <w:t xml:space="preserve"> и частные управляющие компании.</w:t>
      </w:r>
    </w:p>
    <w:p w:rsidR="00F75728" w:rsidRPr="00F75728" w:rsidRDefault="00F75728" w:rsidP="00F75728">
      <w:pPr>
        <w:spacing w:after="0" w:line="360" w:lineRule="auto"/>
        <w:ind w:firstLine="709"/>
        <w:jc w:val="both"/>
        <w:rPr>
          <w:rFonts w:ascii="Times New Roman" w:eastAsia="Times New Roman" w:hAnsi="Times New Roman" w:cs="Times New Roman"/>
          <w:sz w:val="28"/>
          <w:szCs w:val="28"/>
        </w:rPr>
      </w:pPr>
      <w:r w:rsidRPr="00F75728">
        <w:rPr>
          <w:rFonts w:ascii="Times New Roman" w:eastAsia="Times New Roman" w:hAnsi="Times New Roman" w:cs="Times New Roman"/>
          <w:sz w:val="28"/>
          <w:szCs w:val="28"/>
        </w:rPr>
        <w:t>На все вопросы о пенсионном обеспечении должны отвечать профессионалы, следовательно</w:t>
      </w:r>
      <w:r w:rsidR="003F5E55">
        <w:rPr>
          <w:rFonts w:ascii="Times New Roman" w:eastAsia="Times New Roman" w:hAnsi="Times New Roman" w:cs="Times New Roman"/>
          <w:sz w:val="28"/>
          <w:szCs w:val="28"/>
        </w:rPr>
        <w:t>,</w:t>
      </w:r>
      <w:r w:rsidRPr="00F75728">
        <w:rPr>
          <w:rFonts w:ascii="Times New Roman" w:eastAsia="Times New Roman" w:hAnsi="Times New Roman" w:cs="Times New Roman"/>
          <w:sz w:val="28"/>
          <w:szCs w:val="28"/>
        </w:rPr>
        <w:t xml:space="preserve"> обращаться следует</w:t>
      </w:r>
      <w:r w:rsidR="00EE3270">
        <w:rPr>
          <w:rFonts w:ascii="Times New Roman" w:eastAsia="Times New Roman" w:hAnsi="Times New Roman" w:cs="Times New Roman"/>
          <w:sz w:val="28"/>
          <w:szCs w:val="28"/>
        </w:rPr>
        <w:t>,</w:t>
      </w:r>
      <w:r w:rsidRPr="00F75728">
        <w:rPr>
          <w:rFonts w:ascii="Times New Roman" w:eastAsia="Times New Roman" w:hAnsi="Times New Roman" w:cs="Times New Roman"/>
          <w:sz w:val="28"/>
          <w:szCs w:val="28"/>
        </w:rPr>
        <w:t xml:space="preserve"> прежде всего</w:t>
      </w:r>
      <w:r w:rsidR="00EE3270">
        <w:rPr>
          <w:rFonts w:ascii="Times New Roman" w:eastAsia="Times New Roman" w:hAnsi="Times New Roman" w:cs="Times New Roman"/>
          <w:sz w:val="28"/>
          <w:szCs w:val="28"/>
        </w:rPr>
        <w:t>,</w:t>
      </w:r>
      <w:r w:rsidRPr="00F75728">
        <w:rPr>
          <w:rFonts w:ascii="Times New Roman" w:eastAsia="Times New Roman" w:hAnsi="Times New Roman" w:cs="Times New Roman"/>
          <w:sz w:val="28"/>
          <w:szCs w:val="28"/>
        </w:rPr>
        <w:t xml:space="preserve"> в Пенсионный Фонд Российской Федерации и региональные отделения Пенсионного фонда по месту жительства.</w:t>
      </w:r>
    </w:p>
    <w:p w:rsidR="00793A78" w:rsidRPr="006F43E9" w:rsidRDefault="00D764E0" w:rsidP="006F43E9">
      <w:pPr>
        <w:pStyle w:val="1"/>
        <w:spacing w:before="0" w:beforeAutospacing="0" w:after="0" w:afterAutospacing="0" w:line="360" w:lineRule="auto"/>
        <w:jc w:val="center"/>
        <w:rPr>
          <w:sz w:val="28"/>
          <w:szCs w:val="28"/>
        </w:rPr>
      </w:pPr>
      <w:bookmarkStart w:id="49" w:name="_Toc436074570"/>
      <w:r w:rsidRPr="006F43E9">
        <w:rPr>
          <w:sz w:val="28"/>
          <w:szCs w:val="28"/>
        </w:rPr>
        <w:lastRenderedPageBreak/>
        <w:t xml:space="preserve">СПИСОК </w:t>
      </w:r>
      <w:r>
        <w:rPr>
          <w:sz w:val="28"/>
          <w:szCs w:val="28"/>
        </w:rPr>
        <w:t xml:space="preserve">ИСПОЛЬЗОВАННОЙ </w:t>
      </w:r>
      <w:r w:rsidRPr="006F43E9">
        <w:rPr>
          <w:sz w:val="28"/>
          <w:szCs w:val="28"/>
        </w:rPr>
        <w:t>ЛИТЕРАТУРЫ</w:t>
      </w:r>
      <w:bookmarkEnd w:id="49"/>
    </w:p>
    <w:p w:rsidR="00034171" w:rsidRDefault="00034171" w:rsidP="003A2289">
      <w:pPr>
        <w:spacing w:after="0" w:line="360" w:lineRule="auto"/>
        <w:ind w:firstLine="709"/>
        <w:jc w:val="both"/>
        <w:rPr>
          <w:rFonts w:ascii="Times New Roman" w:hAnsi="Times New Roman" w:cs="Times New Roman"/>
          <w:sz w:val="28"/>
          <w:szCs w:val="28"/>
        </w:rPr>
      </w:pPr>
    </w:p>
    <w:p w:rsidR="003E598A" w:rsidRPr="003E598A" w:rsidRDefault="003E598A" w:rsidP="003E598A">
      <w:pPr>
        <w:spacing w:after="0" w:line="360" w:lineRule="auto"/>
        <w:jc w:val="both"/>
        <w:rPr>
          <w:rFonts w:ascii="Times New Roman" w:eastAsia="Times New Roman" w:hAnsi="Times New Roman" w:cs="Times New Roman"/>
          <w:sz w:val="28"/>
          <w:szCs w:val="28"/>
        </w:rPr>
      </w:pPr>
      <w:r w:rsidRPr="003E598A">
        <w:rPr>
          <w:rFonts w:ascii="Times New Roman" w:eastAsia="Times New Roman" w:hAnsi="Times New Roman" w:cs="Times New Roman"/>
          <w:sz w:val="28"/>
          <w:szCs w:val="28"/>
        </w:rPr>
        <w:t>1. Конституция Российской Федерации: принята всенародным голосованием 12 декабря 1993 г. (с учетом поправок, внесенных Законами РФ о поправках к Конституции РФ от 5 февраля 2014 г. № 2-ФКЗ) // Российская газета. – 1993. – 25 дек.; СЗ РФ. – 2014. – № 6. – Ст. 548.</w:t>
      </w:r>
    </w:p>
    <w:p w:rsidR="003E598A" w:rsidRPr="003E598A" w:rsidRDefault="003E598A" w:rsidP="003E598A">
      <w:pPr>
        <w:spacing w:after="0" w:line="360" w:lineRule="auto"/>
        <w:jc w:val="both"/>
        <w:rPr>
          <w:rFonts w:ascii="Times New Roman" w:eastAsia="Times New Roman" w:hAnsi="Times New Roman" w:cs="Times New Roman"/>
          <w:sz w:val="28"/>
          <w:szCs w:val="28"/>
        </w:rPr>
      </w:pPr>
      <w:r w:rsidRPr="003E598A">
        <w:rPr>
          <w:rFonts w:ascii="Times New Roman" w:eastAsia="Times New Roman" w:hAnsi="Times New Roman" w:cs="Times New Roman"/>
          <w:bCs/>
          <w:sz w:val="28"/>
          <w:szCs w:val="28"/>
        </w:rPr>
        <w:t xml:space="preserve">2. Гражданский кодекс Российской Федерации (часть первая) от 30 ноября 1994 г. № 51-ФЗ (с изм. от 5 мая 2014 г. № 99-ФЗ) // СЗ РФ.– 1994. </w:t>
      </w:r>
      <w:r w:rsidRPr="003E598A">
        <w:rPr>
          <w:rFonts w:ascii="Times New Roman" w:eastAsia="Times New Roman" w:hAnsi="Times New Roman" w:cs="Times New Roman"/>
          <w:sz w:val="28"/>
          <w:szCs w:val="28"/>
        </w:rPr>
        <w:t>– № 32. – Ст. 3301; 2014. – № 19. – Ст. 2304.</w:t>
      </w:r>
    </w:p>
    <w:p w:rsidR="003E598A" w:rsidRPr="003E598A" w:rsidRDefault="003E598A" w:rsidP="003E598A">
      <w:pPr>
        <w:spacing w:after="0" w:line="360" w:lineRule="auto"/>
        <w:jc w:val="both"/>
        <w:rPr>
          <w:rFonts w:ascii="Times New Roman" w:eastAsia="Times New Roman" w:hAnsi="Times New Roman" w:cs="Times New Roman"/>
          <w:sz w:val="28"/>
          <w:szCs w:val="28"/>
        </w:rPr>
      </w:pPr>
      <w:r w:rsidRPr="003E598A">
        <w:rPr>
          <w:rFonts w:ascii="Times New Roman" w:eastAsia="Times New Roman" w:hAnsi="Times New Roman" w:cs="Times New Roman"/>
          <w:bCs/>
          <w:sz w:val="28"/>
          <w:szCs w:val="28"/>
        </w:rPr>
        <w:t xml:space="preserve">3. Гражданский кодекс Российской Федерации (часть вторая) от 26 января 1996 г. № 14-ФЗ (с изм. от 28 декабря 2013 г. №416-ФЗ) // СЗ РФ. – </w:t>
      </w:r>
      <w:r w:rsidRPr="003E598A">
        <w:rPr>
          <w:rFonts w:ascii="Times New Roman" w:eastAsia="Times New Roman" w:hAnsi="Times New Roman" w:cs="Times New Roman"/>
          <w:sz w:val="28"/>
          <w:szCs w:val="28"/>
        </w:rPr>
        <w:t>1996.</w:t>
      </w:r>
    </w:p>
    <w:p w:rsidR="003E598A" w:rsidRPr="003E598A" w:rsidRDefault="003E598A" w:rsidP="003E598A">
      <w:pPr>
        <w:spacing w:after="0" w:line="360" w:lineRule="auto"/>
        <w:jc w:val="both"/>
        <w:rPr>
          <w:rFonts w:ascii="Times New Roman" w:eastAsia="Times New Roman" w:hAnsi="Times New Roman" w:cs="Times New Roman"/>
          <w:sz w:val="28"/>
          <w:szCs w:val="28"/>
        </w:rPr>
      </w:pPr>
      <w:r w:rsidRPr="003E598A">
        <w:rPr>
          <w:rFonts w:ascii="Times New Roman" w:eastAsia="Times New Roman" w:hAnsi="Times New Roman" w:cs="Times New Roman"/>
          <w:sz w:val="28"/>
          <w:szCs w:val="28"/>
        </w:rPr>
        <w:t>– № 5. – Ст. 410; 2013. – № 52 (ч. I). – Ст. 6981.</w:t>
      </w:r>
    </w:p>
    <w:p w:rsidR="003E598A" w:rsidRPr="003E598A" w:rsidRDefault="003E598A" w:rsidP="003E598A">
      <w:pPr>
        <w:pStyle w:val="a7"/>
        <w:shd w:val="clear" w:color="auto" w:fill="FFFFFF"/>
        <w:spacing w:before="0" w:beforeAutospacing="0" w:after="0" w:afterAutospacing="0" w:line="360" w:lineRule="auto"/>
        <w:jc w:val="both"/>
        <w:rPr>
          <w:sz w:val="28"/>
          <w:szCs w:val="28"/>
        </w:rPr>
      </w:pPr>
      <w:r>
        <w:rPr>
          <w:rStyle w:val="a8"/>
          <w:b w:val="0"/>
          <w:sz w:val="28"/>
          <w:szCs w:val="28"/>
        </w:rPr>
        <w:t>4</w:t>
      </w:r>
      <w:r w:rsidRPr="003E598A">
        <w:rPr>
          <w:rStyle w:val="a8"/>
          <w:b w:val="0"/>
          <w:sz w:val="28"/>
          <w:szCs w:val="28"/>
        </w:rPr>
        <w:t xml:space="preserve">. Федеральный закон от 7 мая 1998 г. № 75-ФЗ «О негосударственных пенсионных фондах» (с изм. от 12 марта 2014 г. № 33-ФЗ) // СЗ РФ. </w:t>
      </w:r>
      <w:r w:rsidRPr="003E598A">
        <w:rPr>
          <w:sz w:val="28"/>
          <w:szCs w:val="28"/>
        </w:rPr>
        <w:t>– 1988. – № 19. – Ст. 2071; 2014. – № 11. – Ст. 1098.</w:t>
      </w:r>
    </w:p>
    <w:p w:rsidR="003E598A" w:rsidRPr="003E598A" w:rsidRDefault="003E598A" w:rsidP="003E598A">
      <w:pPr>
        <w:pStyle w:val="a7"/>
        <w:shd w:val="clear" w:color="auto" w:fill="FFFFFF"/>
        <w:spacing w:before="0" w:beforeAutospacing="0" w:after="0" w:afterAutospacing="0" w:line="360" w:lineRule="auto"/>
        <w:jc w:val="both"/>
        <w:rPr>
          <w:sz w:val="28"/>
          <w:szCs w:val="28"/>
        </w:rPr>
      </w:pPr>
      <w:r>
        <w:rPr>
          <w:rStyle w:val="a8"/>
          <w:b w:val="0"/>
          <w:sz w:val="28"/>
          <w:szCs w:val="28"/>
        </w:rPr>
        <w:t>5</w:t>
      </w:r>
      <w:r w:rsidRPr="003E598A">
        <w:rPr>
          <w:rStyle w:val="a8"/>
          <w:b w:val="0"/>
          <w:sz w:val="28"/>
          <w:szCs w:val="28"/>
        </w:rPr>
        <w:t xml:space="preserve">. Федеральный закон от 23 июля 2013 г. № 211-ФЗ «О внесении изменений в Федеральный закон “О негосударственных пенсионных фондах” </w:t>
      </w:r>
      <w:r w:rsidRPr="003E598A">
        <w:rPr>
          <w:sz w:val="28"/>
          <w:szCs w:val="28"/>
        </w:rPr>
        <w:t>и отдельные законодательные акты Российской Федерации» // СЗ РФ. – 2013. – № 30 (ч. I). – Ст. 4044.</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6</w:t>
      </w:r>
      <w:r w:rsidRPr="009A49C6">
        <w:rPr>
          <w:sz w:val="28"/>
          <w:szCs w:val="28"/>
        </w:rPr>
        <w:t>. Афанасьев М.В. О современном этапе реформирования пенсионной системы в Российской Федерации: текущее состояние и проблемы: Аналитическая записка // Институт Комплексных Стратегических Исследований.</w:t>
      </w:r>
      <w:r>
        <w:rPr>
          <w:sz w:val="28"/>
          <w:szCs w:val="28"/>
        </w:rPr>
        <w:t xml:space="preserve"> </w:t>
      </w:r>
      <w:r w:rsidRPr="009A49C6">
        <w:rPr>
          <w:sz w:val="28"/>
          <w:szCs w:val="28"/>
        </w:rPr>
        <w:t>20</w:t>
      </w:r>
      <w:r w:rsidR="001A4932">
        <w:rPr>
          <w:sz w:val="28"/>
          <w:szCs w:val="28"/>
        </w:rPr>
        <w:t>14</w:t>
      </w:r>
      <w:r w:rsidRPr="009A49C6">
        <w:rPr>
          <w:sz w:val="28"/>
          <w:szCs w:val="28"/>
        </w:rPr>
        <w:t>.</w:t>
      </w:r>
      <w:r>
        <w:rPr>
          <w:sz w:val="28"/>
          <w:szCs w:val="28"/>
        </w:rPr>
        <w:t xml:space="preserve"> №12. </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7</w:t>
      </w:r>
      <w:r w:rsidRPr="009A49C6">
        <w:rPr>
          <w:sz w:val="28"/>
          <w:szCs w:val="28"/>
        </w:rPr>
        <w:t xml:space="preserve">. Баскаков В.Н. Макроэкономические аспекты реформирования пенсионной системы. </w:t>
      </w:r>
      <w:r>
        <w:rPr>
          <w:sz w:val="28"/>
          <w:szCs w:val="28"/>
        </w:rPr>
        <w:t>–</w:t>
      </w:r>
      <w:r w:rsidRPr="009A49C6">
        <w:rPr>
          <w:sz w:val="28"/>
          <w:szCs w:val="28"/>
        </w:rPr>
        <w:t xml:space="preserve"> </w:t>
      </w:r>
      <w:r>
        <w:rPr>
          <w:sz w:val="28"/>
          <w:szCs w:val="28"/>
        </w:rPr>
        <w:t xml:space="preserve">М.: </w:t>
      </w:r>
      <w:r w:rsidRPr="009A49C6">
        <w:rPr>
          <w:sz w:val="28"/>
          <w:szCs w:val="28"/>
        </w:rPr>
        <w:t>Страховое ревю, 20</w:t>
      </w:r>
      <w:r w:rsidR="001A4932">
        <w:rPr>
          <w:sz w:val="28"/>
          <w:szCs w:val="28"/>
        </w:rPr>
        <w:t>1</w:t>
      </w:r>
      <w:r w:rsidR="00C13B2F">
        <w:rPr>
          <w:sz w:val="28"/>
          <w:szCs w:val="28"/>
        </w:rPr>
        <w:t>4</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8</w:t>
      </w:r>
      <w:r w:rsidRPr="009A49C6">
        <w:rPr>
          <w:sz w:val="28"/>
          <w:szCs w:val="28"/>
        </w:rPr>
        <w:t xml:space="preserve">. Бровчак С.В. Пенсионное обеспечение. Российский и зарубежный опыт. </w:t>
      </w:r>
      <w:r>
        <w:rPr>
          <w:sz w:val="28"/>
          <w:szCs w:val="28"/>
        </w:rPr>
        <w:t>–</w:t>
      </w:r>
      <w:r w:rsidRPr="009A49C6">
        <w:rPr>
          <w:sz w:val="28"/>
          <w:szCs w:val="28"/>
        </w:rPr>
        <w:t xml:space="preserve"> </w:t>
      </w:r>
      <w:r>
        <w:rPr>
          <w:sz w:val="28"/>
          <w:szCs w:val="28"/>
        </w:rPr>
        <w:t xml:space="preserve">М., </w:t>
      </w:r>
      <w:r w:rsidRPr="009A49C6">
        <w:rPr>
          <w:sz w:val="28"/>
          <w:szCs w:val="28"/>
        </w:rPr>
        <w:t>20</w:t>
      </w:r>
      <w:r w:rsidR="001A4932">
        <w:rPr>
          <w:sz w:val="28"/>
          <w:szCs w:val="28"/>
        </w:rPr>
        <w:t>11</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9</w:t>
      </w:r>
      <w:r w:rsidRPr="009A49C6">
        <w:rPr>
          <w:sz w:val="28"/>
          <w:szCs w:val="28"/>
        </w:rPr>
        <w:t>. Воронин Ю.В. Комментарий к пенсионному законодательству Росси</w:t>
      </w:r>
      <w:r>
        <w:rPr>
          <w:sz w:val="28"/>
          <w:szCs w:val="28"/>
        </w:rPr>
        <w:t>йской Федерации. – М.:</w:t>
      </w:r>
      <w:r w:rsidR="007C5494">
        <w:rPr>
          <w:sz w:val="28"/>
          <w:szCs w:val="28"/>
        </w:rPr>
        <w:t xml:space="preserve"> </w:t>
      </w:r>
      <w:r>
        <w:rPr>
          <w:sz w:val="28"/>
          <w:szCs w:val="28"/>
        </w:rPr>
        <w:t>Норма, 201</w:t>
      </w:r>
      <w:r w:rsidR="00C13B2F">
        <w:rPr>
          <w:sz w:val="28"/>
          <w:szCs w:val="28"/>
        </w:rPr>
        <w:t>6</w:t>
      </w:r>
      <w:r>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lastRenderedPageBreak/>
        <w:t>10</w:t>
      </w:r>
      <w:r w:rsidRPr="009A49C6">
        <w:rPr>
          <w:sz w:val="28"/>
          <w:szCs w:val="28"/>
        </w:rPr>
        <w:t xml:space="preserve">. Грудцина Л.А. История пенсионной системы в России. </w:t>
      </w:r>
      <w:r>
        <w:rPr>
          <w:sz w:val="28"/>
          <w:szCs w:val="28"/>
        </w:rPr>
        <w:t>–</w:t>
      </w:r>
      <w:r w:rsidRPr="009A49C6">
        <w:rPr>
          <w:sz w:val="28"/>
          <w:szCs w:val="28"/>
        </w:rPr>
        <w:t xml:space="preserve"> </w:t>
      </w:r>
      <w:r>
        <w:rPr>
          <w:sz w:val="28"/>
          <w:szCs w:val="28"/>
        </w:rPr>
        <w:t xml:space="preserve">М.: </w:t>
      </w:r>
      <w:r w:rsidRPr="009A49C6">
        <w:rPr>
          <w:sz w:val="28"/>
          <w:szCs w:val="28"/>
        </w:rPr>
        <w:t>Адвокат, 20</w:t>
      </w:r>
      <w:r w:rsidR="001A4932">
        <w:rPr>
          <w:sz w:val="28"/>
          <w:szCs w:val="28"/>
        </w:rPr>
        <w:t>12</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11</w:t>
      </w:r>
      <w:r w:rsidRPr="009A49C6">
        <w:rPr>
          <w:sz w:val="28"/>
          <w:szCs w:val="28"/>
        </w:rPr>
        <w:t>. Зырянова К.М. Зарубежный и отечественный опыт р</w:t>
      </w:r>
      <w:r w:rsidR="007C5494">
        <w:rPr>
          <w:sz w:val="28"/>
          <w:szCs w:val="28"/>
        </w:rPr>
        <w:t>егулирования пенсионной системы</w:t>
      </w:r>
      <w:r w:rsidRPr="009A49C6">
        <w:rPr>
          <w:sz w:val="28"/>
          <w:szCs w:val="28"/>
        </w:rPr>
        <w:t xml:space="preserve"> // Бухгалтерский учет в бюджетных и некоммерческих организациях. 20</w:t>
      </w:r>
      <w:r>
        <w:rPr>
          <w:sz w:val="28"/>
          <w:szCs w:val="28"/>
        </w:rPr>
        <w:t>1</w:t>
      </w:r>
      <w:r w:rsidR="001A4932">
        <w:rPr>
          <w:sz w:val="28"/>
          <w:szCs w:val="28"/>
        </w:rPr>
        <w:t>4</w:t>
      </w:r>
      <w:r w:rsidRPr="009A49C6">
        <w:rPr>
          <w:sz w:val="28"/>
          <w:szCs w:val="28"/>
        </w:rPr>
        <w:t xml:space="preserve">. №3. </w:t>
      </w:r>
    </w:p>
    <w:p w:rsidR="00034171" w:rsidRPr="00341FA9" w:rsidRDefault="00034171" w:rsidP="00034171">
      <w:pPr>
        <w:pStyle w:val="a7"/>
        <w:shd w:val="clear" w:color="auto" w:fill="FFFFFF"/>
        <w:spacing w:before="0" w:beforeAutospacing="0" w:after="0" w:afterAutospacing="0" w:line="360" w:lineRule="auto"/>
        <w:jc w:val="both"/>
        <w:rPr>
          <w:sz w:val="28"/>
          <w:szCs w:val="28"/>
        </w:rPr>
      </w:pPr>
      <w:r>
        <w:rPr>
          <w:sz w:val="28"/>
          <w:szCs w:val="28"/>
        </w:rPr>
        <w:t>1</w:t>
      </w:r>
      <w:r w:rsidRPr="009A49C6">
        <w:rPr>
          <w:sz w:val="28"/>
          <w:szCs w:val="28"/>
        </w:rPr>
        <w:t>2. Кот Е.М. Эволюция пенсионной системы: тенденции и перспективы развития в условиях социально-ориентированной рыночной экономики.// Бухгалтерский учет в бюджетных и некоммерческих организациях. 20</w:t>
      </w:r>
      <w:r>
        <w:rPr>
          <w:sz w:val="28"/>
          <w:szCs w:val="28"/>
        </w:rPr>
        <w:t>1</w:t>
      </w:r>
      <w:r w:rsidR="001A4932">
        <w:rPr>
          <w:sz w:val="28"/>
          <w:szCs w:val="28"/>
        </w:rPr>
        <w:t>4</w:t>
      </w:r>
      <w:r w:rsidR="00335767">
        <w:rPr>
          <w:sz w:val="28"/>
          <w:szCs w:val="28"/>
        </w:rPr>
        <w:t xml:space="preserve">. </w:t>
      </w:r>
    </w:p>
    <w:p w:rsidR="00034171" w:rsidRPr="00341FA9" w:rsidRDefault="00034171" w:rsidP="00034171">
      <w:pPr>
        <w:pStyle w:val="a7"/>
        <w:shd w:val="clear" w:color="auto" w:fill="FFFFFF"/>
        <w:spacing w:before="0" w:beforeAutospacing="0" w:after="0" w:afterAutospacing="0" w:line="360" w:lineRule="auto"/>
        <w:jc w:val="both"/>
        <w:rPr>
          <w:sz w:val="28"/>
          <w:szCs w:val="28"/>
        </w:rPr>
      </w:pPr>
      <w:r>
        <w:rPr>
          <w:sz w:val="28"/>
          <w:szCs w:val="28"/>
        </w:rPr>
        <w:t>13</w:t>
      </w:r>
      <w:r w:rsidRPr="009A49C6">
        <w:rPr>
          <w:sz w:val="28"/>
          <w:szCs w:val="28"/>
        </w:rPr>
        <w:t>. Куртин А</w:t>
      </w:r>
      <w:r>
        <w:rPr>
          <w:sz w:val="28"/>
          <w:szCs w:val="28"/>
        </w:rPr>
        <w:t xml:space="preserve">.В. О Пенсионной системе России </w:t>
      </w:r>
      <w:r w:rsidRPr="009A49C6">
        <w:rPr>
          <w:sz w:val="28"/>
          <w:szCs w:val="28"/>
        </w:rPr>
        <w:t>// Пенсионные деньги. 20</w:t>
      </w:r>
      <w:r w:rsidR="007C5494">
        <w:rPr>
          <w:sz w:val="28"/>
          <w:szCs w:val="28"/>
        </w:rPr>
        <w:t>1</w:t>
      </w:r>
      <w:r w:rsidR="00C13B2F">
        <w:rPr>
          <w:sz w:val="28"/>
          <w:szCs w:val="28"/>
        </w:rPr>
        <w:t>5</w:t>
      </w:r>
      <w:r>
        <w:rPr>
          <w:sz w:val="28"/>
          <w:szCs w:val="28"/>
        </w:rPr>
        <w:t>.</w:t>
      </w:r>
      <w:r w:rsidR="00335767">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14</w:t>
      </w:r>
      <w:r w:rsidRPr="009A49C6">
        <w:rPr>
          <w:sz w:val="28"/>
          <w:szCs w:val="28"/>
        </w:rPr>
        <w:t>. Люблин Ю.З. Российская пенсионная реформа: проблемы, противоречия, перспективы // Человек и труд. 20</w:t>
      </w:r>
      <w:r>
        <w:rPr>
          <w:sz w:val="28"/>
          <w:szCs w:val="28"/>
        </w:rPr>
        <w:t>1</w:t>
      </w:r>
      <w:r w:rsidR="001A4932">
        <w:rPr>
          <w:sz w:val="28"/>
          <w:szCs w:val="28"/>
        </w:rPr>
        <w:t>4</w:t>
      </w:r>
      <w:r w:rsidRPr="009A49C6">
        <w:rPr>
          <w:sz w:val="28"/>
          <w:szCs w:val="28"/>
        </w:rPr>
        <w:t xml:space="preserve">. №12.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15</w:t>
      </w:r>
      <w:r w:rsidRPr="009A49C6">
        <w:rPr>
          <w:sz w:val="28"/>
          <w:szCs w:val="28"/>
        </w:rPr>
        <w:t>. Люлев Ю.Д. Российская пенсионная система и пути ее реформирования //</w:t>
      </w:r>
      <w:r w:rsidR="007C5494">
        <w:rPr>
          <w:sz w:val="28"/>
          <w:szCs w:val="28"/>
        </w:rPr>
        <w:t xml:space="preserve"> </w:t>
      </w:r>
      <w:r w:rsidRPr="009A49C6">
        <w:rPr>
          <w:sz w:val="28"/>
          <w:szCs w:val="28"/>
        </w:rPr>
        <w:t>Вопросы экономики. 20</w:t>
      </w:r>
      <w:r w:rsidR="001A4932">
        <w:rPr>
          <w:sz w:val="28"/>
          <w:szCs w:val="28"/>
        </w:rPr>
        <w:t>1</w:t>
      </w:r>
      <w:r w:rsidR="00C13B2F">
        <w:rPr>
          <w:sz w:val="28"/>
          <w:szCs w:val="28"/>
        </w:rPr>
        <w:t>6</w:t>
      </w:r>
      <w:r w:rsidRPr="009A49C6">
        <w:rPr>
          <w:sz w:val="28"/>
          <w:szCs w:val="28"/>
        </w:rPr>
        <w:t xml:space="preserve">. №8.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16</w:t>
      </w:r>
      <w:r w:rsidRPr="009A49C6">
        <w:rPr>
          <w:sz w:val="28"/>
          <w:szCs w:val="28"/>
        </w:rPr>
        <w:t>. Малева Т.М. Пенсионная реформа в России: История, результаты, перспективы. - М., 20</w:t>
      </w:r>
      <w:r>
        <w:rPr>
          <w:sz w:val="28"/>
          <w:szCs w:val="28"/>
        </w:rPr>
        <w:t>1</w:t>
      </w:r>
      <w:r w:rsidR="00C13B2F">
        <w:rPr>
          <w:sz w:val="28"/>
          <w:szCs w:val="28"/>
        </w:rPr>
        <w:t>5</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17</w:t>
      </w:r>
      <w:r w:rsidRPr="009A49C6">
        <w:rPr>
          <w:sz w:val="28"/>
          <w:szCs w:val="28"/>
        </w:rPr>
        <w:t xml:space="preserve">. Панков Ю.В. Пенсионная система Российской Федерации. </w:t>
      </w:r>
      <w:r>
        <w:rPr>
          <w:sz w:val="28"/>
          <w:szCs w:val="28"/>
        </w:rPr>
        <w:t>–</w:t>
      </w:r>
      <w:r w:rsidRPr="009A49C6">
        <w:rPr>
          <w:sz w:val="28"/>
          <w:szCs w:val="28"/>
        </w:rPr>
        <w:t xml:space="preserve"> </w:t>
      </w:r>
      <w:r>
        <w:rPr>
          <w:sz w:val="28"/>
          <w:szCs w:val="28"/>
        </w:rPr>
        <w:t xml:space="preserve">М.: </w:t>
      </w:r>
      <w:r w:rsidRPr="009A49C6">
        <w:rPr>
          <w:sz w:val="28"/>
          <w:szCs w:val="28"/>
        </w:rPr>
        <w:t>Самиздат, 20</w:t>
      </w:r>
      <w:r w:rsidR="001A4932">
        <w:rPr>
          <w:sz w:val="28"/>
          <w:szCs w:val="28"/>
        </w:rPr>
        <w:t>1</w:t>
      </w:r>
      <w:r w:rsidR="00C13B2F">
        <w:rPr>
          <w:sz w:val="28"/>
          <w:szCs w:val="28"/>
        </w:rPr>
        <w:t>6</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18</w:t>
      </w:r>
      <w:r w:rsidRPr="009A49C6">
        <w:rPr>
          <w:sz w:val="28"/>
          <w:szCs w:val="28"/>
        </w:rPr>
        <w:t xml:space="preserve">. Роик В.Д. Пенсионная система России. История, проблемы и пути совершенствования. </w:t>
      </w:r>
      <w:r>
        <w:rPr>
          <w:sz w:val="28"/>
          <w:szCs w:val="28"/>
        </w:rPr>
        <w:t>–</w:t>
      </w:r>
      <w:r w:rsidRPr="009A49C6">
        <w:rPr>
          <w:sz w:val="28"/>
          <w:szCs w:val="28"/>
        </w:rPr>
        <w:t xml:space="preserve"> </w:t>
      </w:r>
      <w:r>
        <w:rPr>
          <w:sz w:val="28"/>
          <w:szCs w:val="28"/>
        </w:rPr>
        <w:t xml:space="preserve">М.: </w:t>
      </w:r>
      <w:r w:rsidRPr="009A49C6">
        <w:rPr>
          <w:sz w:val="28"/>
          <w:szCs w:val="28"/>
        </w:rPr>
        <w:t>МИК, 20</w:t>
      </w:r>
      <w:r>
        <w:rPr>
          <w:sz w:val="28"/>
          <w:szCs w:val="28"/>
        </w:rPr>
        <w:t>1</w:t>
      </w:r>
      <w:r w:rsidR="00C13B2F">
        <w:rPr>
          <w:sz w:val="28"/>
          <w:szCs w:val="28"/>
        </w:rPr>
        <w:t>5</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19</w:t>
      </w:r>
      <w:r w:rsidRPr="009A49C6">
        <w:rPr>
          <w:sz w:val="28"/>
          <w:szCs w:val="28"/>
        </w:rPr>
        <w:t xml:space="preserve">. Соловьев А. К. Экономика пенсионного страхования. </w:t>
      </w:r>
      <w:r>
        <w:rPr>
          <w:sz w:val="28"/>
          <w:szCs w:val="28"/>
        </w:rPr>
        <w:t xml:space="preserve">- </w:t>
      </w:r>
      <w:r w:rsidRPr="009A49C6">
        <w:rPr>
          <w:sz w:val="28"/>
          <w:szCs w:val="28"/>
        </w:rPr>
        <w:t>М.:</w:t>
      </w:r>
      <w:r>
        <w:rPr>
          <w:sz w:val="28"/>
          <w:szCs w:val="28"/>
        </w:rPr>
        <w:t xml:space="preserve"> </w:t>
      </w:r>
      <w:r w:rsidRPr="009A49C6">
        <w:rPr>
          <w:sz w:val="28"/>
          <w:szCs w:val="28"/>
        </w:rPr>
        <w:t>ЮНИТИ-ДАНА, 20</w:t>
      </w:r>
      <w:r w:rsidR="001A4932">
        <w:rPr>
          <w:sz w:val="28"/>
          <w:szCs w:val="28"/>
        </w:rPr>
        <w:t>12</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20</w:t>
      </w:r>
      <w:r w:rsidRPr="009A49C6">
        <w:rPr>
          <w:sz w:val="28"/>
          <w:szCs w:val="28"/>
        </w:rPr>
        <w:t xml:space="preserve">. Степанов А.Г. Комментарий к Федеральному Закону О государственном пенсионном обеспечении в Российской Федерации. </w:t>
      </w:r>
      <w:r>
        <w:rPr>
          <w:sz w:val="28"/>
          <w:szCs w:val="28"/>
        </w:rPr>
        <w:t xml:space="preserve">- </w:t>
      </w:r>
      <w:r w:rsidRPr="009A49C6">
        <w:rPr>
          <w:sz w:val="28"/>
          <w:szCs w:val="28"/>
        </w:rPr>
        <w:t>М., 20</w:t>
      </w:r>
      <w:r w:rsidR="001A4932">
        <w:rPr>
          <w:sz w:val="28"/>
          <w:szCs w:val="28"/>
        </w:rPr>
        <w:t>11</w:t>
      </w:r>
      <w:r>
        <w:rPr>
          <w:sz w:val="28"/>
          <w:szCs w:val="28"/>
        </w:rPr>
        <w:t>.</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21</w:t>
      </w:r>
      <w:r w:rsidRPr="009A49C6">
        <w:rPr>
          <w:sz w:val="28"/>
          <w:szCs w:val="28"/>
        </w:rPr>
        <w:t xml:space="preserve">. Федотов Д. Ю. Негосударственные пенсионные фонды России. </w:t>
      </w:r>
      <w:r>
        <w:rPr>
          <w:sz w:val="28"/>
          <w:szCs w:val="28"/>
        </w:rPr>
        <w:t>– М.:</w:t>
      </w:r>
      <w:r w:rsidR="00D764E0">
        <w:rPr>
          <w:sz w:val="28"/>
          <w:szCs w:val="28"/>
        </w:rPr>
        <w:t xml:space="preserve"> </w:t>
      </w:r>
      <w:r w:rsidRPr="009A49C6">
        <w:rPr>
          <w:sz w:val="28"/>
          <w:szCs w:val="28"/>
        </w:rPr>
        <w:t>ИГЭА, 20</w:t>
      </w:r>
      <w:r w:rsidR="001A4932">
        <w:rPr>
          <w:sz w:val="28"/>
          <w:szCs w:val="28"/>
        </w:rPr>
        <w:t>1</w:t>
      </w:r>
      <w:r w:rsidR="00C13B2F">
        <w:rPr>
          <w:sz w:val="28"/>
          <w:szCs w:val="28"/>
        </w:rPr>
        <w:t>5</w:t>
      </w:r>
      <w:r w:rsidRPr="009A49C6">
        <w:rPr>
          <w:sz w:val="28"/>
          <w:szCs w:val="28"/>
        </w:rPr>
        <w:t xml:space="preserve">. </w:t>
      </w:r>
    </w:p>
    <w:p w:rsidR="00034171" w:rsidRPr="009A49C6" w:rsidRDefault="00034171" w:rsidP="00034171">
      <w:pPr>
        <w:pStyle w:val="a7"/>
        <w:shd w:val="clear" w:color="auto" w:fill="FFFFFF"/>
        <w:spacing w:before="0" w:beforeAutospacing="0" w:after="0" w:afterAutospacing="0" w:line="360" w:lineRule="auto"/>
        <w:jc w:val="both"/>
        <w:rPr>
          <w:sz w:val="28"/>
          <w:szCs w:val="28"/>
        </w:rPr>
      </w:pPr>
      <w:r>
        <w:rPr>
          <w:sz w:val="28"/>
          <w:szCs w:val="28"/>
        </w:rPr>
        <w:t>22</w:t>
      </w:r>
      <w:r w:rsidRPr="009A49C6">
        <w:rPr>
          <w:sz w:val="28"/>
          <w:szCs w:val="28"/>
        </w:rPr>
        <w:t>. Финогенова Ю. Ю. Финансирование негосударственной пенсии и сохранность дополнительных пенсионных накоплений</w:t>
      </w:r>
      <w:r>
        <w:rPr>
          <w:sz w:val="28"/>
          <w:szCs w:val="28"/>
        </w:rPr>
        <w:t xml:space="preserve"> </w:t>
      </w:r>
      <w:r w:rsidRPr="009A49C6">
        <w:rPr>
          <w:sz w:val="28"/>
          <w:szCs w:val="28"/>
        </w:rPr>
        <w:t>// Финансовый менеджмент. 20</w:t>
      </w:r>
      <w:r>
        <w:rPr>
          <w:sz w:val="28"/>
          <w:szCs w:val="28"/>
        </w:rPr>
        <w:t>1</w:t>
      </w:r>
      <w:r w:rsidR="001A4932">
        <w:rPr>
          <w:sz w:val="28"/>
          <w:szCs w:val="28"/>
        </w:rPr>
        <w:t>5</w:t>
      </w:r>
      <w:r w:rsidRPr="009A49C6">
        <w:rPr>
          <w:sz w:val="28"/>
          <w:szCs w:val="28"/>
        </w:rPr>
        <w:t xml:space="preserve">. №2. </w:t>
      </w:r>
    </w:p>
    <w:p w:rsidR="00034171" w:rsidRPr="00335767" w:rsidRDefault="00034171" w:rsidP="00335767">
      <w:pPr>
        <w:pStyle w:val="a7"/>
        <w:shd w:val="clear" w:color="auto" w:fill="FFFFFF"/>
        <w:spacing w:before="0" w:beforeAutospacing="0" w:after="0" w:afterAutospacing="0" w:line="360" w:lineRule="auto"/>
        <w:jc w:val="both"/>
        <w:rPr>
          <w:sz w:val="28"/>
          <w:szCs w:val="28"/>
          <w:lang w:val="en-US"/>
        </w:rPr>
      </w:pPr>
      <w:r w:rsidRPr="009A49C6">
        <w:rPr>
          <w:sz w:val="28"/>
          <w:szCs w:val="28"/>
        </w:rPr>
        <w:t>2</w:t>
      </w:r>
      <w:r>
        <w:rPr>
          <w:sz w:val="28"/>
          <w:szCs w:val="28"/>
        </w:rPr>
        <w:t>3</w:t>
      </w:r>
      <w:r w:rsidRPr="009A49C6">
        <w:rPr>
          <w:sz w:val="28"/>
          <w:szCs w:val="28"/>
        </w:rPr>
        <w:t>. Официальный сайт Пенсионного Фонда Российской Федерации www.pfrrf.ru.</w:t>
      </w:r>
    </w:p>
    <w:sectPr w:rsidR="00034171" w:rsidRPr="00335767" w:rsidSect="00900C46">
      <w:footerReference w:type="defaul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0CD" w:rsidRDefault="00EA40CD" w:rsidP="00793A78">
      <w:pPr>
        <w:spacing w:after="0" w:line="240" w:lineRule="auto"/>
      </w:pPr>
      <w:r>
        <w:separator/>
      </w:r>
    </w:p>
  </w:endnote>
  <w:endnote w:type="continuationSeparator" w:id="0">
    <w:p w:rsidR="00EA40CD" w:rsidRDefault="00EA40CD" w:rsidP="00793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5984"/>
    </w:sdtPr>
    <w:sdtEndPr/>
    <w:sdtContent>
      <w:p w:rsidR="00793A78" w:rsidRDefault="000F3894">
        <w:pPr>
          <w:pStyle w:val="a5"/>
          <w:jc w:val="center"/>
        </w:pPr>
        <w:r>
          <w:fldChar w:fldCharType="begin"/>
        </w:r>
        <w:r>
          <w:instrText xml:space="preserve"> PAGE   \* MERGEFORMAT </w:instrText>
        </w:r>
        <w:r>
          <w:fldChar w:fldCharType="separate"/>
        </w:r>
        <w:r w:rsidR="007104BD">
          <w:rPr>
            <w:noProof/>
          </w:rPr>
          <w:t>2</w:t>
        </w:r>
        <w:r>
          <w:rPr>
            <w:noProof/>
          </w:rPr>
          <w:fldChar w:fldCharType="end"/>
        </w:r>
      </w:p>
    </w:sdtContent>
  </w:sdt>
  <w:p w:rsidR="00793A78" w:rsidRDefault="00793A7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0CD" w:rsidRDefault="00EA40CD" w:rsidP="00793A78">
      <w:pPr>
        <w:spacing w:after="0" w:line="240" w:lineRule="auto"/>
      </w:pPr>
      <w:r>
        <w:separator/>
      </w:r>
    </w:p>
  </w:footnote>
  <w:footnote w:type="continuationSeparator" w:id="0">
    <w:p w:rsidR="00EA40CD" w:rsidRDefault="00EA40CD" w:rsidP="00793A78">
      <w:pPr>
        <w:spacing w:after="0" w:line="240" w:lineRule="auto"/>
      </w:pPr>
      <w:r>
        <w:continuationSeparator/>
      </w:r>
    </w:p>
  </w:footnote>
  <w:footnote w:id="1">
    <w:p w:rsidR="007C5494" w:rsidRPr="003167BD" w:rsidRDefault="007C5494" w:rsidP="003167BD">
      <w:pPr>
        <w:pStyle w:val="ab"/>
        <w:spacing w:line="240" w:lineRule="auto"/>
        <w:jc w:val="both"/>
      </w:pPr>
      <w:r w:rsidRPr="003167BD">
        <w:rPr>
          <w:rStyle w:val="ad"/>
        </w:rPr>
        <w:footnoteRef/>
      </w:r>
      <w:r w:rsidRPr="003167BD">
        <w:t xml:space="preserve"> Куртин А.В. О Пенсионной системе России // Пенсионные деньги. 2012. № 1. – С. 84-89.</w:t>
      </w:r>
    </w:p>
  </w:footnote>
  <w:footnote w:id="2">
    <w:p w:rsidR="007C5494" w:rsidRPr="003167BD" w:rsidRDefault="007C5494" w:rsidP="003167BD">
      <w:pPr>
        <w:pStyle w:val="ab"/>
        <w:spacing w:line="240" w:lineRule="auto"/>
        <w:jc w:val="both"/>
      </w:pPr>
      <w:r w:rsidRPr="003167BD">
        <w:rPr>
          <w:rStyle w:val="ad"/>
        </w:rPr>
        <w:footnoteRef/>
      </w:r>
      <w:r w:rsidRPr="003167BD">
        <w:t xml:space="preserve"> Кот Е.М. Эволюция пенсионной системы: тенденции и перспективы развития в условиях социально-ориентированной рыночной экономики.// Бухгалтерский учет в бюджетных и некоммерческих организациях. 2014. №11. – С. 39-41.</w:t>
      </w:r>
    </w:p>
  </w:footnote>
  <w:footnote w:id="3">
    <w:p w:rsidR="007C5494" w:rsidRPr="003167BD" w:rsidRDefault="007C5494" w:rsidP="003167BD">
      <w:pPr>
        <w:pStyle w:val="ab"/>
        <w:spacing w:line="240" w:lineRule="auto"/>
        <w:jc w:val="both"/>
      </w:pPr>
      <w:r w:rsidRPr="003167BD">
        <w:rPr>
          <w:rStyle w:val="ad"/>
        </w:rPr>
        <w:footnoteRef/>
      </w:r>
      <w:r w:rsidRPr="003167BD">
        <w:t xml:space="preserve"> Панков Ю.В. Пенсионная система Российской Федерации. – М.: Самиздат, 2011. – 152 с.</w:t>
      </w:r>
    </w:p>
  </w:footnote>
  <w:footnote w:id="4">
    <w:p w:rsidR="007C5494" w:rsidRPr="003167BD" w:rsidRDefault="007C5494" w:rsidP="003167BD">
      <w:pPr>
        <w:pStyle w:val="ab"/>
        <w:spacing w:line="240" w:lineRule="auto"/>
        <w:jc w:val="both"/>
      </w:pPr>
      <w:r w:rsidRPr="003167BD">
        <w:rPr>
          <w:rStyle w:val="ad"/>
        </w:rPr>
        <w:footnoteRef/>
      </w:r>
      <w:r w:rsidRPr="003167BD">
        <w:t xml:space="preserve"> Люлев Ю.Д. Российская пенсионная система и пути ее реформирования // Вопросы экономики. 2013. №8. – С. 3-8.</w:t>
      </w:r>
    </w:p>
  </w:footnote>
  <w:footnote w:id="5">
    <w:p w:rsidR="007C5494" w:rsidRPr="003167BD" w:rsidRDefault="007C5494" w:rsidP="003167BD">
      <w:pPr>
        <w:pStyle w:val="ab"/>
        <w:spacing w:line="240" w:lineRule="auto"/>
        <w:jc w:val="both"/>
      </w:pPr>
      <w:r w:rsidRPr="003167BD">
        <w:rPr>
          <w:rStyle w:val="ad"/>
        </w:rPr>
        <w:footnoteRef/>
      </w:r>
      <w:r w:rsidRPr="003167BD">
        <w:t xml:space="preserve"> Баскаков В.Н. Макроэкономические аспекты реформирования пенсионной системы. – М.: Страховое ревю, 2012. – 256 с.</w:t>
      </w:r>
    </w:p>
  </w:footnote>
  <w:footnote w:id="6">
    <w:p w:rsidR="007C5494" w:rsidRPr="003167BD" w:rsidRDefault="007C5494" w:rsidP="003167BD">
      <w:pPr>
        <w:pStyle w:val="ab"/>
        <w:spacing w:line="240" w:lineRule="auto"/>
        <w:jc w:val="both"/>
      </w:pPr>
      <w:r w:rsidRPr="003167BD">
        <w:rPr>
          <w:rStyle w:val="ad"/>
        </w:rPr>
        <w:footnoteRef/>
      </w:r>
      <w:r w:rsidRPr="003167BD">
        <w:t xml:space="preserve"> Люлев Ю.Д. Российская пенсионная система и пути ее реформирования // Вопросы экономики. 2013. №8. – С. 3-8.</w:t>
      </w:r>
    </w:p>
  </w:footnote>
  <w:footnote w:id="7">
    <w:p w:rsidR="007C5494" w:rsidRPr="003167BD" w:rsidRDefault="007C5494" w:rsidP="003167BD">
      <w:pPr>
        <w:pStyle w:val="ab"/>
        <w:spacing w:line="240" w:lineRule="auto"/>
        <w:jc w:val="both"/>
      </w:pPr>
      <w:r w:rsidRPr="003167BD">
        <w:rPr>
          <w:rStyle w:val="ad"/>
        </w:rPr>
        <w:footnoteRef/>
      </w:r>
      <w:r w:rsidRPr="003167BD">
        <w:t xml:space="preserve"> Финогенова Ю. Ю. Финансирование негосударственной пенсии и сохранность дополнительных пенсионных накоплений // Финансовый менеджмент. 2015. №2. – С. 12-16.</w:t>
      </w:r>
    </w:p>
  </w:footnote>
  <w:footnote w:id="8">
    <w:p w:rsidR="003167BD" w:rsidRPr="003167BD" w:rsidRDefault="003167BD" w:rsidP="003167BD">
      <w:pPr>
        <w:pStyle w:val="ab"/>
        <w:spacing w:line="240" w:lineRule="auto"/>
        <w:jc w:val="both"/>
      </w:pPr>
      <w:r w:rsidRPr="003167BD">
        <w:rPr>
          <w:rStyle w:val="ad"/>
        </w:rPr>
        <w:footnoteRef/>
      </w:r>
      <w:r w:rsidRPr="003167BD">
        <w:t xml:space="preserve"> Финогенова Ю. Ю. Финансирование негосударственной пенсии и сохранность дополнительных пенсионных накоплений // Финансовый менеджмент. 2015. №2. – С. 12-16.</w:t>
      </w:r>
    </w:p>
  </w:footnote>
  <w:footnote w:id="9">
    <w:p w:rsidR="003167BD" w:rsidRPr="003167BD" w:rsidRDefault="003167BD" w:rsidP="003167BD">
      <w:pPr>
        <w:pStyle w:val="ab"/>
        <w:spacing w:line="240" w:lineRule="auto"/>
        <w:jc w:val="both"/>
      </w:pPr>
      <w:r w:rsidRPr="003167BD">
        <w:rPr>
          <w:rStyle w:val="ad"/>
        </w:rPr>
        <w:footnoteRef/>
      </w:r>
      <w:r w:rsidRPr="003167BD">
        <w:t xml:space="preserve"> Афанасьев М.В. О современном этапе реформирования пенсионной системы в Российской Федерации: текущее состояние и проблемы: Аналитическая записка // Институт Комплексных Стратегических Исследований. 2014. №12.  – С. 33-35.</w:t>
      </w:r>
    </w:p>
  </w:footnote>
  <w:footnote w:id="10">
    <w:p w:rsidR="007C5494" w:rsidRPr="003167BD" w:rsidRDefault="007C5494" w:rsidP="003167BD">
      <w:pPr>
        <w:pStyle w:val="ab"/>
        <w:spacing w:line="240" w:lineRule="auto"/>
        <w:jc w:val="both"/>
      </w:pPr>
      <w:r w:rsidRPr="003167BD">
        <w:rPr>
          <w:rStyle w:val="ad"/>
        </w:rPr>
        <w:footnoteRef/>
      </w:r>
      <w:r w:rsidRPr="003167BD">
        <w:t xml:space="preserve"> Люблин Ю.З. Российская пенсионная реформа: проблемы, противоречия, перспективы. // Человек и труд. 2014. №12. – С. 103-106.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4957"/>
    <w:multiLevelType w:val="hybridMultilevel"/>
    <w:tmpl w:val="72C46412"/>
    <w:lvl w:ilvl="0" w:tplc="BC7EA8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1F200B"/>
    <w:multiLevelType w:val="multilevel"/>
    <w:tmpl w:val="1C70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1F7E91"/>
    <w:multiLevelType w:val="multilevel"/>
    <w:tmpl w:val="AE2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427995"/>
    <w:multiLevelType w:val="multilevel"/>
    <w:tmpl w:val="51FC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EC5A88"/>
    <w:multiLevelType w:val="multilevel"/>
    <w:tmpl w:val="A3E64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84C8C"/>
    <w:multiLevelType w:val="multilevel"/>
    <w:tmpl w:val="D384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F67E4C"/>
    <w:multiLevelType w:val="multilevel"/>
    <w:tmpl w:val="1E6C7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B471B3"/>
    <w:multiLevelType w:val="multilevel"/>
    <w:tmpl w:val="7786E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6"/>
  </w:num>
  <w:num w:numId="5">
    <w:abstractNumId w:val="4"/>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A78"/>
    <w:rsid w:val="00002F48"/>
    <w:rsid w:val="00017E94"/>
    <w:rsid w:val="00034171"/>
    <w:rsid w:val="000352A2"/>
    <w:rsid w:val="000619AD"/>
    <w:rsid w:val="000E2F75"/>
    <w:rsid w:val="000F3894"/>
    <w:rsid w:val="001852A6"/>
    <w:rsid w:val="001A4932"/>
    <w:rsid w:val="001C6918"/>
    <w:rsid w:val="00266063"/>
    <w:rsid w:val="00282B62"/>
    <w:rsid w:val="00292A43"/>
    <w:rsid w:val="002964DD"/>
    <w:rsid w:val="002D1C4C"/>
    <w:rsid w:val="002F77F9"/>
    <w:rsid w:val="003167BD"/>
    <w:rsid w:val="0033400A"/>
    <w:rsid w:val="00335767"/>
    <w:rsid w:val="00341FA9"/>
    <w:rsid w:val="00343B5E"/>
    <w:rsid w:val="00380770"/>
    <w:rsid w:val="00392A0A"/>
    <w:rsid w:val="003A2289"/>
    <w:rsid w:val="003E598A"/>
    <w:rsid w:val="003F5E55"/>
    <w:rsid w:val="003F6786"/>
    <w:rsid w:val="00426611"/>
    <w:rsid w:val="00497F2E"/>
    <w:rsid w:val="005342B7"/>
    <w:rsid w:val="00535A0E"/>
    <w:rsid w:val="00552B47"/>
    <w:rsid w:val="005B5123"/>
    <w:rsid w:val="005B6580"/>
    <w:rsid w:val="005C37DA"/>
    <w:rsid w:val="005F502E"/>
    <w:rsid w:val="00667933"/>
    <w:rsid w:val="00685390"/>
    <w:rsid w:val="006F43E9"/>
    <w:rsid w:val="006F4B83"/>
    <w:rsid w:val="006F7EA7"/>
    <w:rsid w:val="007104BD"/>
    <w:rsid w:val="00747650"/>
    <w:rsid w:val="00793A78"/>
    <w:rsid w:val="007B1C31"/>
    <w:rsid w:val="007C5494"/>
    <w:rsid w:val="007C75D0"/>
    <w:rsid w:val="007E6810"/>
    <w:rsid w:val="0089378C"/>
    <w:rsid w:val="00895481"/>
    <w:rsid w:val="008C799B"/>
    <w:rsid w:val="008F4785"/>
    <w:rsid w:val="008F6638"/>
    <w:rsid w:val="00900C46"/>
    <w:rsid w:val="00995FE7"/>
    <w:rsid w:val="009C40EB"/>
    <w:rsid w:val="009D525D"/>
    <w:rsid w:val="009E0FBA"/>
    <w:rsid w:val="009F07A4"/>
    <w:rsid w:val="00A43591"/>
    <w:rsid w:val="00A52094"/>
    <w:rsid w:val="00A71198"/>
    <w:rsid w:val="00AC46C7"/>
    <w:rsid w:val="00B53CB7"/>
    <w:rsid w:val="00B62D8F"/>
    <w:rsid w:val="00BA6ADF"/>
    <w:rsid w:val="00BB5D83"/>
    <w:rsid w:val="00BD430A"/>
    <w:rsid w:val="00C13B2F"/>
    <w:rsid w:val="00C80F0D"/>
    <w:rsid w:val="00CB3661"/>
    <w:rsid w:val="00CF23F2"/>
    <w:rsid w:val="00D1434D"/>
    <w:rsid w:val="00D21E50"/>
    <w:rsid w:val="00D66199"/>
    <w:rsid w:val="00D764E0"/>
    <w:rsid w:val="00DC377D"/>
    <w:rsid w:val="00E54623"/>
    <w:rsid w:val="00E5589C"/>
    <w:rsid w:val="00EA40CD"/>
    <w:rsid w:val="00EE3270"/>
    <w:rsid w:val="00F025D9"/>
    <w:rsid w:val="00F17673"/>
    <w:rsid w:val="00F75728"/>
    <w:rsid w:val="00FB0C9B"/>
    <w:rsid w:val="00FE2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F663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F6638"/>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3A7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3A78"/>
  </w:style>
  <w:style w:type="paragraph" w:styleId="a5">
    <w:name w:val="footer"/>
    <w:basedOn w:val="a"/>
    <w:link w:val="a6"/>
    <w:uiPriority w:val="99"/>
    <w:unhideWhenUsed/>
    <w:rsid w:val="00793A7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3A78"/>
  </w:style>
  <w:style w:type="paragraph" w:styleId="a7">
    <w:name w:val="Normal (Web)"/>
    <w:basedOn w:val="a"/>
    <w:uiPriority w:val="99"/>
    <w:unhideWhenUsed/>
    <w:rsid w:val="00CB366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CB3661"/>
    <w:rPr>
      <w:b/>
      <w:bCs/>
    </w:rPr>
  </w:style>
  <w:style w:type="paragraph" w:styleId="a9">
    <w:name w:val="Balloon Text"/>
    <w:basedOn w:val="a"/>
    <w:link w:val="aa"/>
    <w:uiPriority w:val="99"/>
    <w:semiHidden/>
    <w:unhideWhenUsed/>
    <w:rsid w:val="003A228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A2289"/>
    <w:rPr>
      <w:rFonts w:ascii="Tahoma" w:hAnsi="Tahoma" w:cs="Tahoma"/>
      <w:sz w:val="16"/>
      <w:szCs w:val="16"/>
    </w:rPr>
  </w:style>
  <w:style w:type="character" w:customStyle="1" w:styleId="10">
    <w:name w:val="Заголовок 1 Знак"/>
    <w:basedOn w:val="a0"/>
    <w:link w:val="1"/>
    <w:uiPriority w:val="9"/>
    <w:rsid w:val="008F6638"/>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8F6638"/>
    <w:rPr>
      <w:rFonts w:asciiTheme="majorHAnsi" w:eastAsiaTheme="majorEastAsia" w:hAnsiTheme="majorHAnsi" w:cstheme="majorBidi"/>
      <w:b/>
      <w:bCs/>
      <w:color w:val="4F81BD" w:themeColor="accent1"/>
      <w:sz w:val="26"/>
      <w:szCs w:val="26"/>
      <w:lang w:eastAsia="en-US"/>
    </w:rPr>
  </w:style>
  <w:style w:type="character" w:customStyle="1" w:styleId="apple-converted-space">
    <w:name w:val="apple-converted-space"/>
    <w:basedOn w:val="a0"/>
    <w:rsid w:val="008F6638"/>
  </w:style>
  <w:style w:type="paragraph" w:styleId="ab">
    <w:name w:val="footnote text"/>
    <w:basedOn w:val="a"/>
    <w:link w:val="ac"/>
    <w:uiPriority w:val="99"/>
    <w:semiHidden/>
    <w:rsid w:val="008F6638"/>
    <w:pPr>
      <w:autoSpaceDE w:val="0"/>
      <w:autoSpaceDN w:val="0"/>
      <w:spacing w:after="0" w:line="36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8F6638"/>
    <w:rPr>
      <w:rFonts w:ascii="Times New Roman" w:eastAsia="Times New Roman" w:hAnsi="Times New Roman" w:cs="Times New Roman"/>
      <w:sz w:val="20"/>
      <w:szCs w:val="20"/>
    </w:rPr>
  </w:style>
  <w:style w:type="character" w:styleId="ad">
    <w:name w:val="footnote reference"/>
    <w:basedOn w:val="a0"/>
    <w:uiPriority w:val="99"/>
    <w:semiHidden/>
    <w:rsid w:val="008F6638"/>
    <w:rPr>
      <w:rFonts w:cs="Times New Roman"/>
      <w:vertAlign w:val="superscript"/>
    </w:rPr>
  </w:style>
  <w:style w:type="paragraph" w:styleId="ae">
    <w:name w:val="List Paragraph"/>
    <w:basedOn w:val="a"/>
    <w:uiPriority w:val="34"/>
    <w:qFormat/>
    <w:rsid w:val="008F6638"/>
    <w:pPr>
      <w:ind w:left="720"/>
      <w:contextualSpacing/>
    </w:pPr>
    <w:rPr>
      <w:rFonts w:ascii="Calibri" w:eastAsia="Times New Roman" w:hAnsi="Calibri" w:cs="Times New Roman"/>
      <w:lang w:eastAsia="en-US"/>
    </w:rPr>
  </w:style>
  <w:style w:type="paragraph" w:styleId="z-">
    <w:name w:val="HTML Top of Form"/>
    <w:basedOn w:val="a"/>
    <w:next w:val="a"/>
    <w:link w:val="z-0"/>
    <w:hidden/>
    <w:uiPriority w:val="99"/>
    <w:semiHidden/>
    <w:unhideWhenUsed/>
    <w:rsid w:val="0033400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33400A"/>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33400A"/>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33400A"/>
    <w:rPr>
      <w:rFonts w:ascii="Arial" w:eastAsia="Times New Roman" w:hAnsi="Arial" w:cs="Arial"/>
      <w:vanish/>
      <w:sz w:val="16"/>
      <w:szCs w:val="16"/>
    </w:rPr>
  </w:style>
  <w:style w:type="character" w:styleId="af">
    <w:name w:val="Hyperlink"/>
    <w:basedOn w:val="a0"/>
    <w:uiPriority w:val="99"/>
    <w:unhideWhenUsed/>
    <w:rsid w:val="0033400A"/>
    <w:rPr>
      <w:color w:val="0000FF"/>
      <w:u w:val="single"/>
    </w:rPr>
  </w:style>
  <w:style w:type="paragraph" w:customStyle="1" w:styleId="greysmall">
    <w:name w:val="greysmall"/>
    <w:basedOn w:val="a"/>
    <w:rsid w:val="0033400A"/>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TOC Heading"/>
    <w:basedOn w:val="1"/>
    <w:next w:val="a"/>
    <w:uiPriority w:val="39"/>
    <w:semiHidden/>
    <w:unhideWhenUsed/>
    <w:qFormat/>
    <w:rsid w:val="006F43E9"/>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6F43E9"/>
    <w:pPr>
      <w:spacing w:after="100"/>
    </w:pPr>
  </w:style>
  <w:style w:type="paragraph" w:styleId="21">
    <w:name w:val="toc 2"/>
    <w:basedOn w:val="a"/>
    <w:next w:val="a"/>
    <w:autoRedefine/>
    <w:uiPriority w:val="39"/>
    <w:unhideWhenUsed/>
    <w:rsid w:val="006F43E9"/>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F663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F6638"/>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3A7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3A78"/>
  </w:style>
  <w:style w:type="paragraph" w:styleId="a5">
    <w:name w:val="footer"/>
    <w:basedOn w:val="a"/>
    <w:link w:val="a6"/>
    <w:uiPriority w:val="99"/>
    <w:unhideWhenUsed/>
    <w:rsid w:val="00793A7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3A78"/>
  </w:style>
  <w:style w:type="paragraph" w:styleId="a7">
    <w:name w:val="Normal (Web)"/>
    <w:basedOn w:val="a"/>
    <w:uiPriority w:val="99"/>
    <w:unhideWhenUsed/>
    <w:rsid w:val="00CB366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CB3661"/>
    <w:rPr>
      <w:b/>
      <w:bCs/>
    </w:rPr>
  </w:style>
  <w:style w:type="paragraph" w:styleId="a9">
    <w:name w:val="Balloon Text"/>
    <w:basedOn w:val="a"/>
    <w:link w:val="aa"/>
    <w:uiPriority w:val="99"/>
    <w:semiHidden/>
    <w:unhideWhenUsed/>
    <w:rsid w:val="003A228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A2289"/>
    <w:rPr>
      <w:rFonts w:ascii="Tahoma" w:hAnsi="Tahoma" w:cs="Tahoma"/>
      <w:sz w:val="16"/>
      <w:szCs w:val="16"/>
    </w:rPr>
  </w:style>
  <w:style w:type="character" w:customStyle="1" w:styleId="10">
    <w:name w:val="Заголовок 1 Знак"/>
    <w:basedOn w:val="a0"/>
    <w:link w:val="1"/>
    <w:uiPriority w:val="9"/>
    <w:rsid w:val="008F6638"/>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semiHidden/>
    <w:rsid w:val="008F6638"/>
    <w:rPr>
      <w:rFonts w:asciiTheme="majorHAnsi" w:eastAsiaTheme="majorEastAsia" w:hAnsiTheme="majorHAnsi" w:cstheme="majorBidi"/>
      <w:b/>
      <w:bCs/>
      <w:color w:val="4F81BD" w:themeColor="accent1"/>
      <w:sz w:val="26"/>
      <w:szCs w:val="26"/>
      <w:lang w:eastAsia="en-US"/>
    </w:rPr>
  </w:style>
  <w:style w:type="character" w:customStyle="1" w:styleId="apple-converted-space">
    <w:name w:val="apple-converted-space"/>
    <w:basedOn w:val="a0"/>
    <w:rsid w:val="008F6638"/>
  </w:style>
  <w:style w:type="paragraph" w:styleId="ab">
    <w:name w:val="footnote text"/>
    <w:basedOn w:val="a"/>
    <w:link w:val="ac"/>
    <w:uiPriority w:val="99"/>
    <w:semiHidden/>
    <w:rsid w:val="008F6638"/>
    <w:pPr>
      <w:autoSpaceDE w:val="0"/>
      <w:autoSpaceDN w:val="0"/>
      <w:spacing w:after="0" w:line="36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8F6638"/>
    <w:rPr>
      <w:rFonts w:ascii="Times New Roman" w:eastAsia="Times New Roman" w:hAnsi="Times New Roman" w:cs="Times New Roman"/>
      <w:sz w:val="20"/>
      <w:szCs w:val="20"/>
    </w:rPr>
  </w:style>
  <w:style w:type="character" w:styleId="ad">
    <w:name w:val="footnote reference"/>
    <w:basedOn w:val="a0"/>
    <w:uiPriority w:val="99"/>
    <w:semiHidden/>
    <w:rsid w:val="008F6638"/>
    <w:rPr>
      <w:rFonts w:cs="Times New Roman"/>
      <w:vertAlign w:val="superscript"/>
    </w:rPr>
  </w:style>
  <w:style w:type="paragraph" w:styleId="ae">
    <w:name w:val="List Paragraph"/>
    <w:basedOn w:val="a"/>
    <w:uiPriority w:val="34"/>
    <w:qFormat/>
    <w:rsid w:val="008F6638"/>
    <w:pPr>
      <w:ind w:left="720"/>
      <w:contextualSpacing/>
    </w:pPr>
    <w:rPr>
      <w:rFonts w:ascii="Calibri" w:eastAsia="Times New Roman" w:hAnsi="Calibri" w:cs="Times New Roman"/>
      <w:lang w:eastAsia="en-US"/>
    </w:rPr>
  </w:style>
  <w:style w:type="paragraph" w:styleId="z-">
    <w:name w:val="HTML Top of Form"/>
    <w:basedOn w:val="a"/>
    <w:next w:val="a"/>
    <w:link w:val="z-0"/>
    <w:hidden/>
    <w:uiPriority w:val="99"/>
    <w:semiHidden/>
    <w:unhideWhenUsed/>
    <w:rsid w:val="0033400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33400A"/>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33400A"/>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33400A"/>
    <w:rPr>
      <w:rFonts w:ascii="Arial" w:eastAsia="Times New Roman" w:hAnsi="Arial" w:cs="Arial"/>
      <w:vanish/>
      <w:sz w:val="16"/>
      <w:szCs w:val="16"/>
    </w:rPr>
  </w:style>
  <w:style w:type="character" w:styleId="af">
    <w:name w:val="Hyperlink"/>
    <w:basedOn w:val="a0"/>
    <w:uiPriority w:val="99"/>
    <w:unhideWhenUsed/>
    <w:rsid w:val="0033400A"/>
    <w:rPr>
      <w:color w:val="0000FF"/>
      <w:u w:val="single"/>
    </w:rPr>
  </w:style>
  <w:style w:type="paragraph" w:customStyle="1" w:styleId="greysmall">
    <w:name w:val="greysmall"/>
    <w:basedOn w:val="a"/>
    <w:rsid w:val="0033400A"/>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TOC Heading"/>
    <w:basedOn w:val="1"/>
    <w:next w:val="a"/>
    <w:uiPriority w:val="39"/>
    <w:semiHidden/>
    <w:unhideWhenUsed/>
    <w:qFormat/>
    <w:rsid w:val="006F43E9"/>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6F43E9"/>
    <w:pPr>
      <w:spacing w:after="100"/>
    </w:pPr>
  </w:style>
  <w:style w:type="paragraph" w:styleId="21">
    <w:name w:val="toc 2"/>
    <w:basedOn w:val="a"/>
    <w:next w:val="a"/>
    <w:autoRedefine/>
    <w:uiPriority w:val="39"/>
    <w:unhideWhenUsed/>
    <w:rsid w:val="006F43E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932195">
      <w:bodyDiv w:val="1"/>
      <w:marLeft w:val="0"/>
      <w:marRight w:val="0"/>
      <w:marTop w:val="0"/>
      <w:marBottom w:val="0"/>
      <w:divBdr>
        <w:top w:val="none" w:sz="0" w:space="0" w:color="auto"/>
        <w:left w:val="none" w:sz="0" w:space="0" w:color="auto"/>
        <w:bottom w:val="none" w:sz="0" w:space="0" w:color="auto"/>
        <w:right w:val="none" w:sz="0" w:space="0" w:color="auto"/>
      </w:divBdr>
    </w:div>
    <w:div w:id="449905244">
      <w:bodyDiv w:val="1"/>
      <w:marLeft w:val="0"/>
      <w:marRight w:val="0"/>
      <w:marTop w:val="0"/>
      <w:marBottom w:val="0"/>
      <w:divBdr>
        <w:top w:val="none" w:sz="0" w:space="0" w:color="auto"/>
        <w:left w:val="none" w:sz="0" w:space="0" w:color="auto"/>
        <w:bottom w:val="none" w:sz="0" w:space="0" w:color="auto"/>
        <w:right w:val="none" w:sz="0" w:space="0" w:color="auto"/>
      </w:divBdr>
    </w:div>
    <w:div w:id="521944102">
      <w:bodyDiv w:val="1"/>
      <w:marLeft w:val="0"/>
      <w:marRight w:val="0"/>
      <w:marTop w:val="0"/>
      <w:marBottom w:val="0"/>
      <w:divBdr>
        <w:top w:val="none" w:sz="0" w:space="0" w:color="auto"/>
        <w:left w:val="none" w:sz="0" w:space="0" w:color="auto"/>
        <w:bottom w:val="none" w:sz="0" w:space="0" w:color="auto"/>
        <w:right w:val="none" w:sz="0" w:space="0" w:color="auto"/>
      </w:divBdr>
    </w:div>
    <w:div w:id="582419234">
      <w:bodyDiv w:val="1"/>
      <w:marLeft w:val="0"/>
      <w:marRight w:val="0"/>
      <w:marTop w:val="0"/>
      <w:marBottom w:val="0"/>
      <w:divBdr>
        <w:top w:val="none" w:sz="0" w:space="0" w:color="auto"/>
        <w:left w:val="none" w:sz="0" w:space="0" w:color="auto"/>
        <w:bottom w:val="none" w:sz="0" w:space="0" w:color="auto"/>
        <w:right w:val="none" w:sz="0" w:space="0" w:color="auto"/>
      </w:divBdr>
    </w:div>
    <w:div w:id="593442680">
      <w:bodyDiv w:val="1"/>
      <w:marLeft w:val="0"/>
      <w:marRight w:val="0"/>
      <w:marTop w:val="0"/>
      <w:marBottom w:val="0"/>
      <w:divBdr>
        <w:top w:val="none" w:sz="0" w:space="0" w:color="auto"/>
        <w:left w:val="none" w:sz="0" w:space="0" w:color="auto"/>
        <w:bottom w:val="none" w:sz="0" w:space="0" w:color="auto"/>
        <w:right w:val="none" w:sz="0" w:space="0" w:color="auto"/>
      </w:divBdr>
    </w:div>
    <w:div w:id="671031895">
      <w:bodyDiv w:val="1"/>
      <w:marLeft w:val="0"/>
      <w:marRight w:val="0"/>
      <w:marTop w:val="0"/>
      <w:marBottom w:val="0"/>
      <w:divBdr>
        <w:top w:val="none" w:sz="0" w:space="0" w:color="auto"/>
        <w:left w:val="none" w:sz="0" w:space="0" w:color="auto"/>
        <w:bottom w:val="none" w:sz="0" w:space="0" w:color="auto"/>
        <w:right w:val="none" w:sz="0" w:space="0" w:color="auto"/>
      </w:divBdr>
    </w:div>
    <w:div w:id="814755748">
      <w:bodyDiv w:val="1"/>
      <w:marLeft w:val="0"/>
      <w:marRight w:val="0"/>
      <w:marTop w:val="0"/>
      <w:marBottom w:val="0"/>
      <w:divBdr>
        <w:top w:val="none" w:sz="0" w:space="0" w:color="auto"/>
        <w:left w:val="none" w:sz="0" w:space="0" w:color="auto"/>
        <w:bottom w:val="none" w:sz="0" w:space="0" w:color="auto"/>
        <w:right w:val="none" w:sz="0" w:space="0" w:color="auto"/>
      </w:divBdr>
      <w:divsChild>
        <w:div w:id="827019192">
          <w:marLeft w:val="0"/>
          <w:marRight w:val="0"/>
          <w:marTop w:val="0"/>
          <w:marBottom w:val="0"/>
          <w:divBdr>
            <w:top w:val="none" w:sz="0" w:space="0" w:color="auto"/>
            <w:left w:val="none" w:sz="0" w:space="0" w:color="auto"/>
            <w:bottom w:val="none" w:sz="0" w:space="0" w:color="auto"/>
            <w:right w:val="none" w:sz="0" w:space="0" w:color="auto"/>
          </w:divBdr>
        </w:div>
        <w:div w:id="1542784919">
          <w:marLeft w:val="0"/>
          <w:marRight w:val="0"/>
          <w:marTop w:val="0"/>
          <w:marBottom w:val="0"/>
          <w:divBdr>
            <w:top w:val="none" w:sz="0" w:space="0" w:color="auto"/>
            <w:left w:val="none" w:sz="0" w:space="0" w:color="auto"/>
            <w:bottom w:val="none" w:sz="0" w:space="0" w:color="auto"/>
            <w:right w:val="none" w:sz="0" w:space="0" w:color="auto"/>
          </w:divBdr>
          <w:divsChild>
            <w:div w:id="1574505332">
              <w:marLeft w:val="0"/>
              <w:marRight w:val="0"/>
              <w:marTop w:val="0"/>
              <w:marBottom w:val="0"/>
              <w:divBdr>
                <w:top w:val="none" w:sz="0" w:space="0" w:color="auto"/>
                <w:left w:val="none" w:sz="0" w:space="0" w:color="auto"/>
                <w:bottom w:val="none" w:sz="0" w:space="0" w:color="auto"/>
                <w:right w:val="none" w:sz="0" w:space="0" w:color="auto"/>
              </w:divBdr>
              <w:divsChild>
                <w:div w:id="141435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13405">
      <w:bodyDiv w:val="1"/>
      <w:marLeft w:val="0"/>
      <w:marRight w:val="0"/>
      <w:marTop w:val="0"/>
      <w:marBottom w:val="0"/>
      <w:divBdr>
        <w:top w:val="none" w:sz="0" w:space="0" w:color="auto"/>
        <w:left w:val="none" w:sz="0" w:space="0" w:color="auto"/>
        <w:bottom w:val="none" w:sz="0" w:space="0" w:color="auto"/>
        <w:right w:val="none" w:sz="0" w:space="0" w:color="auto"/>
      </w:divBdr>
    </w:div>
    <w:div w:id="1365014980">
      <w:bodyDiv w:val="1"/>
      <w:marLeft w:val="0"/>
      <w:marRight w:val="0"/>
      <w:marTop w:val="0"/>
      <w:marBottom w:val="0"/>
      <w:divBdr>
        <w:top w:val="none" w:sz="0" w:space="0" w:color="auto"/>
        <w:left w:val="none" w:sz="0" w:space="0" w:color="auto"/>
        <w:bottom w:val="none" w:sz="0" w:space="0" w:color="auto"/>
        <w:right w:val="none" w:sz="0" w:space="0" w:color="auto"/>
      </w:divBdr>
    </w:div>
    <w:div w:id="1386300324">
      <w:bodyDiv w:val="1"/>
      <w:marLeft w:val="0"/>
      <w:marRight w:val="0"/>
      <w:marTop w:val="0"/>
      <w:marBottom w:val="0"/>
      <w:divBdr>
        <w:top w:val="none" w:sz="0" w:space="0" w:color="auto"/>
        <w:left w:val="none" w:sz="0" w:space="0" w:color="auto"/>
        <w:bottom w:val="none" w:sz="0" w:space="0" w:color="auto"/>
        <w:right w:val="none" w:sz="0" w:space="0" w:color="auto"/>
      </w:divBdr>
    </w:div>
    <w:div w:id="1574313369">
      <w:bodyDiv w:val="1"/>
      <w:marLeft w:val="0"/>
      <w:marRight w:val="0"/>
      <w:marTop w:val="0"/>
      <w:marBottom w:val="0"/>
      <w:divBdr>
        <w:top w:val="none" w:sz="0" w:space="0" w:color="auto"/>
        <w:left w:val="none" w:sz="0" w:space="0" w:color="auto"/>
        <w:bottom w:val="none" w:sz="0" w:space="0" w:color="auto"/>
        <w:right w:val="none" w:sz="0" w:space="0" w:color="auto"/>
      </w:divBdr>
    </w:div>
    <w:div w:id="1612972556">
      <w:bodyDiv w:val="1"/>
      <w:marLeft w:val="0"/>
      <w:marRight w:val="0"/>
      <w:marTop w:val="0"/>
      <w:marBottom w:val="0"/>
      <w:divBdr>
        <w:top w:val="none" w:sz="0" w:space="0" w:color="auto"/>
        <w:left w:val="none" w:sz="0" w:space="0" w:color="auto"/>
        <w:bottom w:val="none" w:sz="0" w:space="0" w:color="auto"/>
        <w:right w:val="none" w:sz="0" w:space="0" w:color="auto"/>
      </w:divBdr>
      <w:divsChild>
        <w:div w:id="678041027">
          <w:marLeft w:val="0"/>
          <w:marRight w:val="0"/>
          <w:marTop w:val="0"/>
          <w:marBottom w:val="0"/>
          <w:divBdr>
            <w:top w:val="none" w:sz="0" w:space="0" w:color="auto"/>
            <w:left w:val="none" w:sz="0" w:space="0" w:color="auto"/>
            <w:bottom w:val="none" w:sz="0" w:space="0" w:color="auto"/>
            <w:right w:val="none" w:sz="0" w:space="0" w:color="auto"/>
          </w:divBdr>
        </w:div>
        <w:div w:id="180240241">
          <w:marLeft w:val="0"/>
          <w:marRight w:val="0"/>
          <w:marTop w:val="0"/>
          <w:marBottom w:val="0"/>
          <w:divBdr>
            <w:top w:val="none" w:sz="0" w:space="0" w:color="auto"/>
            <w:left w:val="none" w:sz="0" w:space="0" w:color="auto"/>
            <w:bottom w:val="none" w:sz="0" w:space="0" w:color="auto"/>
            <w:right w:val="none" w:sz="0" w:space="0" w:color="auto"/>
          </w:divBdr>
          <w:divsChild>
            <w:div w:id="1560435780">
              <w:marLeft w:val="0"/>
              <w:marRight w:val="0"/>
              <w:marTop w:val="0"/>
              <w:marBottom w:val="0"/>
              <w:divBdr>
                <w:top w:val="single" w:sz="6" w:space="8" w:color="000000"/>
                <w:left w:val="single" w:sz="6" w:space="8" w:color="000000"/>
                <w:bottom w:val="single" w:sz="6" w:space="8" w:color="000000"/>
                <w:right w:val="single" w:sz="6" w:space="8" w:color="000000"/>
              </w:divBdr>
            </w:div>
            <w:div w:id="1187405183">
              <w:marLeft w:val="0"/>
              <w:marRight w:val="0"/>
              <w:marTop w:val="0"/>
              <w:marBottom w:val="0"/>
              <w:divBdr>
                <w:top w:val="single" w:sz="6" w:space="8" w:color="000000"/>
                <w:left w:val="single" w:sz="6" w:space="8" w:color="000000"/>
                <w:bottom w:val="single" w:sz="6" w:space="8" w:color="000000"/>
                <w:right w:val="single" w:sz="6" w:space="8" w:color="000000"/>
              </w:divBdr>
            </w:div>
            <w:div w:id="1871651209">
              <w:marLeft w:val="0"/>
              <w:marRight w:val="0"/>
              <w:marTop w:val="0"/>
              <w:marBottom w:val="0"/>
              <w:divBdr>
                <w:top w:val="single" w:sz="6" w:space="8" w:color="000000"/>
                <w:left w:val="single" w:sz="6" w:space="8" w:color="000000"/>
                <w:bottom w:val="single" w:sz="6" w:space="8" w:color="000000"/>
                <w:right w:val="single" w:sz="6" w:space="8" w:color="000000"/>
              </w:divBdr>
            </w:div>
          </w:divsChild>
        </w:div>
      </w:divsChild>
    </w:div>
    <w:div w:id="1756199699">
      <w:bodyDiv w:val="1"/>
      <w:marLeft w:val="0"/>
      <w:marRight w:val="0"/>
      <w:marTop w:val="0"/>
      <w:marBottom w:val="0"/>
      <w:divBdr>
        <w:top w:val="none" w:sz="0" w:space="0" w:color="auto"/>
        <w:left w:val="none" w:sz="0" w:space="0" w:color="auto"/>
        <w:bottom w:val="none" w:sz="0" w:space="0" w:color="auto"/>
        <w:right w:val="none" w:sz="0" w:space="0" w:color="auto"/>
      </w:divBdr>
    </w:div>
    <w:div w:id="1869026589">
      <w:bodyDiv w:val="1"/>
      <w:marLeft w:val="0"/>
      <w:marRight w:val="0"/>
      <w:marTop w:val="0"/>
      <w:marBottom w:val="0"/>
      <w:divBdr>
        <w:top w:val="none" w:sz="0" w:space="0" w:color="auto"/>
        <w:left w:val="none" w:sz="0" w:space="0" w:color="auto"/>
        <w:bottom w:val="none" w:sz="0" w:space="0" w:color="auto"/>
        <w:right w:val="none" w:sz="0" w:space="0" w:color="auto"/>
      </w:divBdr>
    </w:div>
    <w:div w:id="2010402376">
      <w:bodyDiv w:val="1"/>
      <w:marLeft w:val="0"/>
      <w:marRight w:val="0"/>
      <w:marTop w:val="0"/>
      <w:marBottom w:val="0"/>
      <w:divBdr>
        <w:top w:val="none" w:sz="0" w:space="0" w:color="auto"/>
        <w:left w:val="none" w:sz="0" w:space="0" w:color="auto"/>
        <w:bottom w:val="none" w:sz="0" w:space="0" w:color="auto"/>
        <w:right w:val="none" w:sz="0" w:space="0" w:color="auto"/>
      </w:divBdr>
    </w:div>
    <w:div w:id="2118521812">
      <w:bodyDiv w:val="1"/>
      <w:marLeft w:val="0"/>
      <w:marRight w:val="0"/>
      <w:marTop w:val="0"/>
      <w:marBottom w:val="0"/>
      <w:divBdr>
        <w:top w:val="none" w:sz="0" w:space="0" w:color="auto"/>
        <w:left w:val="none" w:sz="0" w:space="0" w:color="auto"/>
        <w:bottom w:val="none" w:sz="0" w:space="0" w:color="auto"/>
        <w:right w:val="none" w:sz="0" w:space="0" w:color="auto"/>
      </w:divBdr>
    </w:div>
    <w:div w:id="213794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711C5-DA3F-438E-BB1B-106129FC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8239</Words>
  <Characters>46967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Martini</dc:creator>
  <cp:lastModifiedBy>Александр</cp:lastModifiedBy>
  <cp:revision>22</cp:revision>
  <cp:lastPrinted>2017-01-24T12:10:00Z</cp:lastPrinted>
  <dcterms:created xsi:type="dcterms:W3CDTF">2015-11-27T09:59:00Z</dcterms:created>
  <dcterms:modified xsi:type="dcterms:W3CDTF">2017-05-18T14:17:00Z</dcterms:modified>
</cp:coreProperties>
</file>