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1CD" w:rsidRDefault="003121CD" w:rsidP="00722703">
      <w:pPr>
        <w:jc w:val="center"/>
        <w:rPr>
          <w:rFonts w:ascii="Times New Roman" w:hAnsi="Times New Roman" w:cs="Times New Roman"/>
          <w:b/>
          <w:sz w:val="28"/>
          <w:szCs w:val="28"/>
        </w:rPr>
      </w:pPr>
    </w:p>
    <w:p w:rsidR="00722703" w:rsidRDefault="00722703" w:rsidP="00722703">
      <w:pPr>
        <w:jc w:val="center"/>
      </w:pPr>
      <w:r w:rsidRPr="00722703">
        <w:rPr>
          <w:rFonts w:ascii="Times New Roman" w:hAnsi="Times New Roman" w:cs="Times New Roman"/>
          <w:b/>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w:t>
      </w:r>
      <w:r>
        <w:t xml:space="preserve"> </w:t>
      </w:r>
    </w:p>
    <w:p w:rsidR="00722703" w:rsidRPr="00722703" w:rsidRDefault="008C50C9" w:rsidP="00722703">
      <w:pPr>
        <w:jc w:val="center"/>
        <w:rPr>
          <w:rFonts w:ascii="Times New Roman" w:hAnsi="Times New Roman" w:cs="Times New Roman"/>
          <w:sz w:val="28"/>
          <w:szCs w:val="28"/>
        </w:rPr>
      </w:pPr>
      <w:r>
        <w:rPr>
          <w:rFonts w:ascii="Times New Roman" w:hAnsi="Times New Roman" w:cs="Times New Roman"/>
          <w:sz w:val="28"/>
          <w:szCs w:val="28"/>
        </w:rPr>
        <w:t>Департамент</w:t>
      </w:r>
      <w:r w:rsidR="00722703" w:rsidRPr="00722703">
        <w:rPr>
          <w:rFonts w:ascii="Times New Roman" w:hAnsi="Times New Roman" w:cs="Times New Roman"/>
          <w:sz w:val="28"/>
          <w:szCs w:val="28"/>
        </w:rPr>
        <w:t xml:space="preserve"> «Банки и банковский менеджмент» </w:t>
      </w:r>
    </w:p>
    <w:p w:rsidR="00722703" w:rsidRPr="00722703" w:rsidRDefault="00722703" w:rsidP="00722703">
      <w:pPr>
        <w:jc w:val="center"/>
        <w:rPr>
          <w:rFonts w:ascii="Times New Roman" w:hAnsi="Times New Roman" w:cs="Times New Roman"/>
          <w:b/>
          <w:sz w:val="28"/>
          <w:szCs w:val="28"/>
        </w:rPr>
      </w:pPr>
      <w:r w:rsidRPr="00722703">
        <w:rPr>
          <w:rFonts w:ascii="Times New Roman" w:hAnsi="Times New Roman" w:cs="Times New Roman"/>
          <w:b/>
          <w:sz w:val="28"/>
          <w:szCs w:val="28"/>
        </w:rPr>
        <w:t xml:space="preserve">Контрольная работа </w:t>
      </w:r>
    </w:p>
    <w:p w:rsidR="00722703" w:rsidRDefault="00722703" w:rsidP="00722703">
      <w:pPr>
        <w:jc w:val="center"/>
        <w:rPr>
          <w:rFonts w:ascii="Times New Roman" w:hAnsi="Times New Roman" w:cs="Times New Roman"/>
          <w:sz w:val="28"/>
          <w:szCs w:val="28"/>
        </w:rPr>
      </w:pPr>
      <w:r w:rsidRPr="00722703">
        <w:rPr>
          <w:rFonts w:ascii="Times New Roman" w:hAnsi="Times New Roman" w:cs="Times New Roman"/>
          <w:sz w:val="28"/>
          <w:szCs w:val="28"/>
        </w:rPr>
        <w:t xml:space="preserve">Дисциплина: «БАНКОВСКОЕ ДЕЛО» </w:t>
      </w:r>
    </w:p>
    <w:p w:rsidR="00722703" w:rsidRDefault="00722703" w:rsidP="00722703">
      <w:pPr>
        <w:jc w:val="center"/>
        <w:rPr>
          <w:rFonts w:ascii="Times New Roman" w:hAnsi="Times New Roman" w:cs="Times New Roman"/>
          <w:sz w:val="28"/>
          <w:szCs w:val="28"/>
        </w:rPr>
      </w:pPr>
      <w:r w:rsidRPr="00722703">
        <w:rPr>
          <w:rFonts w:ascii="Times New Roman" w:hAnsi="Times New Roman" w:cs="Times New Roman"/>
          <w:sz w:val="28"/>
          <w:szCs w:val="28"/>
        </w:rPr>
        <w:t xml:space="preserve">Направление подготовки «Экономика», </w:t>
      </w:r>
      <w:r>
        <w:rPr>
          <w:rFonts w:ascii="Times New Roman" w:hAnsi="Times New Roman" w:cs="Times New Roman"/>
          <w:sz w:val="28"/>
          <w:szCs w:val="28"/>
        </w:rPr>
        <w:t xml:space="preserve">                                                   </w:t>
      </w:r>
      <w:r w:rsidRPr="00722703">
        <w:rPr>
          <w:rFonts w:ascii="Times New Roman" w:hAnsi="Times New Roman" w:cs="Times New Roman"/>
          <w:sz w:val="28"/>
          <w:szCs w:val="28"/>
        </w:rPr>
        <w:t xml:space="preserve">профиль «Финансы и кредит». </w:t>
      </w:r>
      <w:r>
        <w:rPr>
          <w:rFonts w:ascii="Times New Roman" w:hAnsi="Times New Roman" w:cs="Times New Roman"/>
          <w:sz w:val="28"/>
          <w:szCs w:val="28"/>
        </w:rPr>
        <w:t xml:space="preserve">                                                                               </w:t>
      </w:r>
      <w:r w:rsidRPr="00722703">
        <w:rPr>
          <w:rFonts w:ascii="Times New Roman" w:hAnsi="Times New Roman" w:cs="Times New Roman"/>
          <w:sz w:val="28"/>
          <w:szCs w:val="28"/>
        </w:rPr>
        <w:t xml:space="preserve">Заочная форма обучения </w:t>
      </w:r>
    </w:p>
    <w:p w:rsidR="003121CD" w:rsidRDefault="003121CD" w:rsidP="00722703">
      <w:pPr>
        <w:jc w:val="center"/>
        <w:rPr>
          <w:rFonts w:ascii="Times New Roman" w:hAnsi="Times New Roman" w:cs="Times New Roman"/>
          <w:sz w:val="28"/>
          <w:szCs w:val="28"/>
        </w:rPr>
      </w:pPr>
    </w:p>
    <w:p w:rsidR="00722703" w:rsidRDefault="00722703" w:rsidP="00722703">
      <w:pPr>
        <w:jc w:val="center"/>
        <w:rPr>
          <w:rFonts w:ascii="Times New Roman" w:hAnsi="Times New Roman" w:cs="Times New Roman"/>
          <w:b/>
          <w:sz w:val="28"/>
          <w:szCs w:val="28"/>
        </w:rPr>
      </w:pPr>
      <w:r w:rsidRPr="00722703">
        <w:rPr>
          <w:rFonts w:ascii="Times New Roman" w:hAnsi="Times New Roman" w:cs="Times New Roman"/>
          <w:b/>
          <w:sz w:val="28"/>
          <w:szCs w:val="28"/>
        </w:rPr>
        <w:t xml:space="preserve">Задание 15 </w:t>
      </w:r>
    </w:p>
    <w:p w:rsidR="003121CD" w:rsidRPr="00722703" w:rsidRDefault="003121CD" w:rsidP="00722703">
      <w:pPr>
        <w:jc w:val="center"/>
        <w:rPr>
          <w:rFonts w:ascii="Times New Roman" w:hAnsi="Times New Roman" w:cs="Times New Roman"/>
          <w:b/>
          <w:sz w:val="28"/>
          <w:szCs w:val="28"/>
        </w:rPr>
      </w:pPr>
    </w:p>
    <w:p w:rsidR="00722703" w:rsidRPr="00722703" w:rsidRDefault="00722703" w:rsidP="00722703">
      <w:pPr>
        <w:jc w:val="center"/>
        <w:rPr>
          <w:rFonts w:ascii="Times New Roman" w:hAnsi="Times New Roman" w:cs="Times New Roman"/>
          <w:b/>
          <w:sz w:val="28"/>
          <w:szCs w:val="28"/>
        </w:rPr>
      </w:pPr>
      <w:r w:rsidRPr="00722703">
        <w:rPr>
          <w:rFonts w:ascii="Times New Roman" w:hAnsi="Times New Roman" w:cs="Times New Roman"/>
          <w:b/>
          <w:sz w:val="28"/>
          <w:szCs w:val="28"/>
        </w:rPr>
        <w:t>Кредитный риск коммерческого банка</w:t>
      </w:r>
    </w:p>
    <w:p w:rsidR="00722703" w:rsidRDefault="00722703" w:rsidP="00722703">
      <w:pPr>
        <w:jc w:val="center"/>
        <w:rPr>
          <w:rFonts w:ascii="Times New Roman" w:hAnsi="Times New Roman" w:cs="Times New Roman"/>
          <w:sz w:val="28"/>
          <w:szCs w:val="28"/>
        </w:rPr>
      </w:pPr>
    </w:p>
    <w:p w:rsidR="00722703" w:rsidRDefault="00722703" w:rsidP="00722703">
      <w:pPr>
        <w:jc w:val="right"/>
        <w:rPr>
          <w:rFonts w:ascii="Times New Roman" w:hAnsi="Times New Roman" w:cs="Times New Roman"/>
          <w:sz w:val="28"/>
          <w:szCs w:val="28"/>
        </w:rPr>
      </w:pPr>
      <w:r w:rsidRPr="00722703">
        <w:rPr>
          <w:rFonts w:ascii="Times New Roman" w:hAnsi="Times New Roman" w:cs="Times New Roman"/>
          <w:sz w:val="28"/>
          <w:szCs w:val="28"/>
        </w:rPr>
        <w:t>Выполнил: Студент группы</w:t>
      </w:r>
      <w:r>
        <w:rPr>
          <w:rFonts w:ascii="Times New Roman" w:hAnsi="Times New Roman" w:cs="Times New Roman"/>
          <w:sz w:val="28"/>
          <w:szCs w:val="28"/>
        </w:rPr>
        <w:t xml:space="preserve"> ЗБ2-ЭФ 4-1</w:t>
      </w:r>
      <w:r w:rsidRPr="00722703">
        <w:rPr>
          <w:rFonts w:ascii="Times New Roman" w:hAnsi="Times New Roman" w:cs="Times New Roman"/>
          <w:sz w:val="28"/>
          <w:szCs w:val="28"/>
        </w:rPr>
        <w:t xml:space="preserve"> </w:t>
      </w:r>
    </w:p>
    <w:p w:rsidR="003121CD" w:rsidRDefault="003121CD" w:rsidP="003121CD">
      <w:pPr>
        <w:spacing w:line="240" w:lineRule="auto"/>
        <w:jc w:val="right"/>
        <w:rPr>
          <w:rFonts w:ascii="Times New Roman" w:hAnsi="Times New Roman" w:cs="Times New Roman"/>
          <w:sz w:val="28"/>
          <w:szCs w:val="28"/>
        </w:rPr>
      </w:pPr>
      <w:r>
        <w:rPr>
          <w:rFonts w:ascii="Times New Roman" w:hAnsi="Times New Roman" w:cs="Times New Roman"/>
          <w:sz w:val="28"/>
          <w:szCs w:val="28"/>
        </w:rPr>
        <w:t>Постнова  Ольга Алексеевна</w:t>
      </w:r>
      <w:r w:rsidR="00722703" w:rsidRPr="00722703">
        <w:rPr>
          <w:rFonts w:ascii="Times New Roman" w:hAnsi="Times New Roman" w:cs="Times New Roman"/>
          <w:sz w:val="28"/>
          <w:szCs w:val="28"/>
        </w:rPr>
        <w:t xml:space="preserve"> </w:t>
      </w:r>
      <w:r>
        <w:rPr>
          <w:rFonts w:ascii="Times New Roman" w:hAnsi="Times New Roman" w:cs="Times New Roman"/>
          <w:sz w:val="28"/>
          <w:szCs w:val="28"/>
        </w:rPr>
        <w:t xml:space="preserve">                                                        </w:t>
      </w:r>
      <w:r w:rsidR="00722703" w:rsidRPr="00722703">
        <w:rPr>
          <w:rFonts w:ascii="Times New Roman" w:hAnsi="Times New Roman" w:cs="Times New Roman"/>
          <w:sz w:val="28"/>
          <w:szCs w:val="28"/>
        </w:rPr>
        <w:t>_____________________</w:t>
      </w:r>
    </w:p>
    <w:p w:rsidR="003121CD" w:rsidRDefault="00722703" w:rsidP="003121CD">
      <w:pPr>
        <w:spacing w:line="240" w:lineRule="auto"/>
        <w:jc w:val="right"/>
        <w:rPr>
          <w:rFonts w:ascii="Times New Roman" w:hAnsi="Times New Roman" w:cs="Times New Roman"/>
          <w:sz w:val="28"/>
          <w:szCs w:val="28"/>
        </w:rPr>
      </w:pPr>
      <w:r w:rsidRPr="00722703">
        <w:rPr>
          <w:rFonts w:ascii="Times New Roman" w:hAnsi="Times New Roman" w:cs="Times New Roman"/>
          <w:sz w:val="28"/>
          <w:szCs w:val="28"/>
        </w:rPr>
        <w:t xml:space="preserve"> (Подпись) </w:t>
      </w:r>
    </w:p>
    <w:p w:rsidR="003121CD" w:rsidRDefault="006B0C67" w:rsidP="003121CD">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Руководитель: </w:t>
      </w:r>
      <w:r w:rsidR="00722703" w:rsidRPr="00722703">
        <w:rPr>
          <w:rFonts w:ascii="Times New Roman" w:hAnsi="Times New Roman" w:cs="Times New Roman"/>
          <w:sz w:val="28"/>
          <w:szCs w:val="28"/>
        </w:rPr>
        <w:t>доцент</w:t>
      </w:r>
      <w:r>
        <w:rPr>
          <w:rFonts w:ascii="Times New Roman" w:hAnsi="Times New Roman" w:cs="Times New Roman"/>
          <w:sz w:val="28"/>
          <w:szCs w:val="28"/>
        </w:rPr>
        <w:t xml:space="preserve"> к/н</w:t>
      </w:r>
      <w:r w:rsidR="00722703" w:rsidRPr="00722703">
        <w:rPr>
          <w:rFonts w:ascii="Times New Roman" w:hAnsi="Times New Roman" w:cs="Times New Roman"/>
          <w:sz w:val="28"/>
          <w:szCs w:val="28"/>
        </w:rPr>
        <w:t xml:space="preserve"> </w:t>
      </w:r>
      <w:r w:rsidR="00C924BE">
        <w:rPr>
          <w:rFonts w:ascii="Times New Roman" w:hAnsi="Times New Roman" w:cs="Times New Roman"/>
          <w:sz w:val="28"/>
          <w:szCs w:val="28"/>
        </w:rPr>
        <w:t>Васильев</w:t>
      </w:r>
      <w:r w:rsidR="00722703" w:rsidRPr="00722703">
        <w:rPr>
          <w:rFonts w:ascii="Times New Roman" w:hAnsi="Times New Roman" w:cs="Times New Roman"/>
          <w:sz w:val="28"/>
          <w:szCs w:val="28"/>
        </w:rPr>
        <w:t xml:space="preserve"> И.И. </w:t>
      </w:r>
      <w:r w:rsidR="003121CD">
        <w:rPr>
          <w:rFonts w:ascii="Times New Roman" w:hAnsi="Times New Roman" w:cs="Times New Roman"/>
          <w:sz w:val="28"/>
          <w:szCs w:val="28"/>
        </w:rPr>
        <w:t xml:space="preserve">                             </w:t>
      </w:r>
      <w:r w:rsidR="00722703" w:rsidRPr="00722703">
        <w:rPr>
          <w:rFonts w:ascii="Times New Roman" w:hAnsi="Times New Roman" w:cs="Times New Roman"/>
          <w:sz w:val="28"/>
          <w:szCs w:val="28"/>
        </w:rPr>
        <w:t xml:space="preserve">_______________________ </w:t>
      </w:r>
    </w:p>
    <w:p w:rsidR="003121CD" w:rsidRDefault="00722703" w:rsidP="003121CD">
      <w:pPr>
        <w:spacing w:line="240" w:lineRule="auto"/>
        <w:jc w:val="right"/>
        <w:rPr>
          <w:rFonts w:ascii="Times New Roman" w:hAnsi="Times New Roman" w:cs="Times New Roman"/>
          <w:sz w:val="28"/>
          <w:szCs w:val="28"/>
        </w:rPr>
      </w:pPr>
      <w:r w:rsidRPr="00722703">
        <w:rPr>
          <w:rFonts w:ascii="Times New Roman" w:hAnsi="Times New Roman" w:cs="Times New Roman"/>
          <w:sz w:val="28"/>
          <w:szCs w:val="28"/>
        </w:rPr>
        <w:t xml:space="preserve">(Подпись) </w:t>
      </w:r>
    </w:p>
    <w:p w:rsidR="003121CD" w:rsidRDefault="003121CD" w:rsidP="00722703">
      <w:pPr>
        <w:jc w:val="right"/>
        <w:rPr>
          <w:rFonts w:ascii="Times New Roman" w:hAnsi="Times New Roman" w:cs="Times New Roman"/>
          <w:sz w:val="28"/>
          <w:szCs w:val="28"/>
        </w:rPr>
      </w:pPr>
    </w:p>
    <w:p w:rsidR="003121CD" w:rsidRDefault="003121CD" w:rsidP="00722703">
      <w:pPr>
        <w:jc w:val="right"/>
        <w:rPr>
          <w:rFonts w:ascii="Times New Roman" w:hAnsi="Times New Roman" w:cs="Times New Roman"/>
          <w:sz w:val="28"/>
          <w:szCs w:val="28"/>
        </w:rPr>
      </w:pPr>
    </w:p>
    <w:p w:rsidR="003121CD" w:rsidRDefault="003121CD" w:rsidP="00722703">
      <w:pPr>
        <w:jc w:val="right"/>
        <w:rPr>
          <w:rFonts w:ascii="Times New Roman" w:hAnsi="Times New Roman" w:cs="Times New Roman"/>
          <w:sz w:val="28"/>
          <w:szCs w:val="28"/>
        </w:rPr>
      </w:pPr>
    </w:p>
    <w:p w:rsidR="00D8717D" w:rsidRDefault="00D8717D" w:rsidP="00722703">
      <w:pPr>
        <w:jc w:val="right"/>
        <w:rPr>
          <w:rFonts w:ascii="Times New Roman" w:hAnsi="Times New Roman" w:cs="Times New Roman"/>
          <w:sz w:val="28"/>
          <w:szCs w:val="28"/>
        </w:rPr>
      </w:pPr>
    </w:p>
    <w:p w:rsidR="00722703" w:rsidRPr="00722703" w:rsidRDefault="00D8717D" w:rsidP="003121CD">
      <w:pPr>
        <w:jc w:val="center"/>
        <w:rPr>
          <w:rFonts w:ascii="Times New Roman" w:hAnsi="Times New Roman" w:cs="Times New Roman"/>
          <w:sz w:val="28"/>
          <w:szCs w:val="28"/>
        </w:rPr>
      </w:pPr>
      <w:r>
        <w:rPr>
          <w:rFonts w:ascii="Times New Roman" w:hAnsi="Times New Roman" w:cs="Times New Roman"/>
          <w:sz w:val="28"/>
          <w:szCs w:val="28"/>
        </w:rPr>
        <w:t>МОСКВА 2016</w:t>
      </w:r>
    </w:p>
    <w:p w:rsidR="00D8717D" w:rsidRDefault="00D8717D">
      <w:pPr>
        <w:rPr>
          <w:rFonts w:ascii="Times New Roman" w:hAnsi="Times New Roman" w:cs="Times New Roman"/>
          <w:sz w:val="28"/>
          <w:szCs w:val="28"/>
        </w:rPr>
      </w:pPr>
    </w:p>
    <w:p w:rsidR="00722703" w:rsidRDefault="006B0C67">
      <w:pPr>
        <w:rPr>
          <w:rFonts w:ascii="Times New Roman" w:hAnsi="Times New Roman" w:cs="Times New Roman"/>
          <w:b/>
          <w:sz w:val="28"/>
          <w:szCs w:val="28"/>
        </w:rPr>
      </w:pPr>
      <w:r>
        <w:rPr>
          <w:rFonts w:ascii="Times New Roman" w:hAnsi="Times New Roman" w:cs="Times New Roman"/>
          <w:b/>
          <w:sz w:val="28"/>
          <w:szCs w:val="28"/>
        </w:rPr>
        <w:t>Содержание контрольной работы</w:t>
      </w:r>
    </w:p>
    <w:p w:rsidR="006B0C67" w:rsidRPr="006B0C67" w:rsidRDefault="006B0C67">
      <w:pPr>
        <w:rPr>
          <w:rFonts w:ascii="Times New Roman" w:hAnsi="Times New Roman" w:cs="Times New Roman"/>
          <w:sz w:val="28"/>
          <w:szCs w:val="28"/>
        </w:rPr>
      </w:pPr>
      <w:r>
        <w:rPr>
          <w:rFonts w:ascii="Times New Roman" w:hAnsi="Times New Roman" w:cs="Times New Roman"/>
          <w:sz w:val="28"/>
          <w:szCs w:val="28"/>
        </w:rPr>
        <w:t>Задание 1</w:t>
      </w:r>
    </w:p>
    <w:p w:rsidR="00722703" w:rsidRPr="00722703" w:rsidRDefault="00722703">
      <w:pPr>
        <w:rPr>
          <w:rFonts w:ascii="Times New Roman" w:hAnsi="Times New Roman" w:cs="Times New Roman"/>
          <w:sz w:val="28"/>
          <w:szCs w:val="28"/>
        </w:rPr>
      </w:pPr>
      <w:r w:rsidRPr="00722703">
        <w:rPr>
          <w:rFonts w:ascii="Times New Roman" w:hAnsi="Times New Roman" w:cs="Times New Roman"/>
          <w:sz w:val="28"/>
          <w:szCs w:val="28"/>
        </w:rPr>
        <w:t xml:space="preserve">Тема 15. </w:t>
      </w:r>
      <w:r w:rsidR="006B0C67">
        <w:rPr>
          <w:rFonts w:ascii="Times New Roman" w:hAnsi="Times New Roman" w:cs="Times New Roman"/>
          <w:sz w:val="28"/>
          <w:szCs w:val="28"/>
        </w:rPr>
        <w:t xml:space="preserve"> </w:t>
      </w:r>
      <w:r w:rsidRPr="00722703">
        <w:rPr>
          <w:rFonts w:ascii="Times New Roman" w:hAnsi="Times New Roman" w:cs="Times New Roman"/>
          <w:sz w:val="28"/>
          <w:szCs w:val="28"/>
        </w:rPr>
        <w:t>Кредитный риск коммерческого банка</w:t>
      </w:r>
    </w:p>
    <w:p w:rsidR="00722703" w:rsidRPr="00722703" w:rsidRDefault="00722703">
      <w:pPr>
        <w:rPr>
          <w:rFonts w:ascii="Times New Roman" w:hAnsi="Times New Roman" w:cs="Times New Roman"/>
          <w:sz w:val="28"/>
          <w:szCs w:val="28"/>
        </w:rPr>
      </w:pPr>
      <w:r w:rsidRPr="00722703">
        <w:rPr>
          <w:rFonts w:ascii="Times New Roman" w:hAnsi="Times New Roman" w:cs="Times New Roman"/>
          <w:sz w:val="28"/>
          <w:szCs w:val="28"/>
        </w:rPr>
        <w:t>Понятие креди</w:t>
      </w:r>
      <w:r w:rsidR="006B0C67">
        <w:rPr>
          <w:rFonts w:ascii="Times New Roman" w:hAnsi="Times New Roman" w:cs="Times New Roman"/>
          <w:sz w:val="28"/>
          <w:szCs w:val="28"/>
        </w:rPr>
        <w:t>тного риска, методы его оценки……………………….</w:t>
      </w:r>
      <w:r w:rsidR="00845711">
        <w:rPr>
          <w:rFonts w:ascii="Times New Roman" w:hAnsi="Times New Roman" w:cs="Times New Roman"/>
          <w:sz w:val="28"/>
          <w:szCs w:val="28"/>
        </w:rPr>
        <w:t xml:space="preserve"> 3</w:t>
      </w:r>
    </w:p>
    <w:p w:rsidR="006B0C67" w:rsidRDefault="00722703">
      <w:pPr>
        <w:rPr>
          <w:rFonts w:ascii="Times New Roman" w:hAnsi="Times New Roman" w:cs="Times New Roman"/>
          <w:sz w:val="28"/>
          <w:szCs w:val="28"/>
        </w:rPr>
      </w:pPr>
      <w:r w:rsidRPr="00722703">
        <w:rPr>
          <w:rFonts w:ascii="Times New Roman" w:hAnsi="Times New Roman" w:cs="Times New Roman"/>
          <w:sz w:val="28"/>
          <w:szCs w:val="28"/>
        </w:rPr>
        <w:t xml:space="preserve">Способы минимизации кредитного риска. </w:t>
      </w:r>
      <w:r w:rsidR="006B0C67">
        <w:rPr>
          <w:rFonts w:ascii="Times New Roman" w:hAnsi="Times New Roman" w:cs="Times New Roman"/>
          <w:sz w:val="28"/>
          <w:szCs w:val="28"/>
        </w:rPr>
        <w:t>…………………….….…..</w:t>
      </w:r>
      <w:r w:rsidR="00845711">
        <w:rPr>
          <w:rFonts w:ascii="Times New Roman" w:hAnsi="Times New Roman" w:cs="Times New Roman"/>
          <w:sz w:val="28"/>
          <w:szCs w:val="28"/>
        </w:rPr>
        <w:t xml:space="preserve"> 4</w:t>
      </w:r>
    </w:p>
    <w:p w:rsidR="00126269" w:rsidRDefault="00722703">
      <w:pPr>
        <w:rPr>
          <w:rFonts w:ascii="Times New Roman" w:hAnsi="Times New Roman" w:cs="Times New Roman"/>
          <w:sz w:val="28"/>
          <w:szCs w:val="28"/>
        </w:rPr>
      </w:pPr>
      <w:r w:rsidRPr="00722703">
        <w:rPr>
          <w:rFonts w:ascii="Times New Roman" w:hAnsi="Times New Roman" w:cs="Times New Roman"/>
          <w:sz w:val="28"/>
          <w:szCs w:val="28"/>
        </w:rPr>
        <w:t>Расчет кредитно</w:t>
      </w:r>
      <w:r w:rsidR="006B0C67">
        <w:rPr>
          <w:rFonts w:ascii="Times New Roman" w:hAnsi="Times New Roman" w:cs="Times New Roman"/>
          <w:sz w:val="28"/>
          <w:szCs w:val="28"/>
        </w:rPr>
        <w:t xml:space="preserve">го риска на примере конкретного </w:t>
      </w:r>
      <w:r w:rsidRPr="00722703">
        <w:rPr>
          <w:rFonts w:ascii="Times New Roman" w:hAnsi="Times New Roman" w:cs="Times New Roman"/>
          <w:sz w:val="28"/>
          <w:szCs w:val="28"/>
        </w:rPr>
        <w:t>банка</w:t>
      </w:r>
      <w:r w:rsidR="006B0C67">
        <w:rPr>
          <w:rFonts w:ascii="Times New Roman" w:hAnsi="Times New Roman" w:cs="Times New Roman"/>
          <w:sz w:val="28"/>
          <w:szCs w:val="28"/>
        </w:rPr>
        <w:t>……….……</w:t>
      </w:r>
      <w:r w:rsidR="00845711">
        <w:rPr>
          <w:rFonts w:ascii="Times New Roman" w:hAnsi="Times New Roman" w:cs="Times New Roman"/>
          <w:sz w:val="28"/>
          <w:szCs w:val="28"/>
        </w:rPr>
        <w:t xml:space="preserve"> 6</w:t>
      </w:r>
    </w:p>
    <w:p w:rsidR="006B0C67" w:rsidRDefault="006B0C67">
      <w:pPr>
        <w:rPr>
          <w:rFonts w:ascii="Times New Roman" w:hAnsi="Times New Roman" w:cs="Times New Roman"/>
          <w:sz w:val="28"/>
          <w:szCs w:val="28"/>
        </w:rPr>
      </w:pPr>
      <w:r>
        <w:rPr>
          <w:rFonts w:ascii="Times New Roman" w:hAnsi="Times New Roman" w:cs="Times New Roman"/>
          <w:sz w:val="28"/>
          <w:szCs w:val="28"/>
        </w:rPr>
        <w:t>Задание 2</w:t>
      </w:r>
    </w:p>
    <w:p w:rsidR="006B0C67" w:rsidRDefault="006B0C67">
      <w:pPr>
        <w:rPr>
          <w:rFonts w:ascii="Times New Roman" w:hAnsi="Times New Roman" w:cs="Times New Roman"/>
          <w:sz w:val="28"/>
          <w:szCs w:val="28"/>
        </w:rPr>
      </w:pPr>
      <w:r>
        <w:rPr>
          <w:rFonts w:ascii="Times New Roman" w:hAnsi="Times New Roman" w:cs="Times New Roman"/>
          <w:sz w:val="28"/>
          <w:szCs w:val="28"/>
        </w:rPr>
        <w:t>Задача 15………………………………………………………………….</w:t>
      </w:r>
      <w:r w:rsidR="00845711">
        <w:rPr>
          <w:rFonts w:ascii="Times New Roman" w:hAnsi="Times New Roman" w:cs="Times New Roman"/>
          <w:sz w:val="28"/>
          <w:szCs w:val="28"/>
        </w:rPr>
        <w:t>8</w:t>
      </w:r>
    </w:p>
    <w:p w:rsidR="00845711" w:rsidRDefault="00845711">
      <w:pPr>
        <w:rPr>
          <w:rFonts w:ascii="Times New Roman" w:hAnsi="Times New Roman" w:cs="Times New Roman"/>
          <w:sz w:val="28"/>
          <w:szCs w:val="28"/>
        </w:rPr>
      </w:pPr>
      <w:r>
        <w:rPr>
          <w:rFonts w:ascii="Times New Roman" w:hAnsi="Times New Roman" w:cs="Times New Roman"/>
          <w:sz w:val="28"/>
          <w:szCs w:val="28"/>
        </w:rPr>
        <w:t>Литература………………………………………………………………. 9</w:t>
      </w:r>
    </w:p>
    <w:p w:rsidR="006B0C67" w:rsidRDefault="006B0C67">
      <w:pPr>
        <w:rPr>
          <w:rFonts w:ascii="Times New Roman" w:hAnsi="Times New Roman" w:cs="Times New Roman"/>
          <w:sz w:val="28"/>
          <w:szCs w:val="28"/>
        </w:rPr>
      </w:pPr>
    </w:p>
    <w:p w:rsidR="006B0C67" w:rsidRDefault="006B0C67">
      <w:pPr>
        <w:rPr>
          <w:rFonts w:ascii="Times New Roman" w:hAnsi="Times New Roman" w:cs="Times New Roman"/>
          <w:sz w:val="28"/>
          <w:szCs w:val="28"/>
        </w:rPr>
      </w:pPr>
    </w:p>
    <w:p w:rsidR="006B0C67" w:rsidRDefault="006B0C67">
      <w:pPr>
        <w:rPr>
          <w:rFonts w:ascii="Times New Roman" w:hAnsi="Times New Roman" w:cs="Times New Roman"/>
          <w:sz w:val="28"/>
          <w:szCs w:val="28"/>
        </w:rPr>
      </w:pPr>
    </w:p>
    <w:p w:rsidR="006B0C67" w:rsidRDefault="006B0C67">
      <w:pPr>
        <w:rPr>
          <w:rFonts w:ascii="Times New Roman" w:hAnsi="Times New Roman" w:cs="Times New Roman"/>
          <w:sz w:val="28"/>
          <w:szCs w:val="28"/>
        </w:rPr>
      </w:pPr>
    </w:p>
    <w:p w:rsidR="006B0C67" w:rsidRDefault="006B0C67">
      <w:pPr>
        <w:rPr>
          <w:rFonts w:ascii="Times New Roman" w:hAnsi="Times New Roman" w:cs="Times New Roman"/>
          <w:sz w:val="28"/>
          <w:szCs w:val="28"/>
        </w:rPr>
      </w:pPr>
    </w:p>
    <w:p w:rsidR="006B0C67" w:rsidRDefault="006B0C67">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sz w:val="28"/>
          <w:szCs w:val="28"/>
        </w:rPr>
      </w:pPr>
    </w:p>
    <w:p w:rsidR="000079CD" w:rsidRDefault="000079CD">
      <w:pPr>
        <w:rPr>
          <w:rFonts w:ascii="Times New Roman" w:hAnsi="Times New Roman" w:cs="Times New Roman"/>
          <w:b/>
          <w:sz w:val="28"/>
          <w:szCs w:val="28"/>
        </w:rPr>
      </w:pPr>
      <w:r w:rsidRPr="000079CD">
        <w:rPr>
          <w:rFonts w:ascii="Times New Roman" w:hAnsi="Times New Roman" w:cs="Times New Roman"/>
          <w:b/>
          <w:sz w:val="28"/>
          <w:szCs w:val="28"/>
        </w:rPr>
        <w:t>Понятие кредитного риска, методы его оценки</w:t>
      </w:r>
    </w:p>
    <w:p w:rsidR="000079CD" w:rsidRPr="000079CD" w:rsidRDefault="000079CD" w:rsidP="00D8717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Кредитный риск – риск возникновения убытков вследствие неисполнения или ненадлежащего исполнения должником финансовых обязательств перед банком в соответствии с условиями договора.</w:t>
      </w:r>
      <w:r>
        <w:rPr>
          <w:rFonts w:ascii="Times New Roman" w:hAnsi="Times New Roman" w:cs="Times New Roman"/>
          <w:sz w:val="28"/>
          <w:szCs w:val="28"/>
        </w:rPr>
        <w:br/>
        <w:t>Кредитный риск – риск на заемщиков, контрагентов банка, эмитентов долговых обязательств, дебиторов. Является наиболее  наиболее значимым для банка (66 – 70% активов КБ приходятся на ссудные операции)</w:t>
      </w:r>
    </w:p>
    <w:p w:rsidR="00126269" w:rsidRDefault="00D8717D" w:rsidP="00D8717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Объекты </w:t>
      </w:r>
      <w:r w:rsidR="00126269">
        <w:rPr>
          <w:rFonts w:ascii="Times New Roman" w:hAnsi="Times New Roman" w:cs="Times New Roman"/>
          <w:sz w:val="28"/>
          <w:szCs w:val="28"/>
        </w:rPr>
        <w:t>кредитного риска:</w:t>
      </w:r>
      <w:r w:rsidR="00126269">
        <w:rPr>
          <w:rFonts w:ascii="Times New Roman" w:hAnsi="Times New Roman" w:cs="Times New Roman"/>
          <w:sz w:val="28"/>
          <w:szCs w:val="28"/>
        </w:rPr>
        <w:br/>
        <w:t>-ссуды и дебиторская задолженность</w:t>
      </w:r>
      <w:r w:rsidR="00126269">
        <w:rPr>
          <w:rFonts w:ascii="Times New Roman" w:hAnsi="Times New Roman" w:cs="Times New Roman"/>
          <w:sz w:val="28"/>
          <w:szCs w:val="28"/>
        </w:rPr>
        <w:br/>
        <w:t>-долговые инструменты в портфеле банка(облигации, векселя, сертификаты)</w:t>
      </w:r>
      <w:r w:rsidR="00126269">
        <w:rPr>
          <w:rFonts w:ascii="Times New Roman" w:hAnsi="Times New Roman" w:cs="Times New Roman"/>
          <w:sz w:val="28"/>
          <w:szCs w:val="28"/>
        </w:rPr>
        <w:br/>
        <w:t>-гарантии в любой форме</w:t>
      </w:r>
      <w:r w:rsidR="00126269">
        <w:rPr>
          <w:rFonts w:ascii="Times New Roman" w:hAnsi="Times New Roman" w:cs="Times New Roman"/>
          <w:sz w:val="28"/>
          <w:szCs w:val="28"/>
        </w:rPr>
        <w:br/>
        <w:t>-производные финансовые инструменты</w:t>
      </w:r>
      <w:r w:rsidR="00126269">
        <w:rPr>
          <w:rFonts w:ascii="Times New Roman" w:hAnsi="Times New Roman" w:cs="Times New Roman"/>
          <w:sz w:val="28"/>
          <w:szCs w:val="28"/>
        </w:rPr>
        <w:br/>
        <w:t>-приобретенные права требований и др.</w:t>
      </w:r>
    </w:p>
    <w:p w:rsidR="00A00162" w:rsidRDefault="00126269" w:rsidP="00D8717D">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Источники кредитного риска:</w:t>
      </w:r>
      <w:r>
        <w:rPr>
          <w:rFonts w:ascii="Times New Roman" w:hAnsi="Times New Roman" w:cs="Times New Roman"/>
          <w:sz w:val="28"/>
          <w:szCs w:val="28"/>
        </w:rPr>
        <w:br/>
        <w:t>-макроэкономический риск (связанный с неблагоприятным развитием экономики)</w:t>
      </w:r>
      <w:r>
        <w:rPr>
          <w:rFonts w:ascii="Times New Roman" w:hAnsi="Times New Roman" w:cs="Times New Roman"/>
          <w:sz w:val="28"/>
          <w:szCs w:val="28"/>
        </w:rPr>
        <w:br/>
        <w:t>-политический риск</w:t>
      </w:r>
      <w:r w:rsidR="00A00162">
        <w:rPr>
          <w:rFonts w:ascii="Times New Roman" w:hAnsi="Times New Roman" w:cs="Times New Roman"/>
          <w:sz w:val="28"/>
          <w:szCs w:val="28"/>
        </w:rPr>
        <w:t xml:space="preserve"> </w:t>
      </w:r>
      <w:r>
        <w:rPr>
          <w:rFonts w:ascii="Times New Roman" w:hAnsi="Times New Roman" w:cs="Times New Roman"/>
          <w:sz w:val="28"/>
          <w:szCs w:val="28"/>
        </w:rPr>
        <w:t xml:space="preserve"> (связанный с решением госорганов, неблагоприятно</w:t>
      </w:r>
      <w:r w:rsidR="00F30573">
        <w:rPr>
          <w:rFonts w:ascii="Times New Roman" w:hAnsi="Times New Roman" w:cs="Times New Roman"/>
          <w:sz w:val="28"/>
          <w:szCs w:val="28"/>
        </w:rPr>
        <w:t xml:space="preserve"> влияющих на развитие бизнеса</w:t>
      </w:r>
      <w:r w:rsidR="00A00162">
        <w:rPr>
          <w:rFonts w:ascii="Times New Roman" w:hAnsi="Times New Roman" w:cs="Times New Roman"/>
          <w:sz w:val="28"/>
          <w:szCs w:val="28"/>
        </w:rPr>
        <w:t xml:space="preserve"> заёмщика)</w:t>
      </w:r>
      <w:r w:rsidR="00A00162">
        <w:rPr>
          <w:rFonts w:ascii="Times New Roman" w:hAnsi="Times New Roman" w:cs="Times New Roman"/>
          <w:sz w:val="28"/>
          <w:szCs w:val="28"/>
        </w:rPr>
        <w:br/>
        <w:t>-отраслевой риск  (неблагоприятные тенденции в отрасли)</w:t>
      </w:r>
      <w:r w:rsidR="00A00162">
        <w:rPr>
          <w:rFonts w:ascii="Times New Roman" w:hAnsi="Times New Roman" w:cs="Times New Roman"/>
          <w:sz w:val="28"/>
          <w:szCs w:val="28"/>
        </w:rPr>
        <w:br/>
        <w:t>-неплатёжеспособность заёмщика/контрагента</w:t>
      </w:r>
      <w:r w:rsidR="00A00162">
        <w:rPr>
          <w:rFonts w:ascii="Times New Roman" w:hAnsi="Times New Roman" w:cs="Times New Roman"/>
          <w:sz w:val="28"/>
          <w:szCs w:val="28"/>
        </w:rPr>
        <w:br/>
      </w:r>
      <w:r w:rsidR="00A00162">
        <w:rPr>
          <w:rFonts w:ascii="Times New Roman" w:hAnsi="Times New Roman" w:cs="Times New Roman"/>
          <w:sz w:val="28"/>
          <w:szCs w:val="28"/>
        </w:rPr>
        <w:br/>
      </w:r>
      <w:r w:rsidR="00D8717D">
        <w:rPr>
          <w:rFonts w:ascii="Times New Roman" w:hAnsi="Times New Roman" w:cs="Times New Roman"/>
          <w:sz w:val="28"/>
          <w:szCs w:val="28"/>
        </w:rPr>
        <w:t xml:space="preserve">            </w:t>
      </w:r>
      <w:r w:rsidR="00A00162">
        <w:rPr>
          <w:rFonts w:ascii="Times New Roman" w:hAnsi="Times New Roman" w:cs="Times New Roman"/>
          <w:sz w:val="28"/>
          <w:szCs w:val="28"/>
        </w:rPr>
        <w:t>Принципы управления кредитным риском:</w:t>
      </w:r>
    </w:p>
    <w:p w:rsidR="00A00162" w:rsidRDefault="00A00162" w:rsidP="00D8717D">
      <w:pPr>
        <w:spacing w:after="0" w:line="360" w:lineRule="auto"/>
        <w:rPr>
          <w:rFonts w:ascii="Times New Roman" w:hAnsi="Times New Roman" w:cs="Times New Roman"/>
          <w:sz w:val="28"/>
          <w:szCs w:val="28"/>
        </w:rPr>
      </w:pPr>
      <w:r>
        <w:rPr>
          <w:rFonts w:ascii="Times New Roman" w:hAnsi="Times New Roman" w:cs="Times New Roman"/>
          <w:sz w:val="28"/>
          <w:szCs w:val="28"/>
        </w:rPr>
        <w:t>-организация кредитного процесса на основе кредитной политики банка</w:t>
      </w:r>
      <w:r>
        <w:rPr>
          <w:rFonts w:ascii="Times New Roman" w:hAnsi="Times New Roman" w:cs="Times New Roman"/>
          <w:sz w:val="28"/>
          <w:szCs w:val="28"/>
        </w:rPr>
        <w:br/>
        <w:t>-формализация кредитного процесса</w:t>
      </w:r>
      <w:r>
        <w:rPr>
          <w:rFonts w:ascii="Times New Roman" w:hAnsi="Times New Roman" w:cs="Times New Roman"/>
          <w:sz w:val="28"/>
          <w:szCs w:val="28"/>
        </w:rPr>
        <w:br/>
        <w:t>-стремление к диверсификации кредитного портфеля</w:t>
      </w:r>
      <w:r>
        <w:rPr>
          <w:rFonts w:ascii="Times New Roman" w:hAnsi="Times New Roman" w:cs="Times New Roman"/>
          <w:sz w:val="28"/>
          <w:szCs w:val="28"/>
        </w:rPr>
        <w:br/>
        <w:t>-применение различных способов обеспечения кредитных договоров</w:t>
      </w:r>
      <w:r>
        <w:rPr>
          <w:rFonts w:ascii="Times New Roman" w:hAnsi="Times New Roman" w:cs="Times New Roman"/>
          <w:sz w:val="28"/>
          <w:szCs w:val="28"/>
        </w:rPr>
        <w:br/>
        <w:t>-соответствие требованием мегарегулятора в части оценки ссуд и принимаемого кредитного риска</w:t>
      </w:r>
      <w:r>
        <w:rPr>
          <w:rFonts w:ascii="Times New Roman" w:hAnsi="Times New Roman" w:cs="Times New Roman"/>
          <w:sz w:val="28"/>
          <w:szCs w:val="28"/>
        </w:rPr>
        <w:br/>
      </w:r>
      <w:r>
        <w:rPr>
          <w:rFonts w:ascii="Times New Roman" w:hAnsi="Times New Roman" w:cs="Times New Roman"/>
          <w:sz w:val="28"/>
          <w:szCs w:val="28"/>
        </w:rPr>
        <w:lastRenderedPageBreak/>
        <w:t>-обеспечение предварительного, текущего и последующего контроля уровня кредитного риска</w:t>
      </w:r>
    </w:p>
    <w:p w:rsidR="00845711" w:rsidRDefault="00845711" w:rsidP="00D8717D">
      <w:pPr>
        <w:spacing w:after="0" w:line="360" w:lineRule="auto"/>
        <w:rPr>
          <w:rFonts w:ascii="Times New Roman" w:hAnsi="Times New Roman" w:cs="Times New Roman"/>
          <w:sz w:val="28"/>
          <w:szCs w:val="28"/>
        </w:rPr>
      </w:pPr>
    </w:p>
    <w:p w:rsidR="00182357" w:rsidRPr="00D8717D" w:rsidRDefault="00182357" w:rsidP="00D8717D">
      <w:pPr>
        <w:spacing w:after="0" w:line="360" w:lineRule="auto"/>
        <w:jc w:val="both"/>
        <w:rPr>
          <w:rFonts w:ascii="Times New Roman" w:hAnsi="Times New Roman" w:cs="Times New Roman"/>
          <w:b/>
          <w:sz w:val="28"/>
          <w:szCs w:val="28"/>
        </w:rPr>
      </w:pPr>
      <w:r w:rsidRPr="00D8717D">
        <w:rPr>
          <w:rFonts w:ascii="Times New Roman" w:hAnsi="Times New Roman" w:cs="Times New Roman"/>
          <w:b/>
          <w:sz w:val="28"/>
          <w:szCs w:val="28"/>
        </w:rPr>
        <w:t>Способы минимизации кредитного риска</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1. Диверсификация портфеля ссуд - суть политики диверсификации состоит в предоставлении кредитов большему числу независимых друг от друга клиентов. Производится распределение кредитов и ценных бумаг по срокам (регулирование доли кратко-, средне- и долгосрочных вложений в зависимости от ожидаемого изменения конъюнктуры), по назначению кредитов (сезонные, на строительство и т.д.), по виду обеспечения под различные виды активов, по способу установления ставки за кредит (фиксированная или переменная), по отраслям и т.д.</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В целях диверсификации банки осуществляют рационирование кредита - устанавливают плавающие лимиты кредитования или кредитные потолки для заемщиков, сверх которых кредиты не предоставляются вне зависимости от уровня процентной ставки.</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2. Проведение комплексного анализа потенциальных заемщиков и их ранжирование по степени надежности - в процессе такого анализа особенно важным является проведение анализа финансового состояния потенциального заемщика по балансовому отчету и отчету о прибылях и убытках. Поскольку в условиях постоянного повышения спроса на кредитные ресурсы над их предложением повышение эффективности процедуры отбора нескольких заемщиков их общей очереди становится первоочередной задачей кредитной политики любого банка. Не существует более или менее формализованных методик такого анализа. Поэтому с учетом опыта американских банков можно отчасти восполнить этот пробел, предложив базовую схему такого анализа. Она предполагает, что банк оптимизирует распределение ссудных ресурсов и из многих потенциальных заемщиков выбирает наиболее надежных, то есть он ранжирует их, присвоив каждому рейтинг приоритетности займа (далее - рейтинг ссудозаемщика).</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lastRenderedPageBreak/>
        <w:t>Он состоит из точного значения (интегральный рейтинг ссудозаемщика) и группировочного значения (интегральный класс ссудозаемщика). В результате каждое из предприятий относится к одному из четырех классов.</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Кредитор в подавляющем большинстве случаев выдает кредиты в виде денег - ресурса, ликвидность которого равна 1, предприятие же затем обменивает их на менее ликвидные, но способные приносить прибыль экономические ресурсы. А поскольку структура активов фирмы инерционна, то кредитора должна прежде всего интересовать именно структура имущества предприятия в зависимости от ликвидности отдельных его статей.</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Изучение кредитором форм финансовой отчетности предприятия рекомендуется проводить по четырем направлениям:</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 анализ платежеспособности (степени обеспеченности запасов и затрат источниками их формирования);</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 анализ кредитоспособности предприятия (его восприимчивости к кредитам, способности полностью рассчитаться по своим обязательствам в срок ликвидными средствами);</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 анализ финансовой независимости (способности самостоятельно и эффективно проводить финансовую политику);</w:t>
      </w:r>
    </w:p>
    <w:p w:rsidR="00182357" w:rsidRPr="00D8717D" w:rsidRDefault="00182357" w:rsidP="00D8717D">
      <w:pPr>
        <w:spacing w:after="0" w:line="360" w:lineRule="auto"/>
        <w:ind w:firstLine="709"/>
        <w:jc w:val="both"/>
        <w:rPr>
          <w:rFonts w:ascii="Times New Roman" w:hAnsi="Times New Roman" w:cs="Times New Roman"/>
          <w:sz w:val="28"/>
          <w:szCs w:val="28"/>
        </w:rPr>
      </w:pPr>
      <w:r w:rsidRPr="00D8717D">
        <w:rPr>
          <w:rFonts w:ascii="Times New Roman" w:hAnsi="Times New Roman" w:cs="Times New Roman"/>
          <w:sz w:val="28"/>
          <w:szCs w:val="28"/>
        </w:rPr>
        <w:t>- анализ структуры задолженности (определение типа политики руководителей предприятия по структуре полученных займов).</w:t>
      </w:r>
    </w:p>
    <w:p w:rsidR="00845711" w:rsidRDefault="00845711">
      <w:pPr>
        <w:rPr>
          <w:rFonts w:ascii="Times New Roman" w:hAnsi="Times New Roman" w:cs="Times New Roman"/>
          <w:b/>
          <w:sz w:val="28"/>
          <w:szCs w:val="28"/>
        </w:rPr>
      </w:pPr>
    </w:p>
    <w:p w:rsidR="000079CD" w:rsidRPr="00D8717D" w:rsidRDefault="00D8717D">
      <w:pPr>
        <w:rPr>
          <w:rFonts w:ascii="Times New Roman" w:hAnsi="Times New Roman" w:cs="Times New Roman"/>
          <w:b/>
          <w:sz w:val="28"/>
          <w:szCs w:val="28"/>
        </w:rPr>
      </w:pPr>
      <w:r w:rsidRPr="00D8717D">
        <w:rPr>
          <w:rFonts w:ascii="Times New Roman" w:hAnsi="Times New Roman" w:cs="Times New Roman"/>
          <w:b/>
          <w:sz w:val="28"/>
          <w:szCs w:val="28"/>
        </w:rPr>
        <w:t>Расчет кредитного риска на примере конкретного банка</w:t>
      </w:r>
    </w:p>
    <w:p w:rsidR="00D8717D" w:rsidRPr="00DD2EDF" w:rsidRDefault="00D8717D" w:rsidP="00D8717D">
      <w:pPr>
        <w:spacing w:after="0" w:line="360" w:lineRule="auto"/>
        <w:ind w:firstLine="709"/>
        <w:jc w:val="both"/>
        <w:rPr>
          <w:rFonts w:ascii="Times New Roman" w:hAnsi="Times New Roman" w:cs="Times New Roman"/>
          <w:sz w:val="28"/>
          <w:szCs w:val="28"/>
        </w:rPr>
      </w:pPr>
      <w:r w:rsidRPr="00C44DA1">
        <w:rPr>
          <w:rFonts w:ascii="Times New Roman" w:hAnsi="Times New Roman" w:cs="Times New Roman"/>
          <w:sz w:val="28"/>
          <w:szCs w:val="28"/>
        </w:rPr>
        <w:t xml:space="preserve">Кредитный риск </w:t>
      </w:r>
      <w:r>
        <w:rPr>
          <w:rFonts w:ascii="Times New Roman" w:hAnsi="Times New Roman" w:cs="Times New Roman"/>
          <w:sz w:val="28"/>
          <w:szCs w:val="28"/>
        </w:rPr>
        <w:t>–</w:t>
      </w:r>
      <w:r w:rsidRPr="00DD2EDF">
        <w:rPr>
          <w:rFonts w:ascii="Times New Roman" w:hAnsi="Times New Roman" w:cs="Times New Roman"/>
          <w:sz w:val="28"/>
          <w:szCs w:val="28"/>
        </w:rPr>
        <w:t xml:space="preserve"> возможность потерь банком финансового актива в результате неспособности контрагентов (заемщиков) исполнить свои обязательства по выплате процентов и основной суммы долга в соответствии с условиями договора.</w:t>
      </w:r>
    </w:p>
    <w:p w:rsidR="00D8717D" w:rsidRPr="00DD2EDF" w:rsidRDefault="00D8717D" w:rsidP="00D8717D">
      <w:pPr>
        <w:spacing w:after="0" w:line="360" w:lineRule="auto"/>
        <w:ind w:firstLine="709"/>
        <w:jc w:val="both"/>
        <w:rPr>
          <w:rFonts w:ascii="Times New Roman" w:hAnsi="Times New Roman" w:cs="Times New Roman"/>
          <w:sz w:val="28"/>
          <w:szCs w:val="28"/>
        </w:rPr>
      </w:pPr>
      <w:r w:rsidRPr="00DD2EDF">
        <w:rPr>
          <w:rFonts w:ascii="Times New Roman" w:hAnsi="Times New Roman" w:cs="Times New Roman"/>
          <w:sz w:val="28"/>
          <w:szCs w:val="28"/>
        </w:rPr>
        <w:t>По источнику проявления кредитные риски можно разделить на два вида:</w:t>
      </w:r>
    </w:p>
    <w:p w:rsidR="00D8717D" w:rsidRPr="00DD2EDF" w:rsidRDefault="00D8717D" w:rsidP="00D8717D">
      <w:pPr>
        <w:spacing w:after="0" w:line="360" w:lineRule="auto"/>
        <w:ind w:firstLine="709"/>
        <w:jc w:val="both"/>
        <w:rPr>
          <w:rFonts w:ascii="Times New Roman" w:hAnsi="Times New Roman" w:cs="Times New Roman"/>
          <w:sz w:val="28"/>
          <w:szCs w:val="28"/>
        </w:rPr>
      </w:pPr>
      <w:r w:rsidRPr="00DD2EDF">
        <w:rPr>
          <w:rFonts w:ascii="Times New Roman" w:hAnsi="Times New Roman" w:cs="Times New Roman"/>
          <w:sz w:val="28"/>
          <w:szCs w:val="28"/>
        </w:rPr>
        <w:lastRenderedPageBreak/>
        <w:t>1) внешний, обусловленный платежеспособностью, надежностью контрагента, вероятностью объявления им</w:t>
      </w:r>
      <w:r w:rsidRPr="00C44DA1">
        <w:rPr>
          <w:rFonts w:ascii="Times New Roman" w:hAnsi="Times New Roman" w:cs="Times New Roman"/>
          <w:sz w:val="28"/>
          <w:szCs w:val="28"/>
        </w:rPr>
        <w:t xml:space="preserve"> дефолта </w:t>
      </w:r>
      <w:r w:rsidRPr="00DD2EDF">
        <w:rPr>
          <w:rFonts w:ascii="Times New Roman" w:hAnsi="Times New Roman" w:cs="Times New Roman"/>
          <w:sz w:val="28"/>
          <w:szCs w:val="28"/>
        </w:rPr>
        <w:t>и потенциальных потерь в случае дефолта;</w:t>
      </w:r>
    </w:p>
    <w:p w:rsidR="00D8717D" w:rsidRPr="00DD2EDF" w:rsidRDefault="00D8717D" w:rsidP="00D8717D">
      <w:pPr>
        <w:spacing w:after="0" w:line="360" w:lineRule="auto"/>
        <w:ind w:firstLine="709"/>
        <w:jc w:val="both"/>
        <w:rPr>
          <w:rFonts w:ascii="Times New Roman" w:hAnsi="Times New Roman" w:cs="Times New Roman"/>
          <w:sz w:val="28"/>
          <w:szCs w:val="28"/>
        </w:rPr>
      </w:pPr>
      <w:r w:rsidRPr="00DD2EDF">
        <w:rPr>
          <w:rFonts w:ascii="Times New Roman" w:hAnsi="Times New Roman" w:cs="Times New Roman"/>
          <w:sz w:val="28"/>
          <w:szCs w:val="28"/>
        </w:rPr>
        <w:t>2) внутренний, сопряженный с особенностями кредитного продукта и возможных потерь по нему вследствие невыполнения контрагентом своих обязательств.</w:t>
      </w:r>
    </w:p>
    <w:p w:rsidR="00D8717D" w:rsidRPr="00C44DA1" w:rsidRDefault="00D8717D" w:rsidP="00D8717D">
      <w:pPr>
        <w:spacing w:after="0" w:line="360" w:lineRule="auto"/>
        <w:ind w:firstLine="709"/>
        <w:jc w:val="both"/>
        <w:rPr>
          <w:rFonts w:ascii="Times New Roman" w:hAnsi="Times New Roman" w:cs="Times New Roman"/>
          <w:sz w:val="28"/>
          <w:szCs w:val="28"/>
        </w:rPr>
      </w:pPr>
      <w:r w:rsidRPr="00C44DA1">
        <w:rPr>
          <w:rFonts w:ascii="Times New Roman" w:hAnsi="Times New Roman" w:cs="Times New Roman"/>
          <w:sz w:val="28"/>
          <w:szCs w:val="28"/>
        </w:rPr>
        <w:t xml:space="preserve">Методика расчетов, основных коэффициентов, характеризующих </w:t>
      </w:r>
      <w:r>
        <w:rPr>
          <w:rFonts w:ascii="Times New Roman" w:hAnsi="Times New Roman" w:cs="Times New Roman"/>
          <w:sz w:val="28"/>
          <w:szCs w:val="28"/>
        </w:rPr>
        <w:t xml:space="preserve">кредитный </w:t>
      </w:r>
      <w:r w:rsidRPr="00C44DA1">
        <w:rPr>
          <w:rFonts w:ascii="Times New Roman" w:hAnsi="Times New Roman" w:cs="Times New Roman"/>
          <w:sz w:val="28"/>
          <w:szCs w:val="28"/>
        </w:rPr>
        <w:t>риск АКБ «</w:t>
      </w:r>
      <w:r>
        <w:rPr>
          <w:rFonts w:ascii="Times New Roman" w:hAnsi="Times New Roman" w:cs="Times New Roman"/>
          <w:sz w:val="28"/>
          <w:szCs w:val="28"/>
        </w:rPr>
        <w:t>ФОРА-БАНК</w:t>
      </w:r>
      <w:r w:rsidRPr="00C44DA1">
        <w:rPr>
          <w:rFonts w:ascii="Times New Roman" w:hAnsi="Times New Roman" w:cs="Times New Roman"/>
          <w:sz w:val="28"/>
          <w:szCs w:val="28"/>
        </w:rPr>
        <w:t>»</w:t>
      </w:r>
      <w:r>
        <w:rPr>
          <w:rFonts w:ascii="Times New Roman" w:hAnsi="Times New Roman" w:cs="Times New Roman"/>
          <w:sz w:val="28"/>
          <w:szCs w:val="28"/>
        </w:rPr>
        <w:t xml:space="preserve"> (АО)</w:t>
      </w:r>
      <w:r w:rsidRPr="00C44DA1">
        <w:rPr>
          <w:rFonts w:ascii="Times New Roman" w:hAnsi="Times New Roman" w:cs="Times New Roman"/>
          <w:sz w:val="28"/>
          <w:szCs w:val="28"/>
        </w:rPr>
        <w:t xml:space="preserve"> приведена в таблице</w:t>
      </w:r>
      <w:r>
        <w:rPr>
          <w:rFonts w:ascii="Times New Roman" w:hAnsi="Times New Roman" w:cs="Times New Roman"/>
          <w:sz w:val="28"/>
          <w:szCs w:val="28"/>
        </w:rPr>
        <w:t xml:space="preserve"> 1</w:t>
      </w:r>
      <w:r w:rsidRPr="00C44DA1">
        <w:rPr>
          <w:rFonts w:ascii="Times New Roman" w:hAnsi="Times New Roman" w:cs="Times New Roman"/>
          <w:sz w:val="28"/>
          <w:szCs w:val="28"/>
        </w:rPr>
        <w:t>.</w:t>
      </w:r>
    </w:p>
    <w:p w:rsidR="00D8717D" w:rsidRDefault="00D8717D" w:rsidP="00D8717D">
      <w:pPr>
        <w:spacing w:after="0" w:line="360" w:lineRule="auto"/>
        <w:jc w:val="both"/>
        <w:rPr>
          <w:rFonts w:ascii="Times New Roman" w:hAnsi="Times New Roman" w:cs="Times New Roman"/>
          <w:sz w:val="28"/>
          <w:szCs w:val="28"/>
        </w:rPr>
      </w:pPr>
      <w:r w:rsidRPr="00C44DA1">
        <w:rPr>
          <w:rFonts w:ascii="Times New Roman" w:hAnsi="Times New Roman" w:cs="Times New Roman"/>
          <w:sz w:val="28"/>
          <w:szCs w:val="28"/>
        </w:rPr>
        <w:t>Таблица 1 - Расчет основных коэффициентов, характеризующих кредитный рискАКБ «</w:t>
      </w:r>
      <w:r>
        <w:rPr>
          <w:rFonts w:ascii="Times New Roman" w:hAnsi="Times New Roman" w:cs="Times New Roman"/>
          <w:sz w:val="28"/>
          <w:szCs w:val="28"/>
        </w:rPr>
        <w:t>ФОРА-БАНК</w:t>
      </w:r>
      <w:r w:rsidRPr="00C44DA1">
        <w:rPr>
          <w:rFonts w:ascii="Times New Roman" w:hAnsi="Times New Roman" w:cs="Times New Roman"/>
          <w:sz w:val="28"/>
          <w:szCs w:val="28"/>
        </w:rPr>
        <w:t>»</w:t>
      </w:r>
      <w:r>
        <w:rPr>
          <w:rFonts w:ascii="Times New Roman" w:hAnsi="Times New Roman" w:cs="Times New Roman"/>
          <w:sz w:val="28"/>
          <w:szCs w:val="28"/>
        </w:rPr>
        <w:t xml:space="preserve"> (АО).</w:t>
      </w:r>
    </w:p>
    <w:p w:rsidR="00D8717D" w:rsidRDefault="00D8717D" w:rsidP="00D8717D">
      <w:pPr>
        <w:spacing w:after="0" w:line="360" w:lineRule="auto"/>
        <w:jc w:val="both"/>
        <w:rPr>
          <w:rFonts w:ascii="Times New Roman" w:hAnsi="Times New Roman" w:cs="Times New Roman"/>
          <w:sz w:val="28"/>
          <w:szCs w:val="28"/>
        </w:rPr>
      </w:pPr>
    </w:p>
    <w:p w:rsidR="00D8717D" w:rsidRDefault="00D8717D" w:rsidP="00D8717D">
      <w:pPr>
        <w:spacing w:after="0" w:line="360" w:lineRule="auto"/>
        <w:jc w:val="both"/>
        <w:rPr>
          <w:rFonts w:ascii="Times New Roman" w:hAnsi="Times New Roman" w:cs="Times New Roman"/>
          <w:sz w:val="28"/>
          <w:szCs w:val="28"/>
        </w:rPr>
      </w:pPr>
    </w:p>
    <w:p w:rsidR="00D8717D" w:rsidRDefault="00D8717D" w:rsidP="00D8717D">
      <w:pPr>
        <w:spacing w:after="0" w:line="360" w:lineRule="auto"/>
        <w:jc w:val="both"/>
        <w:rPr>
          <w:rFonts w:ascii="Times New Roman" w:hAnsi="Times New Roman" w:cs="Times New Roman"/>
          <w:sz w:val="28"/>
          <w:szCs w:val="28"/>
        </w:rPr>
      </w:pPr>
    </w:p>
    <w:tbl>
      <w:tblPr>
        <w:tblW w:w="9740" w:type="dxa"/>
        <w:jc w:val="center"/>
        <w:tblLook w:val="0000"/>
      </w:tblPr>
      <w:tblGrid>
        <w:gridCol w:w="2117"/>
        <w:gridCol w:w="4791"/>
        <w:gridCol w:w="1356"/>
        <w:gridCol w:w="1476"/>
      </w:tblGrid>
      <w:tr w:rsidR="00D8717D" w:rsidRPr="00533360" w:rsidTr="00104309">
        <w:trPr>
          <w:trHeight w:val="255"/>
          <w:jc w:val="center"/>
        </w:trPr>
        <w:tc>
          <w:tcPr>
            <w:tcW w:w="2122" w:type="dxa"/>
            <w:vMerge w:val="restart"/>
            <w:tcBorders>
              <w:top w:val="single" w:sz="4" w:space="0" w:color="auto"/>
              <w:left w:val="single" w:sz="4" w:space="0" w:color="auto"/>
              <w:right w:val="single" w:sz="4" w:space="0" w:color="auto"/>
            </w:tcBorders>
            <w:vAlign w:val="center"/>
          </w:tcPr>
          <w:p w:rsidR="00D8717D" w:rsidRPr="00533360" w:rsidRDefault="00D8717D" w:rsidP="00104309">
            <w:pPr>
              <w:pStyle w:val="1"/>
              <w:spacing w:line="240" w:lineRule="auto"/>
              <w:jc w:val="center"/>
              <w:rPr>
                <w:sz w:val="24"/>
                <w:szCs w:val="24"/>
              </w:rPr>
            </w:pPr>
            <w:r w:rsidRPr="00533360">
              <w:rPr>
                <w:sz w:val="24"/>
                <w:szCs w:val="24"/>
              </w:rPr>
              <w:t>Коэффициент</w:t>
            </w:r>
          </w:p>
        </w:tc>
        <w:tc>
          <w:tcPr>
            <w:tcW w:w="4786" w:type="dxa"/>
            <w:vMerge w:val="restart"/>
            <w:tcBorders>
              <w:top w:val="single" w:sz="4" w:space="0" w:color="auto"/>
              <w:left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sidRPr="00533360">
              <w:rPr>
                <w:sz w:val="24"/>
                <w:szCs w:val="24"/>
              </w:rPr>
              <w:t>Формула</w:t>
            </w:r>
          </w:p>
        </w:tc>
        <w:tc>
          <w:tcPr>
            <w:tcW w:w="2832" w:type="dxa"/>
            <w:gridSpan w:val="2"/>
            <w:tcBorders>
              <w:top w:val="single" w:sz="4" w:space="0" w:color="auto"/>
              <w:left w:val="nil"/>
              <w:bottom w:val="single" w:sz="4" w:space="0" w:color="auto"/>
              <w:right w:val="single" w:sz="4" w:space="0" w:color="auto"/>
            </w:tcBorders>
            <w:vAlign w:val="center"/>
          </w:tcPr>
          <w:p w:rsidR="00D8717D" w:rsidRPr="00533360" w:rsidRDefault="00D8717D" w:rsidP="00104309">
            <w:pPr>
              <w:pStyle w:val="1"/>
              <w:spacing w:line="240" w:lineRule="auto"/>
              <w:jc w:val="center"/>
              <w:rPr>
                <w:sz w:val="24"/>
                <w:szCs w:val="24"/>
              </w:rPr>
            </w:pPr>
            <w:r w:rsidRPr="00533360">
              <w:rPr>
                <w:sz w:val="24"/>
                <w:szCs w:val="24"/>
              </w:rPr>
              <w:t>Значение</w:t>
            </w:r>
          </w:p>
        </w:tc>
      </w:tr>
      <w:tr w:rsidR="00D8717D" w:rsidRPr="00533360" w:rsidTr="00104309">
        <w:trPr>
          <w:trHeight w:val="255"/>
          <w:jc w:val="center"/>
        </w:trPr>
        <w:tc>
          <w:tcPr>
            <w:tcW w:w="2122" w:type="dxa"/>
            <w:vMerge/>
            <w:tcBorders>
              <w:left w:val="single" w:sz="4" w:space="0" w:color="auto"/>
              <w:bottom w:val="single" w:sz="4" w:space="0" w:color="auto"/>
              <w:right w:val="single" w:sz="4" w:space="0" w:color="auto"/>
            </w:tcBorders>
            <w:vAlign w:val="center"/>
          </w:tcPr>
          <w:p w:rsidR="00D8717D" w:rsidRPr="00533360" w:rsidRDefault="00D8717D" w:rsidP="00104309">
            <w:pPr>
              <w:pStyle w:val="1"/>
              <w:spacing w:line="240" w:lineRule="auto"/>
              <w:jc w:val="center"/>
              <w:rPr>
                <w:sz w:val="24"/>
                <w:szCs w:val="24"/>
              </w:rPr>
            </w:pPr>
          </w:p>
        </w:tc>
        <w:tc>
          <w:tcPr>
            <w:tcW w:w="4786" w:type="dxa"/>
            <w:vMerge/>
            <w:tcBorders>
              <w:left w:val="single" w:sz="4" w:space="0" w:color="auto"/>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p>
        </w:tc>
        <w:tc>
          <w:tcPr>
            <w:tcW w:w="1356" w:type="dxa"/>
            <w:tcBorders>
              <w:top w:val="single" w:sz="4" w:space="0" w:color="auto"/>
              <w:left w:val="nil"/>
              <w:bottom w:val="single" w:sz="4" w:space="0" w:color="auto"/>
              <w:right w:val="single" w:sz="4" w:space="0" w:color="auto"/>
            </w:tcBorders>
            <w:vAlign w:val="center"/>
          </w:tcPr>
          <w:p w:rsidR="00D8717D" w:rsidRPr="00533360" w:rsidRDefault="00D8717D" w:rsidP="00104309">
            <w:pPr>
              <w:pStyle w:val="1"/>
              <w:spacing w:line="240" w:lineRule="auto"/>
              <w:jc w:val="center"/>
              <w:rPr>
                <w:sz w:val="24"/>
                <w:szCs w:val="24"/>
              </w:rPr>
            </w:pPr>
            <w:r w:rsidRPr="00533360">
              <w:rPr>
                <w:sz w:val="24"/>
                <w:szCs w:val="24"/>
              </w:rPr>
              <w:t>01.01.2015</w:t>
            </w:r>
          </w:p>
        </w:tc>
        <w:tc>
          <w:tcPr>
            <w:tcW w:w="1476" w:type="dxa"/>
            <w:tcBorders>
              <w:top w:val="single" w:sz="4" w:space="0" w:color="auto"/>
              <w:left w:val="nil"/>
              <w:bottom w:val="single" w:sz="4" w:space="0" w:color="auto"/>
              <w:right w:val="single" w:sz="4" w:space="0" w:color="auto"/>
            </w:tcBorders>
            <w:vAlign w:val="center"/>
          </w:tcPr>
          <w:p w:rsidR="00D8717D" w:rsidRPr="00533360" w:rsidRDefault="00D8717D" w:rsidP="00104309">
            <w:pPr>
              <w:pStyle w:val="1"/>
              <w:spacing w:line="240" w:lineRule="auto"/>
              <w:jc w:val="center"/>
              <w:rPr>
                <w:sz w:val="24"/>
                <w:szCs w:val="24"/>
              </w:rPr>
            </w:pPr>
            <w:r w:rsidRPr="00533360">
              <w:rPr>
                <w:sz w:val="24"/>
                <w:szCs w:val="24"/>
              </w:rPr>
              <w:t>01.01.2016</w:t>
            </w:r>
          </w:p>
        </w:tc>
      </w:tr>
      <w:tr w:rsidR="00D8717D" w:rsidRPr="00533360" w:rsidTr="00104309">
        <w:trPr>
          <w:trHeight w:val="255"/>
          <w:jc w:val="center"/>
        </w:trPr>
        <w:tc>
          <w:tcPr>
            <w:tcW w:w="2122" w:type="dxa"/>
            <w:tcBorders>
              <w:top w:val="nil"/>
              <w:left w:val="single" w:sz="4" w:space="0" w:color="auto"/>
              <w:bottom w:val="single" w:sz="4" w:space="0" w:color="auto"/>
              <w:right w:val="single" w:sz="4" w:space="0" w:color="auto"/>
            </w:tcBorders>
            <w:vAlign w:val="center"/>
          </w:tcPr>
          <w:p w:rsidR="00D8717D" w:rsidRPr="00533360" w:rsidRDefault="00D8717D" w:rsidP="00104309">
            <w:pPr>
              <w:pStyle w:val="1"/>
              <w:spacing w:line="240" w:lineRule="auto"/>
              <w:jc w:val="left"/>
              <w:rPr>
                <w:sz w:val="24"/>
                <w:szCs w:val="24"/>
              </w:rPr>
            </w:pPr>
            <w:r w:rsidRPr="00533360">
              <w:rPr>
                <w:sz w:val="24"/>
                <w:szCs w:val="24"/>
              </w:rPr>
              <w:t>Убыточности кредитных операций</w:t>
            </w:r>
          </w:p>
        </w:tc>
        <w:tc>
          <w:tcPr>
            <w:tcW w:w="4786" w:type="dxa"/>
            <w:tcBorders>
              <w:top w:val="nil"/>
              <w:left w:val="single" w:sz="4" w:space="0" w:color="auto"/>
              <w:bottom w:val="single" w:sz="4" w:space="0" w:color="auto"/>
              <w:right w:val="single" w:sz="4" w:space="0" w:color="auto"/>
            </w:tcBorders>
            <w:noWrap/>
            <w:vAlign w:val="center"/>
          </w:tcPr>
          <w:p w:rsidR="00D8717D" w:rsidRPr="00533360" w:rsidRDefault="00BE6A55" w:rsidP="00104309">
            <w:pPr>
              <w:pStyle w:val="1"/>
              <w:spacing w:line="240" w:lineRule="auto"/>
              <w:jc w:val="center"/>
              <w:rPr>
                <w:sz w:val="24"/>
                <w:szCs w:val="24"/>
              </w:rPr>
            </w:pPr>
            <m:oMathPara>
              <m:oMath>
                <m:f>
                  <m:fPr>
                    <m:ctrlPr>
                      <w:rPr>
                        <w:rFonts w:ascii="Cambria Math" w:hAnsi="Cambria Math"/>
                        <w:i/>
                        <w:sz w:val="24"/>
                        <w:szCs w:val="24"/>
                      </w:rPr>
                    </m:ctrlPr>
                  </m:fPr>
                  <m:num>
                    <m:r>
                      <w:rPr>
                        <w:rFonts w:ascii="Cambria Math" w:hAnsi="Cambria Math"/>
                        <w:sz w:val="24"/>
                        <w:szCs w:val="24"/>
                      </w:rPr>
                      <m:t>Убытки по ссудам</m:t>
                    </m:r>
                  </m:num>
                  <m:den>
                    <m:r>
                      <w:rPr>
                        <w:rFonts w:ascii="Cambria Math" w:hAnsi="Cambria Math"/>
                        <w:sz w:val="24"/>
                        <w:szCs w:val="24"/>
                      </w:rPr>
                      <m:t>СЗ</m:t>
                    </m:r>
                  </m:den>
                </m:f>
              </m:oMath>
            </m:oMathPara>
          </w:p>
        </w:tc>
        <w:tc>
          <w:tcPr>
            <w:tcW w:w="1356" w:type="dxa"/>
            <w:tcBorders>
              <w:top w:val="nil"/>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0,0051</w:t>
            </w:r>
          </w:p>
        </w:tc>
        <w:tc>
          <w:tcPr>
            <w:tcW w:w="1476" w:type="dxa"/>
            <w:tcBorders>
              <w:top w:val="nil"/>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0,6656</w:t>
            </w:r>
          </w:p>
        </w:tc>
      </w:tr>
      <w:tr w:rsidR="00D8717D" w:rsidRPr="00533360" w:rsidTr="00104309">
        <w:trPr>
          <w:trHeight w:val="255"/>
          <w:jc w:val="center"/>
        </w:trPr>
        <w:tc>
          <w:tcPr>
            <w:tcW w:w="2122" w:type="dxa"/>
            <w:tcBorders>
              <w:top w:val="nil"/>
              <w:left w:val="single" w:sz="4" w:space="0" w:color="auto"/>
              <w:bottom w:val="single" w:sz="4" w:space="0" w:color="auto"/>
              <w:right w:val="single" w:sz="4" w:space="0" w:color="auto"/>
            </w:tcBorders>
            <w:vAlign w:val="center"/>
          </w:tcPr>
          <w:p w:rsidR="00D8717D" w:rsidRPr="00533360" w:rsidRDefault="00D8717D" w:rsidP="00104309">
            <w:pPr>
              <w:pStyle w:val="1"/>
              <w:spacing w:line="240" w:lineRule="auto"/>
              <w:jc w:val="left"/>
              <w:rPr>
                <w:sz w:val="24"/>
                <w:szCs w:val="24"/>
              </w:rPr>
            </w:pPr>
          </w:p>
        </w:tc>
        <w:tc>
          <w:tcPr>
            <w:tcW w:w="4786" w:type="dxa"/>
            <w:tcBorders>
              <w:top w:val="nil"/>
              <w:left w:val="single" w:sz="4" w:space="0" w:color="auto"/>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m:oMathPara>
              <m:oMath>
                <m:r>
                  <w:rPr>
                    <w:rFonts w:ascii="Cambria Math" w:hAnsi="Cambria Math"/>
                    <w:sz w:val="24"/>
                    <w:szCs w:val="24"/>
                  </w:rPr>
                  <m:t>Убытки по ссудам=Недополученные % и комисси+Сформированный резерв по ссудам</m:t>
                </m:r>
              </m:oMath>
            </m:oMathPara>
          </w:p>
        </w:tc>
        <w:tc>
          <w:tcPr>
            <w:tcW w:w="1356" w:type="dxa"/>
            <w:tcBorders>
              <w:top w:val="nil"/>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160873</w:t>
            </w:r>
          </w:p>
        </w:tc>
        <w:tc>
          <w:tcPr>
            <w:tcW w:w="1476" w:type="dxa"/>
            <w:tcBorders>
              <w:top w:val="nil"/>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220326</w:t>
            </w:r>
          </w:p>
        </w:tc>
      </w:tr>
      <w:tr w:rsidR="00D8717D" w:rsidRPr="00533360" w:rsidTr="00104309">
        <w:trPr>
          <w:trHeight w:val="255"/>
          <w:jc w:val="center"/>
        </w:trPr>
        <w:tc>
          <w:tcPr>
            <w:tcW w:w="2122" w:type="dxa"/>
            <w:tcBorders>
              <w:top w:val="single" w:sz="4" w:space="0" w:color="auto"/>
              <w:left w:val="single" w:sz="4" w:space="0" w:color="auto"/>
              <w:bottom w:val="single" w:sz="4" w:space="0" w:color="auto"/>
              <w:right w:val="single" w:sz="4" w:space="0" w:color="auto"/>
            </w:tcBorders>
            <w:vAlign w:val="center"/>
          </w:tcPr>
          <w:p w:rsidR="00D8717D" w:rsidRPr="00533360" w:rsidRDefault="00D8717D" w:rsidP="00104309">
            <w:pPr>
              <w:pStyle w:val="1"/>
              <w:spacing w:line="240" w:lineRule="auto"/>
              <w:jc w:val="left"/>
              <w:rPr>
                <w:sz w:val="24"/>
                <w:szCs w:val="24"/>
              </w:rPr>
            </w:pPr>
            <w:r w:rsidRPr="00533360">
              <w:rPr>
                <w:sz w:val="24"/>
                <w:szCs w:val="24"/>
              </w:rPr>
              <w:t>Кредитного риска</w:t>
            </w:r>
          </w:p>
        </w:tc>
        <w:tc>
          <w:tcPr>
            <w:tcW w:w="4786" w:type="dxa"/>
            <w:tcBorders>
              <w:top w:val="single" w:sz="4" w:space="0" w:color="auto"/>
              <w:left w:val="single" w:sz="4" w:space="0" w:color="auto"/>
              <w:bottom w:val="single" w:sz="4" w:space="0" w:color="auto"/>
              <w:right w:val="single" w:sz="4" w:space="0" w:color="auto"/>
            </w:tcBorders>
            <w:noWrap/>
            <w:vAlign w:val="center"/>
          </w:tcPr>
          <w:p w:rsidR="00D8717D" w:rsidRPr="00533360" w:rsidRDefault="00BE6A55" w:rsidP="00104309">
            <w:pPr>
              <w:pStyle w:val="1"/>
              <w:spacing w:line="240" w:lineRule="auto"/>
              <w:jc w:val="left"/>
              <w:rPr>
                <w:sz w:val="24"/>
                <w:szCs w:val="24"/>
              </w:rPr>
            </w:pPr>
            <m:oMathPara>
              <m:oMath>
                <m:f>
                  <m:fPr>
                    <m:ctrlPr>
                      <w:rPr>
                        <w:rFonts w:ascii="Cambria Math" w:hAnsi="Cambria Math"/>
                        <w:i/>
                        <w:sz w:val="24"/>
                        <w:szCs w:val="24"/>
                      </w:rPr>
                    </m:ctrlPr>
                  </m:fPr>
                  <m:num>
                    <m:r>
                      <w:rPr>
                        <w:rFonts w:ascii="Cambria Math" w:hAnsi="Cambria Math"/>
                        <w:sz w:val="24"/>
                        <w:szCs w:val="24"/>
                      </w:rPr>
                      <m:t>СЗ-РВПС</m:t>
                    </m:r>
                  </m:num>
                  <m:den>
                    <m:r>
                      <w:rPr>
                        <w:rFonts w:ascii="Cambria Math" w:hAnsi="Cambria Math"/>
                        <w:sz w:val="24"/>
                        <w:szCs w:val="24"/>
                      </w:rPr>
                      <m:t>СЗ</m:t>
                    </m:r>
                  </m:den>
                </m:f>
              </m:oMath>
            </m:oMathPara>
          </w:p>
        </w:tc>
        <w:tc>
          <w:tcPr>
            <w:tcW w:w="1356" w:type="dxa"/>
            <w:tcBorders>
              <w:top w:val="single" w:sz="4" w:space="0" w:color="auto"/>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sidRPr="00533360">
              <w:rPr>
                <w:sz w:val="24"/>
                <w:szCs w:val="24"/>
              </w:rPr>
              <w:t>0,99</w:t>
            </w:r>
            <w:r>
              <w:rPr>
                <w:sz w:val="24"/>
                <w:szCs w:val="24"/>
              </w:rPr>
              <w:t>639</w:t>
            </w:r>
          </w:p>
        </w:tc>
        <w:tc>
          <w:tcPr>
            <w:tcW w:w="1476" w:type="dxa"/>
            <w:tcBorders>
              <w:top w:val="single" w:sz="4" w:space="0" w:color="auto"/>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0,99363</w:t>
            </w:r>
          </w:p>
        </w:tc>
      </w:tr>
      <w:tr w:rsidR="00D8717D" w:rsidRPr="00533360" w:rsidTr="00104309">
        <w:trPr>
          <w:trHeight w:val="255"/>
          <w:jc w:val="center"/>
        </w:trPr>
        <w:tc>
          <w:tcPr>
            <w:tcW w:w="2122" w:type="dxa"/>
            <w:tcBorders>
              <w:top w:val="single" w:sz="4" w:space="0" w:color="auto"/>
              <w:left w:val="single" w:sz="4" w:space="0" w:color="auto"/>
              <w:bottom w:val="single" w:sz="4" w:space="0" w:color="auto"/>
              <w:right w:val="single" w:sz="4" w:space="0" w:color="auto"/>
            </w:tcBorders>
            <w:vAlign w:val="center"/>
          </w:tcPr>
          <w:p w:rsidR="00D8717D" w:rsidRPr="00533360" w:rsidRDefault="00D8717D" w:rsidP="00104309">
            <w:pPr>
              <w:pStyle w:val="1"/>
              <w:spacing w:line="240" w:lineRule="auto"/>
              <w:jc w:val="left"/>
              <w:rPr>
                <w:sz w:val="24"/>
                <w:szCs w:val="24"/>
              </w:rPr>
            </w:pPr>
            <w:r w:rsidRPr="00533360">
              <w:rPr>
                <w:sz w:val="24"/>
                <w:szCs w:val="24"/>
              </w:rPr>
              <w:t>Покрытия убытков по ссудам</w:t>
            </w:r>
          </w:p>
        </w:tc>
        <w:tc>
          <w:tcPr>
            <w:tcW w:w="4786" w:type="dxa"/>
            <w:tcBorders>
              <w:top w:val="single" w:sz="4" w:space="0" w:color="auto"/>
              <w:left w:val="single" w:sz="4" w:space="0" w:color="auto"/>
              <w:bottom w:val="single" w:sz="4" w:space="0" w:color="auto"/>
              <w:right w:val="single" w:sz="4" w:space="0" w:color="auto"/>
            </w:tcBorders>
            <w:noWrap/>
            <w:vAlign w:val="center"/>
          </w:tcPr>
          <w:p w:rsidR="00D8717D" w:rsidRPr="00533360" w:rsidRDefault="00BE6A55" w:rsidP="00104309">
            <w:pPr>
              <w:pStyle w:val="1"/>
              <w:spacing w:line="240" w:lineRule="auto"/>
              <w:jc w:val="left"/>
              <w:rPr>
                <w:sz w:val="24"/>
                <w:szCs w:val="24"/>
              </w:rPr>
            </w:pPr>
            <m:oMathPara>
              <m:oMath>
                <m:f>
                  <m:fPr>
                    <m:ctrlPr>
                      <w:rPr>
                        <w:rFonts w:ascii="Cambria Math" w:hAnsi="Cambria Math"/>
                        <w:i/>
                        <w:sz w:val="24"/>
                        <w:szCs w:val="24"/>
                      </w:rPr>
                    </m:ctrlPr>
                  </m:fPr>
                  <m:num>
                    <m:r>
                      <w:rPr>
                        <w:rFonts w:ascii="Cambria Math" w:hAnsi="Cambria Math"/>
                        <w:sz w:val="24"/>
                        <w:szCs w:val="24"/>
                      </w:rPr>
                      <m:t>РВПС</m:t>
                    </m:r>
                  </m:num>
                  <m:den>
                    <m:r>
                      <w:rPr>
                        <w:rFonts w:ascii="Cambria Math" w:hAnsi="Cambria Math"/>
                        <w:sz w:val="24"/>
                        <w:szCs w:val="24"/>
                      </w:rPr>
                      <m:t>Просроченная СЗ</m:t>
                    </m:r>
                  </m:den>
                </m:f>
              </m:oMath>
            </m:oMathPara>
          </w:p>
        </w:tc>
        <w:tc>
          <w:tcPr>
            <w:tcW w:w="1356" w:type="dxa"/>
            <w:tcBorders>
              <w:top w:val="single" w:sz="4" w:space="0" w:color="auto"/>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0,1203</w:t>
            </w:r>
          </w:p>
        </w:tc>
        <w:tc>
          <w:tcPr>
            <w:tcW w:w="1476" w:type="dxa"/>
            <w:tcBorders>
              <w:top w:val="single" w:sz="4" w:space="0" w:color="auto"/>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0,0719</w:t>
            </w:r>
          </w:p>
        </w:tc>
      </w:tr>
      <w:tr w:rsidR="00D8717D" w:rsidRPr="00533360" w:rsidTr="00104309">
        <w:trPr>
          <w:trHeight w:val="647"/>
          <w:jc w:val="center"/>
        </w:trPr>
        <w:tc>
          <w:tcPr>
            <w:tcW w:w="2122" w:type="dxa"/>
            <w:tcBorders>
              <w:top w:val="single" w:sz="4" w:space="0" w:color="auto"/>
              <w:left w:val="single" w:sz="4" w:space="0" w:color="auto"/>
              <w:bottom w:val="single" w:sz="4" w:space="0" w:color="auto"/>
              <w:right w:val="single" w:sz="4" w:space="0" w:color="auto"/>
            </w:tcBorders>
            <w:vAlign w:val="center"/>
          </w:tcPr>
          <w:p w:rsidR="00D8717D" w:rsidRPr="00533360" w:rsidRDefault="00D8717D" w:rsidP="00104309">
            <w:pPr>
              <w:pStyle w:val="1"/>
              <w:spacing w:line="240" w:lineRule="auto"/>
              <w:jc w:val="left"/>
              <w:rPr>
                <w:sz w:val="24"/>
                <w:szCs w:val="24"/>
              </w:rPr>
            </w:pPr>
            <w:r w:rsidRPr="00533360">
              <w:rPr>
                <w:sz w:val="24"/>
                <w:szCs w:val="24"/>
              </w:rPr>
              <w:t>Совокупного кредитного риска</w:t>
            </w:r>
          </w:p>
        </w:tc>
        <w:tc>
          <w:tcPr>
            <w:tcW w:w="4786" w:type="dxa"/>
            <w:tcBorders>
              <w:top w:val="single" w:sz="4" w:space="0" w:color="auto"/>
              <w:left w:val="single" w:sz="4" w:space="0" w:color="auto"/>
              <w:bottom w:val="single" w:sz="4" w:space="0" w:color="auto"/>
              <w:right w:val="single" w:sz="4" w:space="0" w:color="auto"/>
            </w:tcBorders>
            <w:noWrap/>
            <w:vAlign w:val="center"/>
          </w:tcPr>
          <w:p w:rsidR="00D8717D" w:rsidRPr="00533360" w:rsidRDefault="00BE6A55" w:rsidP="00104309">
            <w:pPr>
              <w:pStyle w:val="1"/>
              <w:spacing w:line="240" w:lineRule="auto"/>
              <w:jc w:val="left"/>
              <w:rPr>
                <w:sz w:val="24"/>
                <w:szCs w:val="24"/>
              </w:rPr>
            </w:pPr>
            <m:oMathPara>
              <m:oMath>
                <m:f>
                  <m:fPr>
                    <m:ctrlPr>
                      <w:rPr>
                        <w:rFonts w:ascii="Cambria Math" w:hAnsi="Cambria Math"/>
                        <w:i/>
                        <w:sz w:val="24"/>
                        <w:szCs w:val="24"/>
                      </w:rPr>
                    </m:ctrlPr>
                  </m:fPr>
                  <m:num>
                    <m:r>
                      <w:rPr>
                        <w:rFonts w:ascii="Cambria Math" w:hAnsi="Cambria Math"/>
                        <w:sz w:val="24"/>
                        <w:szCs w:val="24"/>
                      </w:rPr>
                      <m:t>Просроченная СЗ+Пролонгтрованная СЗ</m:t>
                    </m:r>
                  </m:num>
                  <m:den>
                    <m:r>
                      <w:rPr>
                        <w:rFonts w:ascii="Cambria Math" w:hAnsi="Cambria Math"/>
                        <w:sz w:val="24"/>
                        <w:szCs w:val="24"/>
                      </w:rPr>
                      <m:t xml:space="preserve">СС </m:t>
                    </m:r>
                    <m:d>
                      <m:dPr>
                        <m:ctrlPr>
                          <w:rPr>
                            <w:rFonts w:ascii="Cambria Math" w:hAnsi="Cambria Math"/>
                            <w:i/>
                            <w:sz w:val="24"/>
                            <w:szCs w:val="24"/>
                          </w:rPr>
                        </m:ctrlPr>
                      </m:dPr>
                      <m:e>
                        <m:r>
                          <w:rPr>
                            <w:rFonts w:ascii="Cambria Math" w:hAnsi="Cambria Math"/>
                            <w:sz w:val="24"/>
                            <w:szCs w:val="24"/>
                          </w:rPr>
                          <m:t>капитал</m:t>
                        </m:r>
                      </m:e>
                    </m:d>
                    <m:r>
                      <w:rPr>
                        <w:rFonts w:ascii="Cambria Math" w:hAnsi="Cambria Math"/>
                        <w:sz w:val="24"/>
                        <w:szCs w:val="24"/>
                      </w:rPr>
                      <m:t>Банка</m:t>
                    </m:r>
                  </m:den>
                </m:f>
              </m:oMath>
            </m:oMathPara>
          </w:p>
        </w:tc>
        <w:tc>
          <w:tcPr>
            <w:tcW w:w="1356" w:type="dxa"/>
            <w:tcBorders>
              <w:top w:val="single" w:sz="4" w:space="0" w:color="auto"/>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0,2654</w:t>
            </w:r>
          </w:p>
        </w:tc>
        <w:tc>
          <w:tcPr>
            <w:tcW w:w="1476" w:type="dxa"/>
            <w:tcBorders>
              <w:top w:val="single" w:sz="4" w:space="0" w:color="auto"/>
              <w:left w:val="nil"/>
              <w:bottom w:val="single" w:sz="4" w:space="0" w:color="auto"/>
              <w:right w:val="single" w:sz="4" w:space="0" w:color="auto"/>
            </w:tcBorders>
            <w:noWrap/>
            <w:vAlign w:val="center"/>
          </w:tcPr>
          <w:p w:rsidR="00D8717D" w:rsidRPr="00533360" w:rsidRDefault="00D8717D" w:rsidP="00104309">
            <w:pPr>
              <w:pStyle w:val="1"/>
              <w:spacing w:line="240" w:lineRule="auto"/>
              <w:jc w:val="center"/>
              <w:rPr>
                <w:sz w:val="24"/>
                <w:szCs w:val="24"/>
              </w:rPr>
            </w:pPr>
            <w:r>
              <w:rPr>
                <w:sz w:val="24"/>
                <w:szCs w:val="24"/>
              </w:rPr>
              <w:t>0,4238</w:t>
            </w:r>
          </w:p>
        </w:tc>
      </w:tr>
    </w:tbl>
    <w:p w:rsidR="00D8717D" w:rsidRPr="00C71A27" w:rsidRDefault="00D8717D" w:rsidP="00D8717D">
      <w:pPr>
        <w:pStyle w:val="text"/>
        <w:spacing w:before="0" w:after="0" w:line="360" w:lineRule="auto"/>
        <w:ind w:firstLine="709"/>
        <w:jc w:val="both"/>
        <w:rPr>
          <w:rFonts w:ascii="Times New Roman" w:hAnsi="Times New Roman"/>
          <w:color w:val="auto"/>
          <w:sz w:val="28"/>
          <w:szCs w:val="28"/>
        </w:rPr>
      </w:pPr>
    </w:p>
    <w:p w:rsidR="00D8717D"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Коэффициент убыточности кредитных операций</w:t>
      </w:r>
      <w:r>
        <w:rPr>
          <w:rFonts w:ascii="Times New Roman" w:hAnsi="Times New Roman"/>
          <w:color w:val="auto"/>
          <w:sz w:val="28"/>
          <w:szCs w:val="28"/>
        </w:rPr>
        <w:t xml:space="preserve"> х</w:t>
      </w:r>
      <w:r w:rsidRPr="00E01110">
        <w:rPr>
          <w:rFonts w:ascii="Times New Roman" w:hAnsi="Times New Roman"/>
          <w:color w:val="auto"/>
          <w:sz w:val="28"/>
          <w:szCs w:val="28"/>
        </w:rPr>
        <w:t>арактеризует общий средний коэффициент потерь по всему ссудному портфелю</w:t>
      </w:r>
      <w:r>
        <w:rPr>
          <w:rFonts w:ascii="Times New Roman" w:hAnsi="Times New Roman"/>
          <w:color w:val="auto"/>
          <w:sz w:val="28"/>
          <w:szCs w:val="28"/>
        </w:rPr>
        <w:t xml:space="preserve">. </w:t>
      </w:r>
      <w:r w:rsidRPr="00E01110">
        <w:rPr>
          <w:rFonts w:ascii="Times New Roman" w:hAnsi="Times New Roman"/>
          <w:color w:val="auto"/>
          <w:sz w:val="28"/>
          <w:szCs w:val="28"/>
        </w:rPr>
        <w:t>Используется также для оценки качества активов банка</w:t>
      </w:r>
      <w:r>
        <w:rPr>
          <w:rFonts w:ascii="Times New Roman" w:hAnsi="Times New Roman"/>
          <w:color w:val="auto"/>
          <w:sz w:val="28"/>
          <w:szCs w:val="28"/>
        </w:rPr>
        <w:t>.</w:t>
      </w:r>
    </w:p>
    <w:p w:rsidR="00D8717D"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Куо 2016 = 220326 / 33099846 × 100 = 0,6656</w:t>
      </w:r>
    </w:p>
    <w:p w:rsidR="00D8717D" w:rsidRPr="00C71A27"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Куо 2015 =160873 / 31841880 × 100 = 0,0051</w:t>
      </w:r>
    </w:p>
    <w:p w:rsidR="00D8717D" w:rsidRPr="00C71A27"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 xml:space="preserve">По результатам вычислений можно сделать вывод, что в абсолютном выражении величины коэффициентов являются недостаточно </w:t>
      </w:r>
      <w:r w:rsidRPr="00C71A27">
        <w:rPr>
          <w:rFonts w:ascii="Times New Roman" w:hAnsi="Times New Roman"/>
          <w:color w:val="auto"/>
          <w:sz w:val="28"/>
          <w:szCs w:val="28"/>
        </w:rPr>
        <w:lastRenderedPageBreak/>
        <w:t>удовлетворительными, так, например, в Южной Америке нормативное значения 1,5%-2%. Более того, наблюдается увеличение коэффициента в динамике, что характеризует</w:t>
      </w:r>
      <w:r>
        <w:rPr>
          <w:rFonts w:ascii="Times New Roman" w:hAnsi="Times New Roman"/>
          <w:color w:val="auto"/>
          <w:sz w:val="28"/>
          <w:szCs w:val="28"/>
        </w:rPr>
        <w:t>ся как ухудшение</w:t>
      </w:r>
      <w:r w:rsidRPr="00C71A27">
        <w:rPr>
          <w:rFonts w:ascii="Times New Roman" w:hAnsi="Times New Roman"/>
          <w:color w:val="auto"/>
          <w:sz w:val="28"/>
          <w:szCs w:val="28"/>
        </w:rPr>
        <w:t>качества кредитного портфеля с точки зрения убыточности кредитных операций.</w:t>
      </w:r>
    </w:p>
    <w:p w:rsidR="00D8717D"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Коэффициент кредитного риска</w:t>
      </w:r>
      <w:r>
        <w:rPr>
          <w:rFonts w:ascii="Times New Roman" w:hAnsi="Times New Roman"/>
          <w:color w:val="auto"/>
          <w:sz w:val="28"/>
          <w:szCs w:val="28"/>
        </w:rPr>
        <w:t xml:space="preserve"> о</w:t>
      </w:r>
      <w:r w:rsidRPr="00C71A27">
        <w:rPr>
          <w:rFonts w:ascii="Times New Roman" w:hAnsi="Times New Roman"/>
          <w:color w:val="auto"/>
          <w:sz w:val="28"/>
          <w:szCs w:val="28"/>
        </w:rPr>
        <w:t xml:space="preserve">тражает меру кредитного риска, принятого банком, характеризует качество кредитного портфеля банка. </w:t>
      </w:r>
      <w:r w:rsidRPr="00E01110">
        <w:rPr>
          <w:rFonts w:ascii="Times New Roman" w:hAnsi="Times New Roman"/>
          <w:color w:val="auto"/>
          <w:sz w:val="28"/>
          <w:szCs w:val="28"/>
        </w:rPr>
        <w:t>Чем больше значение показателя и ближе к единице, тем лучше качество кредитного портфеля с точки зрения его возвратности</w:t>
      </w:r>
      <w:r>
        <w:rPr>
          <w:rFonts w:ascii="Times New Roman" w:hAnsi="Times New Roman"/>
          <w:color w:val="auto"/>
          <w:sz w:val="28"/>
          <w:szCs w:val="28"/>
        </w:rPr>
        <w:t>.</w:t>
      </w:r>
    </w:p>
    <w:p w:rsidR="00D8717D"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Ккр 2016 = (33099846 - 120312) / 33099846 = 0,99363</w:t>
      </w:r>
    </w:p>
    <w:p w:rsidR="00D8717D" w:rsidRPr="00C71A27"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Ккр 2015 = (31841880 - 114924) / 31841880 = 0,99639</w:t>
      </w:r>
    </w:p>
    <w:p w:rsidR="00D8717D"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 xml:space="preserve">В целом можно сказать, что положительный фактор - стремление показателя к единице, что характеризует качество портфеля с точки зрения возвратности, но в </w:t>
      </w:r>
      <w:r>
        <w:rPr>
          <w:rFonts w:ascii="Times New Roman" w:hAnsi="Times New Roman"/>
          <w:color w:val="auto"/>
          <w:sz w:val="28"/>
          <w:szCs w:val="28"/>
        </w:rPr>
        <w:t xml:space="preserve">2016 </w:t>
      </w:r>
      <w:r w:rsidRPr="00C71A27">
        <w:rPr>
          <w:rFonts w:ascii="Times New Roman" w:hAnsi="Times New Roman"/>
          <w:color w:val="auto"/>
          <w:sz w:val="28"/>
          <w:szCs w:val="28"/>
        </w:rPr>
        <w:t>г. наблюдается небольшое уменьшение коэффициента, что является негативным фактором, и отражает ухудшение качества кредитного портфеля.</w:t>
      </w:r>
    </w:p>
    <w:p w:rsidR="00D8717D"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Коэффициент покрытия убытков по ссудам</w:t>
      </w:r>
      <w:r>
        <w:rPr>
          <w:rFonts w:ascii="Times New Roman" w:hAnsi="Times New Roman"/>
          <w:color w:val="auto"/>
          <w:sz w:val="28"/>
          <w:szCs w:val="28"/>
        </w:rPr>
        <w:t xml:space="preserve"> х</w:t>
      </w:r>
      <w:r w:rsidRPr="00C71A27">
        <w:rPr>
          <w:rFonts w:ascii="Times New Roman" w:hAnsi="Times New Roman"/>
          <w:color w:val="auto"/>
          <w:sz w:val="28"/>
          <w:szCs w:val="28"/>
        </w:rPr>
        <w:t xml:space="preserve">арактеризует уровень защищенности финансовых результатов банка от потерь в связи с невозвратом ссуд. </w:t>
      </w:r>
      <w:r w:rsidRPr="00E01110">
        <w:rPr>
          <w:rFonts w:ascii="Times New Roman" w:hAnsi="Times New Roman"/>
          <w:color w:val="auto"/>
          <w:sz w:val="28"/>
          <w:szCs w:val="28"/>
        </w:rPr>
        <w:t>Оптимальное значение показателя - более 1</w:t>
      </w:r>
      <w:r>
        <w:rPr>
          <w:rFonts w:ascii="Times New Roman" w:hAnsi="Times New Roman"/>
          <w:color w:val="auto"/>
          <w:sz w:val="28"/>
          <w:szCs w:val="28"/>
        </w:rPr>
        <w:t>.</w:t>
      </w:r>
    </w:p>
    <w:p w:rsidR="00D8717D"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Кпу 2016 = 120312 / 1672247 = 0,0719</w:t>
      </w:r>
    </w:p>
    <w:p w:rsidR="00D8717D"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Кпу 2015 = 114924 / 955187 = 0,1203</w:t>
      </w:r>
    </w:p>
    <w:p w:rsidR="00D8717D" w:rsidRPr="00C71A27"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 xml:space="preserve">Можно сделать вывод, что результаты показателя удовлетворительные, более того наблюдающаяся тенденция </w:t>
      </w:r>
      <w:r>
        <w:rPr>
          <w:rFonts w:ascii="Times New Roman" w:hAnsi="Times New Roman"/>
          <w:color w:val="auto"/>
          <w:sz w:val="28"/>
          <w:szCs w:val="28"/>
        </w:rPr>
        <w:t>уменьшения</w:t>
      </w:r>
      <w:r w:rsidRPr="00C71A27">
        <w:rPr>
          <w:rFonts w:ascii="Times New Roman" w:hAnsi="Times New Roman"/>
          <w:color w:val="auto"/>
          <w:sz w:val="28"/>
          <w:szCs w:val="28"/>
        </w:rPr>
        <w:t xml:space="preserve"> показателя указывает на </w:t>
      </w:r>
      <w:r>
        <w:rPr>
          <w:rFonts w:ascii="Times New Roman" w:hAnsi="Times New Roman"/>
          <w:color w:val="auto"/>
          <w:sz w:val="28"/>
          <w:szCs w:val="28"/>
        </w:rPr>
        <w:t>ухудшение</w:t>
      </w:r>
      <w:r w:rsidRPr="00C71A27">
        <w:rPr>
          <w:rFonts w:ascii="Times New Roman" w:hAnsi="Times New Roman"/>
          <w:color w:val="auto"/>
          <w:sz w:val="28"/>
          <w:szCs w:val="28"/>
        </w:rPr>
        <w:t xml:space="preserve"> защищенности финансовых результатов банка от потерь в связи с невозвратом ссуд.</w:t>
      </w:r>
    </w:p>
    <w:p w:rsidR="00D8717D"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Коэффициент совокупного кредитного риска</w:t>
      </w:r>
      <w:r>
        <w:rPr>
          <w:rFonts w:ascii="Times New Roman" w:hAnsi="Times New Roman"/>
          <w:color w:val="auto"/>
          <w:sz w:val="28"/>
          <w:szCs w:val="28"/>
        </w:rPr>
        <w:t xml:space="preserve"> х</w:t>
      </w:r>
      <w:r w:rsidRPr="00E01110">
        <w:rPr>
          <w:rFonts w:ascii="Times New Roman" w:hAnsi="Times New Roman"/>
          <w:color w:val="auto"/>
          <w:sz w:val="28"/>
          <w:szCs w:val="28"/>
        </w:rPr>
        <w:t>арактеризует степень защиты банка от совокупного кредитного риска</w:t>
      </w:r>
      <w:r w:rsidRPr="00C71A27">
        <w:rPr>
          <w:rFonts w:ascii="Times New Roman" w:hAnsi="Times New Roman"/>
          <w:color w:val="auto"/>
          <w:sz w:val="28"/>
          <w:szCs w:val="28"/>
        </w:rPr>
        <w:t xml:space="preserve">. </w:t>
      </w:r>
      <w:r w:rsidRPr="00E01110">
        <w:rPr>
          <w:rFonts w:ascii="Times New Roman" w:hAnsi="Times New Roman"/>
          <w:color w:val="auto"/>
          <w:sz w:val="28"/>
          <w:szCs w:val="28"/>
        </w:rPr>
        <w:t>В российской практике применение показателя ограничено из-за того, что многократно пролонгированные ссуды зачастую отражаются на тех же счетах бухгалтерского учета, что и срочные</w:t>
      </w:r>
      <w:r>
        <w:rPr>
          <w:rFonts w:ascii="Times New Roman" w:hAnsi="Times New Roman"/>
          <w:color w:val="auto"/>
          <w:sz w:val="28"/>
          <w:szCs w:val="28"/>
        </w:rPr>
        <w:t>.</w:t>
      </w:r>
    </w:p>
    <w:p w:rsidR="00D8717D"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Кскр 2016 = 1672247 / 3945411 = 0,4238</w:t>
      </w:r>
    </w:p>
    <w:p w:rsidR="00D8717D" w:rsidRPr="00C71A27" w:rsidRDefault="00D8717D" w:rsidP="00D8717D">
      <w:pPr>
        <w:pStyle w:val="text"/>
        <w:spacing w:before="0"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Кскр 2015 = 955187 / 3599127 = 0,2654</w:t>
      </w:r>
    </w:p>
    <w:p w:rsidR="00D8717D" w:rsidRPr="00C71A27" w:rsidRDefault="00D8717D" w:rsidP="00D8717D">
      <w:pPr>
        <w:pStyle w:val="text"/>
        <w:spacing w:before="0" w:after="0" w:line="360" w:lineRule="auto"/>
        <w:ind w:firstLine="709"/>
        <w:jc w:val="both"/>
        <w:rPr>
          <w:rFonts w:ascii="Times New Roman" w:hAnsi="Times New Roman"/>
          <w:color w:val="auto"/>
          <w:sz w:val="28"/>
          <w:szCs w:val="28"/>
        </w:rPr>
      </w:pPr>
      <w:r w:rsidRPr="00C71A27">
        <w:rPr>
          <w:rFonts w:ascii="Times New Roman" w:hAnsi="Times New Roman"/>
          <w:color w:val="auto"/>
          <w:sz w:val="28"/>
          <w:szCs w:val="28"/>
        </w:rPr>
        <w:t>Просматривается положительная динамика, что отражает улучшение защищенности от совокупного кредитного риска</w:t>
      </w:r>
    </w:p>
    <w:p w:rsidR="000079CD" w:rsidRDefault="00D8717D" w:rsidP="00D8717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целом можно отметить то, что в нынешних экономических условиях </w:t>
      </w:r>
      <w:r w:rsidRPr="00C44DA1">
        <w:rPr>
          <w:rFonts w:ascii="Times New Roman" w:hAnsi="Times New Roman" w:cs="Times New Roman"/>
          <w:sz w:val="28"/>
          <w:szCs w:val="28"/>
        </w:rPr>
        <w:t>АКБ «</w:t>
      </w:r>
      <w:r>
        <w:rPr>
          <w:rFonts w:ascii="Times New Roman" w:hAnsi="Times New Roman" w:cs="Times New Roman"/>
          <w:sz w:val="28"/>
          <w:szCs w:val="28"/>
        </w:rPr>
        <w:t>ФОРА-БАНК</w:t>
      </w:r>
      <w:r w:rsidRPr="00C44DA1">
        <w:rPr>
          <w:rFonts w:ascii="Times New Roman" w:hAnsi="Times New Roman" w:cs="Times New Roman"/>
          <w:sz w:val="28"/>
          <w:szCs w:val="28"/>
        </w:rPr>
        <w:t>»</w:t>
      </w:r>
      <w:r>
        <w:rPr>
          <w:rFonts w:ascii="Times New Roman" w:hAnsi="Times New Roman" w:cs="Times New Roman"/>
          <w:sz w:val="28"/>
          <w:szCs w:val="28"/>
        </w:rPr>
        <w:t xml:space="preserve"> (АО) стремится улучшить качество кредитного портфеля, но исходя из рассчитанных нами коэффициентов кредитный риск возрастает.</w:t>
      </w:r>
    </w:p>
    <w:p w:rsidR="000079CD" w:rsidRDefault="000079CD">
      <w:pPr>
        <w:rPr>
          <w:rFonts w:ascii="Times New Roman" w:hAnsi="Times New Roman" w:cs="Times New Roman"/>
          <w:sz w:val="28"/>
          <w:szCs w:val="28"/>
        </w:rPr>
      </w:pPr>
    </w:p>
    <w:p w:rsidR="00F30573" w:rsidRPr="00D8717D" w:rsidRDefault="00F30573" w:rsidP="00F30573">
      <w:pPr>
        <w:spacing w:after="0" w:line="360" w:lineRule="auto"/>
        <w:ind w:firstLine="709"/>
        <w:jc w:val="both"/>
        <w:rPr>
          <w:rFonts w:ascii="Times New Roman" w:hAnsi="Times New Roman" w:cs="Times New Roman"/>
          <w:b/>
          <w:color w:val="000000"/>
          <w:sz w:val="28"/>
          <w:szCs w:val="28"/>
          <w:shd w:val="clear" w:color="auto" w:fill="FFFFFF"/>
        </w:rPr>
      </w:pPr>
      <w:r w:rsidRPr="00D8717D">
        <w:rPr>
          <w:rFonts w:ascii="Times New Roman" w:hAnsi="Times New Roman" w:cs="Times New Roman"/>
          <w:b/>
          <w:color w:val="000000"/>
          <w:sz w:val="28"/>
          <w:szCs w:val="28"/>
          <w:shd w:val="clear" w:color="auto" w:fill="FFFFFF"/>
        </w:rPr>
        <w:t>Задача 15</w:t>
      </w:r>
    </w:p>
    <w:p w:rsidR="00F30573" w:rsidRDefault="00F30573" w:rsidP="00F30573">
      <w:pPr>
        <w:spacing w:after="0" w:line="360" w:lineRule="auto"/>
        <w:ind w:firstLine="709"/>
        <w:jc w:val="both"/>
        <w:rPr>
          <w:rFonts w:ascii="Times New Roman" w:hAnsi="Times New Roman" w:cs="Times New Roman"/>
          <w:color w:val="000000"/>
          <w:sz w:val="28"/>
          <w:szCs w:val="28"/>
          <w:shd w:val="clear" w:color="auto" w:fill="FFFFFF"/>
        </w:rPr>
      </w:pPr>
      <w:r w:rsidRPr="00812878">
        <w:rPr>
          <w:rFonts w:ascii="Times New Roman" w:hAnsi="Times New Roman" w:cs="Times New Roman"/>
          <w:color w:val="000000"/>
          <w:sz w:val="28"/>
          <w:szCs w:val="28"/>
          <w:shd w:val="clear" w:color="auto" w:fill="FFFFFF"/>
        </w:rPr>
        <w:t>Сельскохозяйственное предприятие получает ссуду в банке в форме возобновляемой кредитной линии. Лимит задолженности установлен в размере 1500 тыс. руб. После заключения договора с банком и открытия им кредитной линии ссуды выдавались пять раз в общем размере 1500 тыс.руб. Задолженность погашалась периодически на общую сумму 1250 тыс.руб.</w:t>
      </w:r>
    </w:p>
    <w:p w:rsidR="00F30573" w:rsidRDefault="00F30573" w:rsidP="00F30573">
      <w:pPr>
        <w:spacing w:after="0" w:line="360" w:lineRule="auto"/>
        <w:ind w:firstLine="709"/>
        <w:jc w:val="both"/>
        <w:rPr>
          <w:rFonts w:ascii="Times New Roman" w:hAnsi="Times New Roman" w:cs="Times New Roman"/>
          <w:color w:val="000000"/>
          <w:sz w:val="28"/>
          <w:szCs w:val="28"/>
          <w:shd w:val="clear" w:color="auto" w:fill="FFFFFF"/>
        </w:rPr>
      </w:pPr>
      <w:r w:rsidRPr="00812878">
        <w:rPr>
          <w:rFonts w:ascii="Times New Roman" w:hAnsi="Times New Roman" w:cs="Times New Roman"/>
          <w:color w:val="000000"/>
          <w:sz w:val="28"/>
          <w:szCs w:val="28"/>
          <w:shd w:val="clear" w:color="auto" w:fill="FFFFFF"/>
        </w:rPr>
        <w:t>Требуется: определить возможно ли удовлетворение заявки заемщика на новый транш кредита в размере 400 тыс.руб</w:t>
      </w:r>
      <w:r>
        <w:rPr>
          <w:rFonts w:ascii="Times New Roman" w:hAnsi="Times New Roman" w:cs="Times New Roman"/>
          <w:color w:val="000000"/>
          <w:sz w:val="28"/>
          <w:szCs w:val="28"/>
          <w:shd w:val="clear" w:color="auto" w:fill="FFFFFF"/>
        </w:rPr>
        <w:t>.</w:t>
      </w:r>
    </w:p>
    <w:p w:rsidR="00F30573" w:rsidRDefault="00F30573" w:rsidP="00F30573">
      <w:pPr>
        <w:spacing w:after="0" w:line="360" w:lineRule="auto"/>
        <w:ind w:firstLine="709"/>
        <w:jc w:val="both"/>
        <w:rPr>
          <w:rFonts w:ascii="Times New Roman" w:hAnsi="Times New Roman" w:cs="Times New Roman"/>
          <w:b/>
          <w:color w:val="000000"/>
          <w:sz w:val="28"/>
          <w:szCs w:val="28"/>
          <w:shd w:val="clear" w:color="auto" w:fill="FFFFFF"/>
        </w:rPr>
      </w:pPr>
    </w:p>
    <w:p w:rsidR="00F30573" w:rsidRPr="00202BE3" w:rsidRDefault="00F30573" w:rsidP="00F30573">
      <w:pPr>
        <w:spacing w:after="0" w:line="360" w:lineRule="auto"/>
        <w:ind w:firstLine="709"/>
        <w:jc w:val="both"/>
        <w:rPr>
          <w:rFonts w:ascii="Times New Roman" w:hAnsi="Times New Roman" w:cs="Times New Roman"/>
          <w:b/>
          <w:color w:val="000000"/>
          <w:sz w:val="28"/>
          <w:szCs w:val="28"/>
          <w:shd w:val="clear" w:color="auto" w:fill="FFFFFF"/>
        </w:rPr>
      </w:pPr>
      <w:r w:rsidRPr="00202BE3">
        <w:rPr>
          <w:rFonts w:ascii="Times New Roman" w:hAnsi="Times New Roman" w:cs="Times New Roman"/>
          <w:b/>
          <w:color w:val="000000"/>
          <w:sz w:val="28"/>
          <w:szCs w:val="28"/>
          <w:shd w:val="clear" w:color="auto" w:fill="FFFFFF"/>
        </w:rPr>
        <w:t>Решение:</w:t>
      </w:r>
    </w:p>
    <w:p w:rsidR="00F30573" w:rsidRDefault="00F30573" w:rsidP="00F305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1500 – 1250 = 250 – остаток ссудной задолженности.</w:t>
      </w:r>
    </w:p>
    <w:p w:rsidR="00F30573" w:rsidRDefault="00F30573" w:rsidP="00F305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1500 – 250 = 1250 – свободный лимит</w:t>
      </w:r>
    </w:p>
    <w:p w:rsidR="00F30573" w:rsidRPr="0089753A" w:rsidRDefault="00F30573" w:rsidP="00F30573">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w:t>
      </w:r>
      <w:r w:rsidRPr="00812878">
        <w:rPr>
          <w:rFonts w:ascii="Times New Roman" w:hAnsi="Times New Roman" w:cs="Times New Roman"/>
          <w:color w:val="000000"/>
          <w:sz w:val="28"/>
          <w:szCs w:val="28"/>
          <w:shd w:val="clear" w:color="auto" w:fill="FFFFFF"/>
        </w:rPr>
        <w:t>довлетвор</w:t>
      </w:r>
      <w:r>
        <w:rPr>
          <w:rFonts w:ascii="Times New Roman" w:hAnsi="Times New Roman" w:cs="Times New Roman"/>
          <w:color w:val="000000"/>
          <w:sz w:val="28"/>
          <w:szCs w:val="28"/>
          <w:shd w:val="clear" w:color="auto" w:fill="FFFFFF"/>
        </w:rPr>
        <w:t>ить з</w:t>
      </w:r>
      <w:r w:rsidRPr="00812878">
        <w:rPr>
          <w:rFonts w:ascii="Times New Roman" w:hAnsi="Times New Roman" w:cs="Times New Roman"/>
          <w:color w:val="000000"/>
          <w:sz w:val="28"/>
          <w:szCs w:val="28"/>
          <w:shd w:val="clear" w:color="auto" w:fill="FFFFFF"/>
        </w:rPr>
        <w:t>аявк</w:t>
      </w:r>
      <w:r>
        <w:rPr>
          <w:rFonts w:ascii="Times New Roman" w:hAnsi="Times New Roman" w:cs="Times New Roman"/>
          <w:color w:val="000000"/>
          <w:sz w:val="28"/>
          <w:szCs w:val="28"/>
          <w:shd w:val="clear" w:color="auto" w:fill="FFFFFF"/>
        </w:rPr>
        <w:t>у</w:t>
      </w:r>
      <w:r w:rsidRPr="00812878">
        <w:rPr>
          <w:rFonts w:ascii="Times New Roman" w:hAnsi="Times New Roman" w:cs="Times New Roman"/>
          <w:color w:val="000000"/>
          <w:sz w:val="28"/>
          <w:szCs w:val="28"/>
          <w:shd w:val="clear" w:color="auto" w:fill="FFFFFF"/>
        </w:rPr>
        <w:t xml:space="preserve"> заемщика на новый транш в размере 400 тыс.</w:t>
      </w:r>
      <w:r>
        <w:rPr>
          <w:rFonts w:ascii="Times New Roman" w:hAnsi="Times New Roman" w:cs="Times New Roman"/>
          <w:color w:val="000000"/>
          <w:sz w:val="28"/>
          <w:szCs w:val="28"/>
          <w:shd w:val="clear" w:color="auto" w:fill="FFFFFF"/>
        </w:rPr>
        <w:t xml:space="preserve"> </w:t>
      </w:r>
      <w:r w:rsidRPr="00812878">
        <w:rPr>
          <w:rFonts w:ascii="Times New Roman" w:hAnsi="Times New Roman" w:cs="Times New Roman"/>
          <w:color w:val="000000"/>
          <w:sz w:val="28"/>
          <w:szCs w:val="28"/>
          <w:shd w:val="clear" w:color="auto" w:fill="FFFFFF"/>
        </w:rPr>
        <w:t>руб</w:t>
      </w:r>
      <w:r>
        <w:rPr>
          <w:rFonts w:ascii="Times New Roman" w:hAnsi="Times New Roman" w:cs="Times New Roman"/>
          <w:color w:val="000000"/>
          <w:sz w:val="28"/>
          <w:szCs w:val="28"/>
          <w:shd w:val="clear" w:color="auto" w:fill="FFFFFF"/>
        </w:rPr>
        <w:t xml:space="preserve">.  </w:t>
      </w:r>
      <w:r>
        <w:rPr>
          <w:rFonts w:ascii="Times New Roman" w:hAnsi="Times New Roman" w:cs="Times New Roman"/>
          <w:b/>
          <w:color w:val="000000"/>
          <w:sz w:val="28"/>
          <w:szCs w:val="28"/>
          <w:shd w:val="clear" w:color="auto" w:fill="FFFFFF"/>
        </w:rPr>
        <w:t xml:space="preserve">возможно, </w:t>
      </w:r>
      <w:r>
        <w:rPr>
          <w:rFonts w:ascii="Times New Roman" w:hAnsi="Times New Roman" w:cs="Times New Roman"/>
          <w:color w:val="000000"/>
          <w:sz w:val="28"/>
          <w:szCs w:val="28"/>
          <w:shd w:val="clear" w:color="auto" w:fill="FFFFFF"/>
        </w:rPr>
        <w:t>так как свободный лимит по кредитному договору составляет 1250 тыс. руб. При выдаче транша в сумме 400 тыс. руб., общая ссудная задолженность по кредитному договору составит 650 тыс. руб., что не превышает установленный лимит задолженности в сумме 1500 тыс. руб.</w:t>
      </w:r>
      <w:bookmarkStart w:id="0" w:name="_GoBack"/>
      <w:bookmarkEnd w:id="0"/>
    </w:p>
    <w:p w:rsidR="00F30573" w:rsidRDefault="00F30573">
      <w:pPr>
        <w:rPr>
          <w:rFonts w:ascii="Times New Roman" w:hAnsi="Times New Roman" w:cs="Times New Roman"/>
          <w:sz w:val="28"/>
          <w:szCs w:val="28"/>
        </w:rPr>
      </w:pPr>
    </w:p>
    <w:p w:rsidR="00F30573" w:rsidRDefault="00F30573">
      <w:pPr>
        <w:rPr>
          <w:rFonts w:ascii="Times New Roman" w:hAnsi="Times New Roman" w:cs="Times New Roman"/>
          <w:sz w:val="28"/>
          <w:szCs w:val="28"/>
        </w:rPr>
      </w:pPr>
    </w:p>
    <w:p w:rsidR="00D8717D" w:rsidRDefault="00D8717D">
      <w:pPr>
        <w:rPr>
          <w:rFonts w:ascii="Times New Roman" w:hAnsi="Times New Roman" w:cs="Times New Roman"/>
          <w:sz w:val="28"/>
          <w:szCs w:val="28"/>
        </w:rPr>
      </w:pPr>
    </w:p>
    <w:p w:rsidR="00D8717D" w:rsidRDefault="00D8717D">
      <w:pPr>
        <w:rPr>
          <w:rFonts w:ascii="Times New Roman" w:hAnsi="Times New Roman" w:cs="Times New Roman"/>
          <w:sz w:val="28"/>
          <w:szCs w:val="28"/>
        </w:rPr>
      </w:pPr>
    </w:p>
    <w:p w:rsidR="00D8717D" w:rsidRDefault="00D8717D">
      <w:pPr>
        <w:rPr>
          <w:rFonts w:ascii="Times New Roman" w:hAnsi="Times New Roman" w:cs="Times New Roman"/>
          <w:sz w:val="28"/>
          <w:szCs w:val="28"/>
        </w:rPr>
      </w:pPr>
    </w:p>
    <w:p w:rsidR="00D8717D" w:rsidRDefault="00D8717D">
      <w:pPr>
        <w:rPr>
          <w:rFonts w:ascii="Times New Roman" w:hAnsi="Times New Roman" w:cs="Times New Roman"/>
          <w:sz w:val="28"/>
          <w:szCs w:val="28"/>
        </w:rPr>
      </w:pPr>
      <w:r>
        <w:rPr>
          <w:rFonts w:ascii="Times New Roman" w:hAnsi="Times New Roman" w:cs="Times New Roman"/>
          <w:sz w:val="28"/>
          <w:szCs w:val="28"/>
        </w:rPr>
        <w:t>Список литературы:</w:t>
      </w:r>
    </w:p>
    <w:p w:rsidR="00D8717D" w:rsidRPr="00D8717D" w:rsidRDefault="00D8717D" w:rsidP="00D8717D">
      <w:pPr>
        <w:numPr>
          <w:ilvl w:val="0"/>
          <w:numId w:val="1"/>
        </w:numPr>
        <w:spacing w:before="100" w:beforeAutospacing="1" w:after="100" w:afterAutospacing="1" w:line="360" w:lineRule="auto"/>
        <w:jc w:val="both"/>
        <w:rPr>
          <w:rFonts w:ascii="Times New Roman" w:eastAsia="Times New Roman" w:hAnsi="Times New Roman"/>
          <w:color w:val="000000"/>
          <w:sz w:val="28"/>
          <w:szCs w:val="28"/>
          <w:lang w:eastAsia="ru-RU"/>
        </w:rPr>
      </w:pPr>
      <w:r w:rsidRPr="00D8717D">
        <w:rPr>
          <w:rFonts w:ascii="Times New Roman" w:eastAsia="Times New Roman" w:hAnsi="Times New Roman"/>
          <w:color w:val="000000"/>
          <w:sz w:val="28"/>
          <w:szCs w:val="28"/>
          <w:lang w:eastAsia="ru-RU"/>
        </w:rPr>
        <w:t>Банковское дело: учебник /О.И. Лаврушин, Н.И. Валенцева и др./ под ред. О.И. Лаврушина. -М.: КноРус, 2013 г., ЭБС:Book.ru;</w:t>
      </w:r>
    </w:p>
    <w:p w:rsidR="00D8717D" w:rsidRPr="005B56E1" w:rsidRDefault="00D8717D" w:rsidP="00D8717D">
      <w:pPr>
        <w:numPr>
          <w:ilvl w:val="0"/>
          <w:numId w:val="1"/>
        </w:numPr>
        <w:spacing w:before="100" w:beforeAutospacing="1" w:after="100" w:afterAutospacing="1" w:line="360" w:lineRule="auto"/>
        <w:jc w:val="both"/>
        <w:rPr>
          <w:rFonts w:ascii="Times New Roman" w:eastAsia="Times New Roman" w:hAnsi="Times New Roman"/>
          <w:color w:val="000000"/>
          <w:sz w:val="28"/>
          <w:szCs w:val="28"/>
          <w:lang w:eastAsia="ru-RU"/>
        </w:rPr>
      </w:pPr>
      <w:r w:rsidRPr="005B56E1">
        <w:rPr>
          <w:rFonts w:ascii="Times New Roman" w:eastAsia="Times New Roman" w:hAnsi="Times New Roman"/>
          <w:color w:val="000000"/>
          <w:sz w:val="28"/>
          <w:szCs w:val="28"/>
          <w:lang w:eastAsia="ru-RU"/>
        </w:rPr>
        <w:t>Банковские риски: Учебник / Под ред. О.И. Лаврушина, Н.И. Валенцевой.— 3-е изд., перераб. и доп. — М. : КноРус, 2013г .: ЭБС Book.ru</w:t>
      </w:r>
    </w:p>
    <w:p w:rsidR="00D8717D" w:rsidRPr="00D8717D" w:rsidRDefault="00D8717D" w:rsidP="00D8717D">
      <w:pPr>
        <w:numPr>
          <w:ilvl w:val="0"/>
          <w:numId w:val="1"/>
        </w:numPr>
        <w:spacing w:before="100" w:beforeAutospacing="1" w:after="100" w:afterAutospacing="1" w:line="360" w:lineRule="auto"/>
        <w:jc w:val="both"/>
        <w:rPr>
          <w:rFonts w:ascii="Times New Roman" w:eastAsia="Times New Roman" w:hAnsi="Times New Roman"/>
          <w:color w:val="000000"/>
          <w:sz w:val="28"/>
          <w:szCs w:val="28"/>
          <w:lang w:eastAsia="ru-RU"/>
        </w:rPr>
      </w:pPr>
      <w:r w:rsidRPr="00D8717D">
        <w:rPr>
          <w:rFonts w:ascii="Times New Roman" w:eastAsia="Times New Roman" w:hAnsi="Times New Roman"/>
          <w:color w:val="000000"/>
          <w:sz w:val="28"/>
          <w:szCs w:val="28"/>
          <w:lang w:eastAsia="ru-RU"/>
        </w:rPr>
        <w:t>Банковское дело: 100 экзаменационных ответов О. Ю. Свиридов . — Издание 3-е, исправленное и дополненное. — Ростов н/Д: Издательский центр «МарТ»; Феникс,2010. — 256 с. — (Экспресс-справочник для студентов вузов).. 2010</w:t>
      </w:r>
    </w:p>
    <w:p w:rsidR="00D8717D" w:rsidRPr="00722703" w:rsidRDefault="00D8717D">
      <w:pPr>
        <w:rPr>
          <w:rFonts w:ascii="Times New Roman" w:hAnsi="Times New Roman" w:cs="Times New Roman"/>
          <w:sz w:val="28"/>
          <w:szCs w:val="28"/>
        </w:rPr>
      </w:pPr>
    </w:p>
    <w:sectPr w:rsidR="00D8717D" w:rsidRPr="00722703" w:rsidSect="00845711">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E55" w:rsidRDefault="00044E55" w:rsidP="00D8717D">
      <w:pPr>
        <w:spacing w:after="0" w:line="240" w:lineRule="auto"/>
      </w:pPr>
      <w:r>
        <w:separator/>
      </w:r>
    </w:p>
  </w:endnote>
  <w:endnote w:type="continuationSeparator" w:id="1">
    <w:p w:rsidR="00044E55" w:rsidRDefault="00044E55" w:rsidP="00D871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2935"/>
      <w:docPartObj>
        <w:docPartGallery w:val="Page Numbers (Bottom of Page)"/>
        <w:docPartUnique/>
      </w:docPartObj>
    </w:sdtPr>
    <w:sdtContent>
      <w:p w:rsidR="00845711" w:rsidRDefault="00BE6A55">
        <w:pPr>
          <w:pStyle w:val="a8"/>
          <w:jc w:val="center"/>
        </w:pPr>
        <w:fldSimple w:instr=" PAGE   \* MERGEFORMAT ">
          <w:r w:rsidR="008C50C9">
            <w:rPr>
              <w:noProof/>
            </w:rPr>
            <w:t>9</w:t>
          </w:r>
        </w:fldSimple>
      </w:p>
    </w:sdtContent>
  </w:sdt>
  <w:p w:rsidR="00D8717D" w:rsidRDefault="00D8717D" w:rsidP="00D8717D">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E55" w:rsidRDefault="00044E55" w:rsidP="00D8717D">
      <w:pPr>
        <w:spacing w:after="0" w:line="240" w:lineRule="auto"/>
      </w:pPr>
      <w:r>
        <w:separator/>
      </w:r>
    </w:p>
  </w:footnote>
  <w:footnote w:type="continuationSeparator" w:id="1">
    <w:p w:rsidR="00044E55" w:rsidRDefault="00044E55" w:rsidP="00D871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513AC"/>
    <w:multiLevelType w:val="hybridMultilevel"/>
    <w:tmpl w:val="6D3611C8"/>
    <w:lvl w:ilvl="0" w:tplc="5EC29F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C804B83"/>
    <w:multiLevelType w:val="hybridMultilevel"/>
    <w:tmpl w:val="40E631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22703"/>
    <w:rsid w:val="000079CD"/>
    <w:rsid w:val="00044E55"/>
    <w:rsid w:val="00126269"/>
    <w:rsid w:val="0015723A"/>
    <w:rsid w:val="00182357"/>
    <w:rsid w:val="003121CD"/>
    <w:rsid w:val="00395F51"/>
    <w:rsid w:val="005A1125"/>
    <w:rsid w:val="00631433"/>
    <w:rsid w:val="006B0C67"/>
    <w:rsid w:val="00722703"/>
    <w:rsid w:val="00845711"/>
    <w:rsid w:val="008C50C9"/>
    <w:rsid w:val="009F34E4"/>
    <w:rsid w:val="00A00162"/>
    <w:rsid w:val="00AC1689"/>
    <w:rsid w:val="00BE6A55"/>
    <w:rsid w:val="00C924BE"/>
    <w:rsid w:val="00D553AE"/>
    <w:rsid w:val="00D8717D"/>
    <w:rsid w:val="00DF4EF6"/>
    <w:rsid w:val="00F305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4E4"/>
  </w:style>
  <w:style w:type="paragraph" w:styleId="2">
    <w:name w:val="heading 2"/>
    <w:basedOn w:val="a"/>
    <w:link w:val="20"/>
    <w:uiPriority w:val="9"/>
    <w:qFormat/>
    <w:rsid w:val="00D8717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23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82357"/>
  </w:style>
  <w:style w:type="paragraph" w:customStyle="1" w:styleId="text">
    <w:name w:val="text"/>
    <w:basedOn w:val="a"/>
    <w:uiPriority w:val="99"/>
    <w:rsid w:val="00D8717D"/>
    <w:pPr>
      <w:spacing w:before="100" w:after="100" w:line="240" w:lineRule="auto"/>
    </w:pPr>
    <w:rPr>
      <w:rFonts w:ascii="Arial" w:eastAsia="Times New Roman" w:hAnsi="Arial" w:cs="Times New Roman"/>
      <w:color w:val="000000"/>
      <w:sz w:val="20"/>
      <w:szCs w:val="20"/>
      <w:lang w:eastAsia="ru-RU"/>
    </w:rPr>
  </w:style>
  <w:style w:type="paragraph" w:customStyle="1" w:styleId="1">
    <w:name w:val="Стиль1"/>
    <w:basedOn w:val="a"/>
    <w:uiPriority w:val="99"/>
    <w:rsid w:val="00D8717D"/>
    <w:pPr>
      <w:autoSpaceDE w:val="0"/>
      <w:autoSpaceDN w:val="0"/>
      <w:adjustRightInd w:val="0"/>
      <w:spacing w:after="0" w:line="360" w:lineRule="auto"/>
      <w:jc w:val="both"/>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D8717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8717D"/>
    <w:rPr>
      <w:rFonts w:ascii="Tahoma" w:hAnsi="Tahoma" w:cs="Tahoma"/>
      <w:sz w:val="16"/>
      <w:szCs w:val="16"/>
    </w:rPr>
  </w:style>
  <w:style w:type="character" w:customStyle="1" w:styleId="20">
    <w:name w:val="Заголовок 2 Знак"/>
    <w:basedOn w:val="a0"/>
    <w:link w:val="2"/>
    <w:uiPriority w:val="9"/>
    <w:rsid w:val="00D8717D"/>
    <w:rPr>
      <w:rFonts w:ascii="Times New Roman" w:eastAsia="Times New Roman" w:hAnsi="Times New Roman" w:cs="Times New Roman"/>
      <w:b/>
      <w:bCs/>
      <w:sz w:val="36"/>
      <w:szCs w:val="36"/>
      <w:lang w:eastAsia="ru-RU"/>
    </w:rPr>
  </w:style>
  <w:style w:type="paragraph" w:styleId="a6">
    <w:name w:val="header"/>
    <w:basedOn w:val="a"/>
    <w:link w:val="a7"/>
    <w:uiPriority w:val="99"/>
    <w:semiHidden/>
    <w:unhideWhenUsed/>
    <w:rsid w:val="00D8717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8717D"/>
  </w:style>
  <w:style w:type="paragraph" w:styleId="a8">
    <w:name w:val="footer"/>
    <w:basedOn w:val="a"/>
    <w:link w:val="a9"/>
    <w:uiPriority w:val="99"/>
    <w:unhideWhenUsed/>
    <w:rsid w:val="00D8717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717D"/>
  </w:style>
</w:styles>
</file>

<file path=word/webSettings.xml><?xml version="1.0" encoding="utf-8"?>
<w:webSettings xmlns:r="http://schemas.openxmlformats.org/officeDocument/2006/relationships" xmlns:w="http://schemas.openxmlformats.org/wordprocessingml/2006/main">
  <w:divs>
    <w:div w:id="214731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248ED-9B53-4A3E-92C2-A71BA2DF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9</Pages>
  <Words>1586</Words>
  <Characters>9041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1221</dc:creator>
  <cp:lastModifiedBy>1221</cp:lastModifiedBy>
  <cp:revision>5</cp:revision>
  <dcterms:created xsi:type="dcterms:W3CDTF">2016-11-20T18:03:00Z</dcterms:created>
  <dcterms:modified xsi:type="dcterms:W3CDTF">2016-11-24T12:53:00Z</dcterms:modified>
</cp:coreProperties>
</file>