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AE9" w:rsidRPr="001101A6" w:rsidRDefault="00A31AE9" w:rsidP="00A31AE9">
      <w:pPr>
        <w:spacing w:after="0" w:line="276" w:lineRule="auto"/>
        <w:rPr>
          <w:rFonts w:cs="Times New Roman"/>
          <w:color w:val="000000" w:themeColor="text1"/>
          <w:szCs w:val="28"/>
        </w:rPr>
      </w:pPr>
      <w:r w:rsidRPr="001101A6">
        <w:rPr>
          <w:rFonts w:cs="Times New Roman"/>
          <w:color w:val="000000" w:themeColor="text1"/>
          <w:szCs w:val="28"/>
        </w:rPr>
        <w:t>Федеральное государственное образовательное бюджетное учреждение</w:t>
      </w:r>
    </w:p>
    <w:p w:rsidR="00A31AE9" w:rsidRPr="001101A6" w:rsidRDefault="00A31AE9" w:rsidP="00A31AE9">
      <w:pPr>
        <w:spacing w:after="200" w:line="276" w:lineRule="auto"/>
        <w:jc w:val="center"/>
        <w:rPr>
          <w:rFonts w:cs="Times New Roman"/>
          <w:color w:val="000000" w:themeColor="text1"/>
          <w:szCs w:val="28"/>
        </w:rPr>
      </w:pPr>
      <w:r w:rsidRPr="001101A6">
        <w:rPr>
          <w:rFonts w:cs="Times New Roman"/>
          <w:color w:val="000000" w:themeColor="text1"/>
          <w:szCs w:val="28"/>
        </w:rPr>
        <w:t>высшего образования</w:t>
      </w:r>
    </w:p>
    <w:p w:rsidR="00A31AE9" w:rsidRPr="001101A6" w:rsidRDefault="00A31AE9" w:rsidP="00A31AE9">
      <w:pPr>
        <w:spacing w:after="0" w:line="276" w:lineRule="auto"/>
        <w:jc w:val="center"/>
        <w:rPr>
          <w:rFonts w:cs="Times New Roman"/>
          <w:b/>
          <w:color w:val="000000" w:themeColor="text1"/>
          <w:szCs w:val="28"/>
        </w:rPr>
      </w:pPr>
      <w:r w:rsidRPr="001101A6">
        <w:rPr>
          <w:rFonts w:cs="Times New Roman"/>
          <w:b/>
          <w:color w:val="000000" w:themeColor="text1"/>
          <w:szCs w:val="28"/>
        </w:rPr>
        <w:t>«ФИНАНСОВЫЙ УНИВЕРСИТЕТ</w:t>
      </w:r>
    </w:p>
    <w:p w:rsidR="00A31AE9" w:rsidRPr="001101A6" w:rsidRDefault="00A31AE9" w:rsidP="00A31AE9">
      <w:pPr>
        <w:spacing w:after="0" w:line="276" w:lineRule="auto"/>
        <w:jc w:val="center"/>
        <w:rPr>
          <w:rFonts w:cs="Times New Roman"/>
          <w:b/>
          <w:color w:val="000000" w:themeColor="text1"/>
          <w:szCs w:val="28"/>
        </w:rPr>
      </w:pPr>
      <w:r w:rsidRPr="001101A6">
        <w:rPr>
          <w:rFonts w:cs="Times New Roman"/>
          <w:b/>
          <w:color w:val="000000" w:themeColor="text1"/>
          <w:szCs w:val="28"/>
        </w:rPr>
        <w:t>ПРИ ПРАВИТЕЛЬСТВЕ РОССИЙСКОЙ ФЕДЕРАЦИИ»</w:t>
      </w:r>
    </w:p>
    <w:p w:rsidR="00A31AE9" w:rsidRPr="001101A6" w:rsidRDefault="00A31AE9" w:rsidP="00A31AE9">
      <w:pPr>
        <w:spacing w:before="240" w:after="0" w:line="276" w:lineRule="auto"/>
        <w:jc w:val="center"/>
        <w:rPr>
          <w:rFonts w:cs="Times New Roman"/>
          <w:color w:val="000000" w:themeColor="text1"/>
          <w:szCs w:val="28"/>
        </w:rPr>
      </w:pPr>
      <w:r w:rsidRPr="001101A6">
        <w:rPr>
          <w:rFonts w:cs="Times New Roman"/>
          <w:color w:val="000000" w:themeColor="text1"/>
          <w:szCs w:val="28"/>
        </w:rPr>
        <w:t>Смоленский филиал</w:t>
      </w:r>
    </w:p>
    <w:p w:rsidR="00A31AE9" w:rsidRDefault="00A31AE9" w:rsidP="00A31AE9">
      <w:pPr>
        <w:spacing w:after="200" w:line="276" w:lineRule="auto"/>
        <w:jc w:val="center"/>
        <w:rPr>
          <w:rFonts w:cs="Times New Roman"/>
          <w:color w:val="000000" w:themeColor="text1"/>
          <w:szCs w:val="28"/>
        </w:rPr>
      </w:pPr>
      <w:r>
        <w:rPr>
          <w:rFonts w:cs="Times New Roman"/>
          <w:color w:val="000000" w:themeColor="text1"/>
          <w:szCs w:val="28"/>
        </w:rPr>
        <w:t>Кафедра «Экономика и менеджмент</w:t>
      </w:r>
      <w:r w:rsidRPr="001101A6">
        <w:rPr>
          <w:rFonts w:cs="Times New Roman"/>
          <w:color w:val="000000" w:themeColor="text1"/>
          <w:szCs w:val="28"/>
        </w:rPr>
        <w:t>»</w:t>
      </w:r>
    </w:p>
    <w:p w:rsidR="00A31AE9" w:rsidRDefault="00A31AE9" w:rsidP="00A31AE9">
      <w:pPr>
        <w:spacing w:after="200" w:line="276" w:lineRule="auto"/>
        <w:jc w:val="center"/>
        <w:rPr>
          <w:rFonts w:cs="Times New Roman"/>
          <w:color w:val="000000" w:themeColor="text1"/>
          <w:szCs w:val="28"/>
        </w:rPr>
      </w:pPr>
    </w:p>
    <w:p w:rsidR="00436757" w:rsidRDefault="00436757" w:rsidP="00A31AE9">
      <w:pPr>
        <w:spacing w:after="200" w:line="276" w:lineRule="auto"/>
        <w:jc w:val="center"/>
        <w:rPr>
          <w:rFonts w:cs="Times New Roman"/>
          <w:color w:val="000000" w:themeColor="text1"/>
          <w:szCs w:val="28"/>
        </w:rPr>
      </w:pPr>
    </w:p>
    <w:p w:rsidR="00436757" w:rsidRDefault="00436757" w:rsidP="00A31AE9">
      <w:pPr>
        <w:spacing w:after="200" w:line="276" w:lineRule="auto"/>
        <w:jc w:val="center"/>
        <w:rPr>
          <w:rFonts w:cs="Times New Roman"/>
          <w:color w:val="000000" w:themeColor="text1"/>
          <w:szCs w:val="28"/>
        </w:rPr>
      </w:pPr>
      <w:r>
        <w:rPr>
          <w:rFonts w:cs="Times New Roman"/>
          <w:color w:val="000000" w:themeColor="text1"/>
          <w:szCs w:val="28"/>
        </w:rPr>
        <w:t>Научный доклад на тему:</w:t>
      </w:r>
    </w:p>
    <w:p w:rsidR="00436757" w:rsidRDefault="00436757" w:rsidP="00A31AE9">
      <w:pPr>
        <w:spacing w:after="200" w:line="276" w:lineRule="auto"/>
        <w:jc w:val="center"/>
        <w:rPr>
          <w:rFonts w:cs="Times New Roman"/>
          <w:b/>
          <w:color w:val="000000" w:themeColor="text1"/>
          <w:szCs w:val="28"/>
        </w:rPr>
      </w:pPr>
      <w:r>
        <w:rPr>
          <w:rFonts w:cs="Times New Roman"/>
          <w:b/>
          <w:color w:val="000000" w:themeColor="text1"/>
          <w:szCs w:val="28"/>
        </w:rPr>
        <w:t>«СОЦИАЛЬНАЯ НАГРУЗКА БЮДЖЕТА СМОЛЕНСКОЙ ОБЛАСТИ»</w:t>
      </w:r>
    </w:p>
    <w:p w:rsidR="00436757" w:rsidRDefault="00436757" w:rsidP="00A31AE9">
      <w:pPr>
        <w:spacing w:after="200" w:line="276" w:lineRule="auto"/>
        <w:jc w:val="center"/>
        <w:rPr>
          <w:rFonts w:cs="Times New Roman"/>
          <w:b/>
          <w:color w:val="000000" w:themeColor="text1"/>
          <w:szCs w:val="28"/>
        </w:rPr>
      </w:pPr>
    </w:p>
    <w:p w:rsidR="00436757" w:rsidRDefault="00436757" w:rsidP="00A31AE9">
      <w:pPr>
        <w:spacing w:after="200" w:line="276" w:lineRule="auto"/>
        <w:jc w:val="center"/>
        <w:rPr>
          <w:rFonts w:cs="Times New Roman"/>
          <w:b/>
          <w:color w:val="000000" w:themeColor="text1"/>
          <w:szCs w:val="28"/>
        </w:rPr>
      </w:pPr>
    </w:p>
    <w:p w:rsidR="00436757" w:rsidRDefault="00436757" w:rsidP="00A31AE9">
      <w:pPr>
        <w:spacing w:after="200" w:line="276" w:lineRule="auto"/>
        <w:jc w:val="center"/>
        <w:rPr>
          <w:rFonts w:cs="Times New Roman"/>
          <w:b/>
          <w:color w:val="000000" w:themeColor="text1"/>
          <w:szCs w:val="28"/>
        </w:rPr>
      </w:pPr>
    </w:p>
    <w:p w:rsidR="00436757" w:rsidRDefault="00436757" w:rsidP="00436757">
      <w:pPr>
        <w:spacing w:after="200" w:line="276" w:lineRule="auto"/>
        <w:rPr>
          <w:rFonts w:cs="Times New Roman"/>
          <w:b/>
          <w:color w:val="000000" w:themeColor="text1"/>
          <w:szCs w:val="28"/>
        </w:rPr>
      </w:pPr>
    </w:p>
    <w:p w:rsidR="00436757" w:rsidRDefault="00436757" w:rsidP="00436757">
      <w:pPr>
        <w:spacing w:after="200" w:line="276" w:lineRule="auto"/>
        <w:ind w:firstLine="4253"/>
        <w:rPr>
          <w:rFonts w:cs="Times New Roman"/>
          <w:color w:val="000000" w:themeColor="text1"/>
          <w:szCs w:val="28"/>
        </w:rPr>
      </w:pPr>
      <w:r w:rsidRPr="00436757">
        <w:rPr>
          <w:rFonts w:cs="Times New Roman"/>
          <w:i/>
          <w:color w:val="000000" w:themeColor="text1"/>
          <w:szCs w:val="28"/>
        </w:rPr>
        <w:t>Выполнили:</w:t>
      </w:r>
      <w:r>
        <w:rPr>
          <w:rFonts w:cs="Times New Roman"/>
          <w:i/>
          <w:color w:val="000000" w:themeColor="text1"/>
          <w:szCs w:val="28"/>
        </w:rPr>
        <w:t xml:space="preserve"> </w:t>
      </w:r>
      <w:proofErr w:type="spellStart"/>
      <w:r>
        <w:rPr>
          <w:rFonts w:cs="Times New Roman"/>
          <w:color w:val="000000" w:themeColor="text1"/>
          <w:szCs w:val="28"/>
        </w:rPr>
        <w:t>Плюснина</w:t>
      </w:r>
      <w:proofErr w:type="spellEnd"/>
      <w:r>
        <w:rPr>
          <w:rFonts w:cs="Times New Roman"/>
          <w:color w:val="000000" w:themeColor="text1"/>
          <w:szCs w:val="28"/>
        </w:rPr>
        <w:t xml:space="preserve"> Е. А.</w:t>
      </w:r>
    </w:p>
    <w:p w:rsidR="00436757" w:rsidRDefault="00436757" w:rsidP="00436757">
      <w:pPr>
        <w:spacing w:after="200" w:line="276" w:lineRule="auto"/>
        <w:ind w:firstLine="4962"/>
        <w:rPr>
          <w:rFonts w:cs="Times New Roman"/>
          <w:color w:val="000000" w:themeColor="text1"/>
          <w:szCs w:val="28"/>
        </w:rPr>
      </w:pPr>
      <w:r>
        <w:rPr>
          <w:rFonts w:cs="Times New Roman"/>
          <w:color w:val="000000" w:themeColor="text1"/>
          <w:szCs w:val="28"/>
        </w:rPr>
        <w:t xml:space="preserve">           </w:t>
      </w:r>
      <w:proofErr w:type="spellStart"/>
      <w:r>
        <w:rPr>
          <w:rFonts w:cs="Times New Roman"/>
          <w:color w:val="000000" w:themeColor="text1"/>
          <w:szCs w:val="28"/>
        </w:rPr>
        <w:t>Тимошенкова</w:t>
      </w:r>
      <w:proofErr w:type="spellEnd"/>
      <w:r>
        <w:rPr>
          <w:rFonts w:cs="Times New Roman"/>
          <w:color w:val="000000" w:themeColor="text1"/>
          <w:szCs w:val="28"/>
        </w:rPr>
        <w:t xml:space="preserve"> О.В.</w:t>
      </w:r>
    </w:p>
    <w:p w:rsidR="00436757" w:rsidRPr="00436757" w:rsidRDefault="00436757" w:rsidP="00436757">
      <w:pPr>
        <w:spacing w:after="200" w:line="276" w:lineRule="auto"/>
        <w:ind w:firstLine="4253"/>
        <w:rPr>
          <w:rFonts w:cs="Times New Roman"/>
          <w:color w:val="000000" w:themeColor="text1"/>
          <w:szCs w:val="28"/>
        </w:rPr>
      </w:pPr>
      <w:r w:rsidRPr="00436757">
        <w:rPr>
          <w:rFonts w:cs="Times New Roman"/>
          <w:color w:val="000000" w:themeColor="text1"/>
          <w:szCs w:val="28"/>
        </w:rPr>
        <w:t>Курс 2 очной формы обучения</w:t>
      </w:r>
    </w:p>
    <w:p w:rsidR="00436757" w:rsidRPr="00436757" w:rsidRDefault="00436757" w:rsidP="00436757">
      <w:pPr>
        <w:spacing w:after="200" w:line="276" w:lineRule="auto"/>
        <w:ind w:firstLine="4253"/>
        <w:rPr>
          <w:rFonts w:cs="Times New Roman"/>
          <w:color w:val="000000" w:themeColor="text1"/>
          <w:szCs w:val="28"/>
        </w:rPr>
      </w:pPr>
      <w:r w:rsidRPr="00436757">
        <w:rPr>
          <w:rFonts w:cs="Times New Roman"/>
          <w:color w:val="000000" w:themeColor="text1"/>
          <w:szCs w:val="28"/>
        </w:rPr>
        <w:t>Направление «Экономика»</w:t>
      </w:r>
    </w:p>
    <w:p w:rsidR="00436757" w:rsidRDefault="00436757" w:rsidP="00436757">
      <w:pPr>
        <w:spacing w:after="200" w:line="276" w:lineRule="auto"/>
        <w:ind w:firstLine="4253"/>
        <w:rPr>
          <w:rFonts w:cs="Times New Roman"/>
          <w:color w:val="000000" w:themeColor="text1"/>
          <w:szCs w:val="28"/>
        </w:rPr>
      </w:pPr>
      <w:r w:rsidRPr="00436757">
        <w:rPr>
          <w:rFonts w:cs="Times New Roman"/>
          <w:color w:val="000000" w:themeColor="text1"/>
          <w:szCs w:val="28"/>
        </w:rPr>
        <w:t>Профиль «Финансы и кредит»</w:t>
      </w:r>
    </w:p>
    <w:p w:rsidR="00436757" w:rsidRPr="00436757" w:rsidRDefault="00436757" w:rsidP="00436757">
      <w:pPr>
        <w:spacing w:after="200" w:line="276" w:lineRule="auto"/>
        <w:ind w:firstLine="4253"/>
        <w:rPr>
          <w:rFonts w:cs="Times New Roman"/>
          <w:color w:val="000000" w:themeColor="text1"/>
          <w:szCs w:val="28"/>
        </w:rPr>
      </w:pPr>
      <w:r w:rsidRPr="00436757">
        <w:rPr>
          <w:rFonts w:cs="Times New Roman"/>
          <w:i/>
          <w:color w:val="000000" w:themeColor="text1"/>
          <w:szCs w:val="28"/>
        </w:rPr>
        <w:t xml:space="preserve">Научный руководитель: </w:t>
      </w:r>
      <w:r w:rsidRPr="00436757">
        <w:rPr>
          <w:rFonts w:cs="Times New Roman"/>
          <w:color w:val="000000" w:themeColor="text1"/>
          <w:szCs w:val="28"/>
        </w:rPr>
        <w:t xml:space="preserve">д.э.н., профессор </w:t>
      </w:r>
    </w:p>
    <w:p w:rsidR="00436757" w:rsidRDefault="00436757" w:rsidP="00436757">
      <w:pPr>
        <w:spacing w:after="200" w:line="276" w:lineRule="auto"/>
        <w:ind w:firstLine="4253"/>
        <w:rPr>
          <w:rFonts w:cs="Times New Roman"/>
          <w:color w:val="000000" w:themeColor="text1"/>
          <w:szCs w:val="28"/>
        </w:rPr>
      </w:pPr>
      <w:r w:rsidRPr="00436757">
        <w:rPr>
          <w:rFonts w:cs="Times New Roman"/>
          <w:color w:val="000000" w:themeColor="text1"/>
          <w:szCs w:val="28"/>
        </w:rPr>
        <w:t>Карпова В.В.</w:t>
      </w:r>
    </w:p>
    <w:p w:rsidR="00436757" w:rsidRDefault="00436757" w:rsidP="00436757">
      <w:pPr>
        <w:spacing w:after="200" w:line="276" w:lineRule="auto"/>
        <w:ind w:firstLine="4253"/>
        <w:rPr>
          <w:rFonts w:cs="Times New Roman"/>
          <w:color w:val="000000" w:themeColor="text1"/>
          <w:szCs w:val="28"/>
        </w:rPr>
      </w:pPr>
    </w:p>
    <w:p w:rsidR="00436757" w:rsidRDefault="00436757" w:rsidP="00436757">
      <w:pPr>
        <w:spacing w:after="200" w:line="276" w:lineRule="auto"/>
        <w:ind w:firstLine="4253"/>
        <w:rPr>
          <w:rFonts w:cs="Times New Roman"/>
          <w:color w:val="000000" w:themeColor="text1"/>
          <w:szCs w:val="28"/>
        </w:rPr>
      </w:pPr>
    </w:p>
    <w:p w:rsidR="00436757" w:rsidRDefault="00436757" w:rsidP="00436757">
      <w:pPr>
        <w:spacing w:after="200" w:line="276" w:lineRule="auto"/>
        <w:jc w:val="center"/>
        <w:rPr>
          <w:rFonts w:cs="Times New Roman"/>
          <w:color w:val="000000" w:themeColor="text1"/>
          <w:szCs w:val="28"/>
        </w:rPr>
      </w:pPr>
    </w:p>
    <w:p w:rsidR="00436757" w:rsidRDefault="00436757" w:rsidP="00436757">
      <w:pPr>
        <w:spacing w:after="200" w:line="276" w:lineRule="auto"/>
        <w:jc w:val="center"/>
        <w:rPr>
          <w:rFonts w:cs="Times New Roman"/>
          <w:color w:val="000000" w:themeColor="text1"/>
          <w:szCs w:val="28"/>
        </w:rPr>
      </w:pPr>
      <w:r>
        <w:rPr>
          <w:rFonts w:cs="Times New Roman"/>
          <w:color w:val="000000" w:themeColor="text1"/>
          <w:szCs w:val="28"/>
        </w:rPr>
        <w:t>Смоленск</w:t>
      </w:r>
    </w:p>
    <w:p w:rsidR="00436757" w:rsidRDefault="00436757" w:rsidP="00436757">
      <w:pPr>
        <w:spacing w:after="200" w:line="276" w:lineRule="auto"/>
        <w:jc w:val="center"/>
        <w:rPr>
          <w:rFonts w:cs="Times New Roman"/>
          <w:color w:val="000000" w:themeColor="text1"/>
          <w:szCs w:val="28"/>
        </w:rPr>
      </w:pPr>
      <w:r>
        <w:rPr>
          <w:rFonts w:cs="Times New Roman"/>
          <w:color w:val="000000" w:themeColor="text1"/>
          <w:szCs w:val="28"/>
        </w:rPr>
        <w:t>2017</w:t>
      </w:r>
    </w:p>
    <w:p w:rsidR="00107079" w:rsidRDefault="00107079" w:rsidP="00107079">
      <w:pPr>
        <w:spacing w:line="360" w:lineRule="auto"/>
        <w:ind w:firstLine="567"/>
        <w:contextualSpacing/>
        <w:jc w:val="both"/>
      </w:pPr>
      <w:r>
        <w:lastRenderedPageBreak/>
        <w:t>В связи со сложной экономической ситуацией в стране в целом, а соответственно и в Смоленской области, необходимо исключительно рациональное и эффективное использование бюджетных средств</w:t>
      </w:r>
      <w:r w:rsidR="00D27DF9">
        <w:t>, направленное</w:t>
      </w:r>
      <w:r>
        <w:t>, с одной стороны,</w:t>
      </w:r>
      <w:r w:rsidR="00D27DF9">
        <w:t xml:space="preserve"> на сохранение на том же уровне</w:t>
      </w:r>
      <w:r w:rsidRPr="004373BA">
        <w:t xml:space="preserve"> реальных доходов социально-незащищенных сло</w:t>
      </w:r>
      <w:r>
        <w:t xml:space="preserve">ев населения, а с другой, на стимулирование экономического роста. </w:t>
      </w:r>
    </w:p>
    <w:p w:rsidR="00107079" w:rsidRDefault="00132BA4" w:rsidP="00107079">
      <w:pPr>
        <w:spacing w:line="360" w:lineRule="auto"/>
        <w:ind w:firstLine="567"/>
        <w:contextualSpacing/>
        <w:jc w:val="both"/>
      </w:pPr>
      <w:r>
        <w:t>Для достижения данных целей, для регионов с бюджетным дефицитом определены особенности предоставления федеральных дотаций на финансирование социальной сферы.</w:t>
      </w:r>
      <w:r w:rsidR="00107079" w:rsidRPr="00045E1B">
        <w:t xml:space="preserve"> К таким регионам относится и Смоленская область. </w:t>
      </w:r>
    </w:p>
    <w:p w:rsidR="00764DDD" w:rsidRPr="00436757" w:rsidRDefault="00F41FF0" w:rsidP="003607FC">
      <w:pPr>
        <w:spacing w:after="200" w:line="360" w:lineRule="auto"/>
        <w:ind w:firstLine="567"/>
        <w:jc w:val="both"/>
        <w:rPr>
          <w:rFonts w:cs="Times New Roman"/>
          <w:color w:val="000000" w:themeColor="text1"/>
          <w:szCs w:val="28"/>
        </w:rPr>
      </w:pPr>
      <w:r>
        <w:rPr>
          <w:bCs/>
        </w:rPr>
        <w:t>28 декабря</w:t>
      </w:r>
      <w:r w:rsidRPr="00F41FF0">
        <w:rPr>
          <w:bCs/>
        </w:rPr>
        <w:t xml:space="preserve"> </w:t>
      </w:r>
      <w:r w:rsidR="00680998">
        <w:rPr>
          <w:bCs/>
        </w:rPr>
        <w:t xml:space="preserve">2016 года </w:t>
      </w:r>
      <w:r w:rsidRPr="00F41FF0">
        <w:rPr>
          <w:bCs/>
        </w:rPr>
        <w:t xml:space="preserve">на заседании Смоленской областной Думы был принят </w:t>
      </w:r>
      <w:r w:rsidR="00FC5713">
        <w:rPr>
          <w:bCs/>
        </w:rPr>
        <w:t xml:space="preserve">областной </w:t>
      </w:r>
      <w:r w:rsidRPr="00F41FF0">
        <w:rPr>
          <w:bCs/>
        </w:rPr>
        <w:t>бюджет на 2017 год и на плановый период 2018 и 2019 годов.</w:t>
      </w:r>
      <w:r>
        <w:rPr>
          <w:bCs/>
        </w:rPr>
        <w:t xml:space="preserve"> </w:t>
      </w:r>
      <w:r w:rsidR="000D02B1">
        <w:rPr>
          <w:bCs/>
        </w:rPr>
        <w:t>Утверждены следующие характеристики областного бюджета на 2017г</w:t>
      </w:r>
      <w:r w:rsidR="008524C4">
        <w:rPr>
          <w:bCs/>
        </w:rPr>
        <w:t>од</w:t>
      </w:r>
      <w:r w:rsidR="000D02B1">
        <w:rPr>
          <w:bCs/>
        </w:rPr>
        <w:t xml:space="preserve">: </w:t>
      </w:r>
    </w:p>
    <w:p w:rsidR="000D02B1" w:rsidRDefault="000D02B1" w:rsidP="00DB4621">
      <w:pPr>
        <w:pStyle w:val="a3"/>
        <w:numPr>
          <w:ilvl w:val="0"/>
          <w:numId w:val="1"/>
        </w:numPr>
        <w:spacing w:line="360" w:lineRule="auto"/>
        <w:jc w:val="both"/>
      </w:pPr>
      <w:r>
        <w:t>Общий объем доходов областного бюджета составят 37 млрд. 599 млн. рублей;</w:t>
      </w:r>
    </w:p>
    <w:p w:rsidR="000D02B1" w:rsidRDefault="000D02B1" w:rsidP="00DB4621">
      <w:pPr>
        <w:pStyle w:val="a3"/>
        <w:numPr>
          <w:ilvl w:val="0"/>
          <w:numId w:val="1"/>
        </w:numPr>
        <w:spacing w:line="360" w:lineRule="auto"/>
        <w:jc w:val="both"/>
      </w:pPr>
      <w:r>
        <w:t>Общий объем расходов 35 млрд. 870 млн. рублей;</w:t>
      </w:r>
    </w:p>
    <w:p w:rsidR="000D02B1" w:rsidRDefault="000D02B1" w:rsidP="00DB4621">
      <w:pPr>
        <w:pStyle w:val="a3"/>
        <w:numPr>
          <w:ilvl w:val="0"/>
          <w:numId w:val="1"/>
        </w:numPr>
        <w:spacing w:line="360" w:lineRule="auto"/>
        <w:jc w:val="both"/>
      </w:pPr>
      <w:r>
        <w:t>Профицит областного бюджета в сумме 1 млрд. 728 млн. рублей.</w:t>
      </w:r>
    </w:p>
    <w:p w:rsidR="00AB24AB" w:rsidRDefault="00FC5713" w:rsidP="00AB24AB">
      <w:pPr>
        <w:spacing w:line="360" w:lineRule="auto"/>
        <w:ind w:firstLine="567"/>
        <w:contextualSpacing/>
        <w:jc w:val="both"/>
        <w:rPr>
          <w:bCs/>
        </w:rPr>
      </w:pPr>
      <w:r>
        <w:t>Г</w:t>
      </w:r>
      <w:r w:rsidR="001C788D">
        <w:t>лава</w:t>
      </w:r>
      <w:r>
        <w:t xml:space="preserve"> региона –</w:t>
      </w:r>
      <w:r w:rsidR="001C788D">
        <w:t xml:space="preserve"> губернатор</w:t>
      </w:r>
      <w:r>
        <w:t xml:space="preserve"> </w:t>
      </w:r>
      <w:r w:rsidR="001C788D">
        <w:t xml:space="preserve">Алексей Островский, поставил </w:t>
      </w:r>
      <w:r w:rsidR="00132BA4">
        <w:t xml:space="preserve">перед администрацией задачу сформировать областной бюджет с </w:t>
      </w:r>
      <w:r w:rsidRPr="001C5177">
        <w:t>обязат</w:t>
      </w:r>
      <w:r w:rsidR="00132BA4">
        <w:t>ельным сохранением</w:t>
      </w:r>
      <w:r w:rsidRPr="001C5177">
        <w:t xml:space="preserve"> объема финансирования здравоохранения, социального обеспечения, образования, спорта, туризма, а также всего перечня социальных льгот, которые предоставля</w:t>
      </w:r>
      <w:r>
        <w:t>ются жителям Смоленской области</w:t>
      </w:r>
      <w:r w:rsidRPr="001C5177">
        <w:t>.</w:t>
      </w:r>
      <w:r>
        <w:t xml:space="preserve"> </w:t>
      </w:r>
      <w:r w:rsidR="00D72DBD">
        <w:t xml:space="preserve">Исходя из этого, бюджет региона на 2017 </w:t>
      </w:r>
      <w:r w:rsidR="00D72DBD" w:rsidRPr="00D72DBD">
        <w:rPr>
          <w:bCs/>
        </w:rPr>
        <w:t>год и на плановый период 2018 и 2019 годов</w:t>
      </w:r>
      <w:r w:rsidR="00045E1B">
        <w:rPr>
          <w:bCs/>
        </w:rPr>
        <w:t xml:space="preserve"> остается социально направле</w:t>
      </w:r>
      <w:r w:rsidR="00D72DBD">
        <w:rPr>
          <w:bCs/>
        </w:rPr>
        <w:t>нным</w:t>
      </w:r>
      <w:r w:rsidR="00AB24AB">
        <w:rPr>
          <w:bCs/>
        </w:rPr>
        <w:t xml:space="preserve">. </w:t>
      </w:r>
    </w:p>
    <w:p w:rsidR="00350A3C" w:rsidRDefault="00350A3C" w:rsidP="00876749">
      <w:pPr>
        <w:spacing w:line="360" w:lineRule="auto"/>
        <w:ind w:firstLine="567"/>
        <w:contextualSpacing/>
        <w:jc w:val="both"/>
        <w:rPr>
          <w:bCs/>
        </w:rPr>
      </w:pPr>
      <w:r w:rsidRPr="00350A3C">
        <w:rPr>
          <w:bCs/>
        </w:rPr>
        <w:t xml:space="preserve">Чтобы сохранить уровень социальной поддержки населения, </w:t>
      </w:r>
      <w:r w:rsidR="00876749">
        <w:rPr>
          <w:bCs/>
        </w:rPr>
        <w:t>запланировано сокращение расходов</w:t>
      </w:r>
      <w:r w:rsidRPr="00350A3C">
        <w:rPr>
          <w:bCs/>
        </w:rPr>
        <w:t xml:space="preserve"> на функционирован</w:t>
      </w:r>
      <w:r w:rsidR="00876749">
        <w:rPr>
          <w:bCs/>
        </w:rPr>
        <w:t>ие обладминистрации на 15,8 %</w:t>
      </w:r>
      <w:r w:rsidRPr="00350A3C">
        <w:rPr>
          <w:bCs/>
        </w:rPr>
        <w:t xml:space="preserve">. </w:t>
      </w:r>
    </w:p>
    <w:p w:rsidR="001C5177" w:rsidRDefault="00DB4621" w:rsidP="00AB24AB">
      <w:pPr>
        <w:spacing w:line="360" w:lineRule="auto"/>
        <w:ind w:firstLine="567"/>
        <w:contextualSpacing/>
        <w:jc w:val="both"/>
        <w:rPr>
          <w:bCs/>
        </w:rPr>
      </w:pPr>
      <w:r>
        <w:rPr>
          <w:bCs/>
        </w:rPr>
        <w:t>Наибольшую долю в расходах областного бюджета в 2017</w:t>
      </w:r>
      <w:r w:rsidR="008524C4">
        <w:rPr>
          <w:bCs/>
        </w:rPr>
        <w:t xml:space="preserve"> году</w:t>
      </w:r>
      <w:r>
        <w:rPr>
          <w:bCs/>
        </w:rPr>
        <w:t xml:space="preserve"> составят расходы по разделам: «Социальная политика» 30,6%, «Образование» - 2</w:t>
      </w:r>
      <w:r w:rsidR="00B53CF9">
        <w:rPr>
          <w:bCs/>
        </w:rPr>
        <w:t xml:space="preserve">0,8%, «Здравоохранение» - 5,9% (см. рис. 1). </w:t>
      </w:r>
      <w:r w:rsidR="002B24C4">
        <w:rPr>
          <w:bCs/>
        </w:rPr>
        <w:t>В р</w:t>
      </w:r>
      <w:r w:rsidR="008524C4" w:rsidRPr="00876749">
        <w:rPr>
          <w:bCs/>
        </w:rPr>
        <w:t>а</w:t>
      </w:r>
      <w:r w:rsidR="00876749" w:rsidRPr="00876749">
        <w:rPr>
          <w:bCs/>
        </w:rPr>
        <w:t>счете на душу населения</w:t>
      </w:r>
      <w:r w:rsidR="002B24C4">
        <w:rPr>
          <w:bCs/>
        </w:rPr>
        <w:t xml:space="preserve"> расходы на социальную политику составят 1 021 </w:t>
      </w:r>
      <w:r w:rsidR="00C547B2">
        <w:rPr>
          <w:bCs/>
        </w:rPr>
        <w:t>рублей</w:t>
      </w:r>
      <w:r w:rsidR="002B24C4">
        <w:rPr>
          <w:bCs/>
        </w:rPr>
        <w:t xml:space="preserve"> в месяц, на образо</w:t>
      </w:r>
      <w:bookmarkStart w:id="0" w:name="_GoBack"/>
      <w:bookmarkEnd w:id="0"/>
      <w:r w:rsidR="002B24C4">
        <w:rPr>
          <w:bCs/>
        </w:rPr>
        <w:t xml:space="preserve">вание – 696 </w:t>
      </w:r>
      <w:r w:rsidR="00C547B2">
        <w:rPr>
          <w:bCs/>
        </w:rPr>
        <w:t>рублей</w:t>
      </w:r>
      <w:r w:rsidR="002B24C4">
        <w:rPr>
          <w:bCs/>
        </w:rPr>
        <w:t>, на здравоохранение – 198 руб</w:t>
      </w:r>
      <w:r w:rsidR="00C547B2">
        <w:rPr>
          <w:bCs/>
        </w:rPr>
        <w:t>лей</w:t>
      </w:r>
      <w:r w:rsidR="002B24C4">
        <w:rPr>
          <w:bCs/>
        </w:rPr>
        <w:t xml:space="preserve">. </w:t>
      </w:r>
    </w:p>
    <w:p w:rsidR="00D832A2" w:rsidRDefault="00D832A2" w:rsidP="00FC117B">
      <w:pPr>
        <w:spacing w:line="360" w:lineRule="auto"/>
        <w:contextualSpacing/>
        <w:jc w:val="both"/>
        <w:rPr>
          <w:bCs/>
        </w:rPr>
      </w:pPr>
      <w:r>
        <w:rPr>
          <w:bCs/>
          <w:noProof/>
          <w:lang w:eastAsia="ru-RU"/>
        </w:rPr>
        <w:drawing>
          <wp:inline distT="0" distB="0" distL="0" distR="0">
            <wp:extent cx="5656521" cy="3774558"/>
            <wp:effectExtent l="0" t="0" r="20955" b="1651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B53CF9" w:rsidRPr="002B24C4" w:rsidRDefault="00B53CF9" w:rsidP="00B53CF9">
      <w:pPr>
        <w:spacing w:line="360" w:lineRule="auto"/>
        <w:ind w:firstLine="567"/>
        <w:contextualSpacing/>
        <w:jc w:val="center"/>
        <w:rPr>
          <w:bCs/>
        </w:rPr>
      </w:pPr>
      <w:r>
        <w:rPr>
          <w:bCs/>
        </w:rPr>
        <w:t xml:space="preserve">Рисунок 1 – Расходы областного бюджета </w:t>
      </w:r>
      <w:r w:rsidR="00691264">
        <w:rPr>
          <w:bCs/>
        </w:rPr>
        <w:t xml:space="preserve">в </w:t>
      </w:r>
      <w:r>
        <w:rPr>
          <w:bCs/>
        </w:rPr>
        <w:t>2017 г.</w:t>
      </w:r>
    </w:p>
    <w:p w:rsidR="003607FC" w:rsidRDefault="00BE623C" w:rsidP="00BE623C">
      <w:pPr>
        <w:spacing w:line="360" w:lineRule="auto"/>
        <w:ind w:firstLine="567"/>
        <w:contextualSpacing/>
        <w:jc w:val="both"/>
        <w:rPr>
          <w:bCs/>
        </w:rPr>
      </w:pPr>
      <w:r>
        <w:rPr>
          <w:bCs/>
        </w:rPr>
        <w:t>В области</w:t>
      </w:r>
      <w:r w:rsidR="007E61D1">
        <w:rPr>
          <w:bCs/>
        </w:rPr>
        <w:t xml:space="preserve"> продолжается реализация пяти</w:t>
      </w:r>
      <w:r>
        <w:rPr>
          <w:bCs/>
        </w:rPr>
        <w:t xml:space="preserve"> областных государствен</w:t>
      </w:r>
      <w:r w:rsidR="003607FC">
        <w:rPr>
          <w:bCs/>
        </w:rPr>
        <w:t>ных социаль</w:t>
      </w:r>
      <w:r w:rsidR="00A20626">
        <w:rPr>
          <w:bCs/>
        </w:rPr>
        <w:t>но значимых программ (см. рис.2</w:t>
      </w:r>
      <w:r w:rsidR="003607FC">
        <w:rPr>
          <w:bCs/>
        </w:rPr>
        <w:t xml:space="preserve">). </w:t>
      </w:r>
    </w:p>
    <w:p w:rsidR="00E94EC0" w:rsidRDefault="00E94EC0" w:rsidP="001749E2">
      <w:pPr>
        <w:spacing w:line="360" w:lineRule="auto"/>
        <w:contextualSpacing/>
        <w:jc w:val="both"/>
        <w:rPr>
          <w:bCs/>
        </w:rPr>
      </w:pPr>
      <w:r>
        <w:rPr>
          <w:bCs/>
          <w:noProof/>
          <w:lang w:eastAsia="ru-RU"/>
        </w:rPr>
        <w:drawing>
          <wp:inline distT="0" distB="0" distL="0" distR="0" wp14:anchorId="41C45E57" wp14:editId="256411FD">
            <wp:extent cx="5901070" cy="4688958"/>
            <wp:effectExtent l="0" t="0" r="23495" b="1651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56BE7" w:rsidRDefault="001B6F13" w:rsidP="00FC117B">
      <w:pPr>
        <w:spacing w:line="360" w:lineRule="auto"/>
        <w:contextualSpacing/>
        <w:jc w:val="center"/>
        <w:rPr>
          <w:bCs/>
        </w:rPr>
      </w:pPr>
      <w:r>
        <w:rPr>
          <w:bCs/>
        </w:rPr>
        <w:t>Рисунок</w:t>
      </w:r>
      <w:r w:rsidR="00A20626">
        <w:rPr>
          <w:bCs/>
        </w:rPr>
        <w:t xml:space="preserve"> 2</w:t>
      </w:r>
      <w:r w:rsidR="00856BE7">
        <w:rPr>
          <w:bCs/>
        </w:rPr>
        <w:t xml:space="preserve"> – Доля пяти областных государственных социально значимых программ.</w:t>
      </w:r>
    </w:p>
    <w:p w:rsidR="000D02B1" w:rsidRDefault="00BE623C" w:rsidP="00BE623C">
      <w:pPr>
        <w:spacing w:line="360" w:lineRule="auto"/>
        <w:ind w:firstLine="567"/>
        <w:contextualSpacing/>
        <w:jc w:val="both"/>
      </w:pPr>
      <w:r>
        <w:rPr>
          <w:bCs/>
        </w:rPr>
        <w:t xml:space="preserve"> Программа «Развитие образования и молодежной политики </w:t>
      </w:r>
      <w:proofErr w:type="gramStart"/>
      <w:r>
        <w:rPr>
          <w:bCs/>
        </w:rPr>
        <w:t>в</w:t>
      </w:r>
      <w:proofErr w:type="gramEnd"/>
      <w:r>
        <w:rPr>
          <w:bCs/>
        </w:rPr>
        <w:t xml:space="preserve"> </w:t>
      </w:r>
      <w:proofErr w:type="gramStart"/>
      <w:r>
        <w:rPr>
          <w:bCs/>
        </w:rPr>
        <w:t>Смоленской области» на 2014-2020 годы предусматривает в 2017 году финансирование в размере 8,4 млрд. рублей – это 25% от всего о</w:t>
      </w:r>
      <w:r w:rsidR="00603AF8">
        <w:rPr>
          <w:bCs/>
        </w:rPr>
        <w:t>бъема государственных программ, программа «Социальная поддержка граждан, проживающих на территории Смоленской области» - 6,3 млрд. рублей – 19% всего объема госпрограмм, программа «Развитие здравоохранения в Смоленской области» - 5,9 млрд. рублей – 18%, «Развитие культуры и туризма в Смоленской области» - 507,2 тыс. рублей, «Развитие физической</w:t>
      </w:r>
      <w:proofErr w:type="gramEnd"/>
      <w:r w:rsidR="00603AF8">
        <w:rPr>
          <w:bCs/>
        </w:rPr>
        <w:t xml:space="preserve"> </w:t>
      </w:r>
      <w:proofErr w:type="gramStart"/>
      <w:r w:rsidR="00603AF8">
        <w:rPr>
          <w:bCs/>
        </w:rPr>
        <w:t>культуры и спорта в Смоленской области» - 377 тыс. рублей</w:t>
      </w:r>
      <w:proofErr w:type="gramEnd"/>
      <w:r w:rsidR="00603AF8">
        <w:rPr>
          <w:bCs/>
        </w:rPr>
        <w:t xml:space="preserve">. Эти 5 программ составляют более 65% от всего объема расходов на все государственные программы. </w:t>
      </w:r>
    </w:p>
    <w:p w:rsidR="008524C4" w:rsidRPr="00945D50" w:rsidRDefault="003607FC" w:rsidP="008524C4">
      <w:pPr>
        <w:spacing w:line="360" w:lineRule="auto"/>
        <w:ind w:firstLine="567"/>
        <w:contextualSpacing/>
        <w:jc w:val="both"/>
      </w:pPr>
      <w:r>
        <w:t xml:space="preserve">Изменения социальной поддержки с 2017 года выразились в введении критерия нуждаемости. </w:t>
      </w:r>
      <w:r w:rsidR="008524C4" w:rsidRPr="008524C4">
        <w:t xml:space="preserve">Главный принцип – поддержать наиболее нуждающихся граждан. Так, с 1 января 2017 года </w:t>
      </w:r>
      <w:r>
        <w:t xml:space="preserve">областной </w:t>
      </w:r>
      <w:r w:rsidR="008524C4" w:rsidRPr="008524C4">
        <w:t>материнский ка</w:t>
      </w:r>
      <w:r w:rsidR="00945D50">
        <w:t xml:space="preserve">питал составляет </w:t>
      </w:r>
      <w:r w:rsidR="008524C4" w:rsidRPr="008524C4">
        <w:t xml:space="preserve">80 тысяч рублей и </w:t>
      </w:r>
      <w:r w:rsidR="00945D50">
        <w:t>выплачивает</w:t>
      </w:r>
      <w:r w:rsidR="008524C4" w:rsidRPr="008524C4">
        <w:t xml:space="preserve">ся при рождении третьего и последующих детей, причем, среднедушевой доход семьи </w:t>
      </w:r>
      <w:r w:rsidR="008524C4">
        <w:t xml:space="preserve">за 6 месяцев </w:t>
      </w:r>
      <w:r w:rsidR="008524C4" w:rsidRPr="008524C4">
        <w:t xml:space="preserve">не должен превышать двукратной величины прожиточного минимума на душу населения, установленную в регионе. </w:t>
      </w:r>
      <w:r w:rsidR="00483627">
        <w:t>До этого момента</w:t>
      </w:r>
      <w:r w:rsidR="008524C4" w:rsidRPr="00945D50">
        <w:t xml:space="preserve"> материнский капитал </w:t>
      </w:r>
      <w:r>
        <w:t xml:space="preserve">Смоленской области </w:t>
      </w:r>
      <w:r w:rsidR="008524C4" w:rsidRPr="00945D50">
        <w:t>был самым большим в Центральном федеральном округе. Кроме того, только Смоленская область и еще всего пять регионов страны выплачивали его на второго ребенка. В других субъектах выплата производилась на третьего и последующих детей. Вместе с тем даже но</w:t>
      </w:r>
      <w:r w:rsidR="00945D50">
        <w:t xml:space="preserve">вый размер </w:t>
      </w:r>
      <w:proofErr w:type="spellStart"/>
      <w:r w:rsidR="00945D50">
        <w:t>маткапитала</w:t>
      </w:r>
      <w:proofErr w:type="spellEnd"/>
      <w:r w:rsidR="00945D50">
        <w:t xml:space="preserve"> остается</w:t>
      </w:r>
      <w:r w:rsidR="008524C4" w:rsidRPr="00945D50">
        <w:t xml:space="preserve"> одним из самых высоких в ЦФО.</w:t>
      </w:r>
    </w:p>
    <w:p w:rsidR="00945D50" w:rsidRDefault="008524C4" w:rsidP="002B24C4">
      <w:pPr>
        <w:spacing w:line="360" w:lineRule="auto"/>
        <w:ind w:firstLine="567"/>
        <w:contextualSpacing/>
        <w:jc w:val="both"/>
      </w:pPr>
      <w:r w:rsidRPr="008524C4">
        <w:t>Стоит отметить, что те родители, которые получили сертификаты на материнский капитал до 1 января 2017 года, смогут им воспользоваться на прежних условиях. При этом также будут иметь право на получение сертификата женщины, родившие второго или последующих детей до 1 января 2017 года, если даже он не был им выдан ранее.</w:t>
      </w:r>
    </w:p>
    <w:p w:rsidR="00B9328F" w:rsidRDefault="00FC5B43" w:rsidP="008524C4">
      <w:pPr>
        <w:spacing w:line="360" w:lineRule="auto"/>
        <w:ind w:firstLine="567"/>
        <w:contextualSpacing/>
        <w:jc w:val="both"/>
      </w:pPr>
      <w:r w:rsidRPr="00FC5B43">
        <w:t>Кроме того, в закон «О государственном ежемесячном пособии на ребенка» ввели обяз</w:t>
      </w:r>
      <w:r>
        <w:t>ательное условие занятости</w:t>
      </w:r>
      <w:r w:rsidRPr="00FC5B43">
        <w:t xml:space="preserve"> получателей. Средства будут выплачиваться только в случа</w:t>
      </w:r>
      <w:r w:rsidR="00BE69C5">
        <w:t>е трудоустройства или регистрации обоих родителей в службе</w:t>
      </w:r>
      <w:r w:rsidRPr="00FC5B43">
        <w:t xml:space="preserve"> занятости</w:t>
      </w:r>
      <w:r w:rsidR="00B9328F">
        <w:t xml:space="preserve"> в качестве безработных. Среднедушевой доход семьи не должен превышать прожиточного минимума на душу населения (10 074 рубля). Базовый размер государственного ежемесячного пособия на ребенка составляет 232,93 рубля, пособие на детей одиноких матерей – 465,86 рублей.</w:t>
      </w:r>
    </w:p>
    <w:p w:rsidR="00FC5B43" w:rsidRDefault="00FC5B43" w:rsidP="008524C4">
      <w:pPr>
        <w:spacing w:line="360" w:lineRule="auto"/>
        <w:ind w:firstLine="567"/>
        <w:contextualSpacing/>
        <w:jc w:val="both"/>
      </w:pPr>
      <w:r w:rsidRPr="00FC5B43">
        <w:t>Подобные требования внесли и в закон «Об областном государственном единовременном пособии при рождении ребенка». С учетом критериев нуждаемости при величине дохода</w:t>
      </w:r>
      <w:r w:rsidR="0065008C">
        <w:t xml:space="preserve"> не</w:t>
      </w:r>
      <w:r w:rsidRPr="00FC5B43">
        <w:t xml:space="preserve"> в</w:t>
      </w:r>
      <w:r w:rsidR="0065008C">
        <w:t>ыше</w:t>
      </w:r>
      <w:r w:rsidRPr="00FC5B43">
        <w:t xml:space="preserve"> 11 тысяч рублей на одного члена сем</w:t>
      </w:r>
      <w:r>
        <w:t>ьи оно составит 5 тысяч рублей.</w:t>
      </w:r>
    </w:p>
    <w:p w:rsidR="0065008C" w:rsidRDefault="00BE69C5" w:rsidP="006B2553">
      <w:pPr>
        <w:spacing w:line="360" w:lineRule="auto"/>
        <w:ind w:firstLine="567"/>
        <w:contextualSpacing/>
        <w:jc w:val="both"/>
      </w:pPr>
      <w:r>
        <w:t>Ежемесячные пособия на ребенка, не посещающего детсад, состав</w:t>
      </w:r>
      <w:r w:rsidR="00B9328F">
        <w:t>ляю</w:t>
      </w:r>
      <w:r>
        <w:t xml:space="preserve">т 5000 рублей. Их </w:t>
      </w:r>
      <w:r w:rsidR="00B9328F">
        <w:t xml:space="preserve">получают </w:t>
      </w:r>
      <w:r>
        <w:t xml:space="preserve">родители детей от 3 до 7 лет, если: </w:t>
      </w:r>
    </w:p>
    <w:p w:rsidR="0065008C" w:rsidRDefault="00BE69C5" w:rsidP="0065008C">
      <w:pPr>
        <w:pStyle w:val="a3"/>
        <w:numPr>
          <w:ilvl w:val="0"/>
          <w:numId w:val="2"/>
        </w:numPr>
        <w:spacing w:line="360" w:lineRule="auto"/>
        <w:ind w:left="709"/>
        <w:jc w:val="both"/>
      </w:pPr>
      <w:r>
        <w:t>дети имеют медицинские показания, которые являются основанием для непосещения дошкольного учреждения;</w:t>
      </w:r>
    </w:p>
    <w:p w:rsidR="00BE69C5" w:rsidRDefault="00BE69C5" w:rsidP="0065008C">
      <w:pPr>
        <w:pStyle w:val="a3"/>
        <w:numPr>
          <w:ilvl w:val="0"/>
          <w:numId w:val="2"/>
        </w:numPr>
        <w:spacing w:line="360" w:lineRule="auto"/>
        <w:ind w:left="709"/>
        <w:jc w:val="both"/>
      </w:pPr>
      <w:r>
        <w:t xml:space="preserve">родители – инвалиды </w:t>
      </w:r>
      <w:r w:rsidRPr="0065008C">
        <w:rPr>
          <w:lang w:val="en-US"/>
        </w:rPr>
        <w:t>I</w:t>
      </w:r>
      <w:r>
        <w:t xml:space="preserve"> или</w:t>
      </w:r>
      <w:r w:rsidRPr="00BE69C5">
        <w:t xml:space="preserve"> </w:t>
      </w:r>
      <w:r w:rsidRPr="0065008C">
        <w:rPr>
          <w:lang w:val="en-US"/>
        </w:rPr>
        <w:t>II</w:t>
      </w:r>
      <w:r>
        <w:t xml:space="preserve"> группы, а их дети не посещают учреждения в связи с отсутствием мест или отсутствием таких организаций в поселении.</w:t>
      </w:r>
    </w:p>
    <w:p w:rsidR="006B2553" w:rsidRPr="006B2553" w:rsidRDefault="006B2553" w:rsidP="006B2553">
      <w:pPr>
        <w:spacing w:line="360" w:lineRule="auto"/>
        <w:ind w:firstLine="567"/>
        <w:contextualSpacing/>
        <w:jc w:val="both"/>
      </w:pPr>
      <w:r>
        <w:t>Также с 1 января 2017 года введены</w:t>
      </w:r>
      <w:r w:rsidRPr="006B2553">
        <w:t xml:space="preserve"> </w:t>
      </w:r>
      <w:r>
        <w:t>к</w:t>
      </w:r>
      <w:r w:rsidRPr="006B2553">
        <w:t>ритерии нуждаемости в виде установления выплат за звание «Ветеран труда Смоленской области</w:t>
      </w:r>
      <w:r>
        <w:t>»</w:t>
      </w:r>
      <w:r w:rsidRPr="006B2553">
        <w:t>: оно будет предоставляться неработающим гражданам с доходом ниже 12 тысяч рублей и при общем трудовом стаже для присвоения звания у женщин не менее 40 лет, у мужчин – не менее 45.</w:t>
      </w:r>
      <w:r w:rsidR="00525D8E" w:rsidRPr="00525D8E">
        <w:t xml:space="preserve"> </w:t>
      </w:r>
      <w:r w:rsidR="00525D8E">
        <w:t>Выплаты производятся</w:t>
      </w:r>
      <w:r w:rsidR="00525D8E" w:rsidRPr="00525D8E">
        <w:t xml:space="preserve"> в сумме 523,57 руб. </w:t>
      </w:r>
      <w:r>
        <w:t xml:space="preserve"> Новые получатели право на выплату подтверждают ежегодно. Тех, кто уже получал выплату до 31 декабря 2016 года или подал документы на присвоение, указанные изменения не касаются. </w:t>
      </w:r>
    </w:p>
    <w:p w:rsidR="006B2553" w:rsidRDefault="006B2553" w:rsidP="006B2553">
      <w:pPr>
        <w:spacing w:line="360" w:lineRule="auto"/>
        <w:ind w:firstLine="567"/>
        <w:contextualSpacing/>
        <w:jc w:val="both"/>
      </w:pPr>
      <w:r w:rsidRPr="006B2553">
        <w:t xml:space="preserve">В числе прочего </w:t>
      </w:r>
      <w:r w:rsidR="00945D50">
        <w:t>установлен</w:t>
      </w:r>
      <w:r w:rsidRPr="006B2553">
        <w:t xml:space="preserve"> фиксированный размер возмещения расходов на оплату жилых помещений, отопления и освещения в сумме 1200 рублей педагогическим работникам, проживающим и работающим в сельской местности без учета совместно проживающих с ними членов семьи.</w:t>
      </w:r>
    </w:p>
    <w:p w:rsidR="00350A3C" w:rsidRPr="00350A3C" w:rsidRDefault="00350A3C" w:rsidP="00350A3C">
      <w:pPr>
        <w:spacing w:line="360" w:lineRule="auto"/>
        <w:ind w:firstLine="567"/>
        <w:contextualSpacing/>
        <w:jc w:val="both"/>
      </w:pPr>
      <w:r w:rsidRPr="00350A3C">
        <w:t>Какой бы не была напряженной финансово-экономическая ситуация, зарплата работников бюджетной сферы: педагогов школ, детских садов, учреждений дополнительного образования и культуры, социальных и медицинских работников будет повышаться в соответстви</w:t>
      </w:r>
      <w:r>
        <w:t>и с майскими Указами Президента (11 указов, подписанных В.В. Путиным 7 мая 2012 года)</w:t>
      </w:r>
      <w:r w:rsidR="00097E88">
        <w:t>.</w:t>
      </w:r>
    </w:p>
    <w:p w:rsidR="00350A3C" w:rsidRPr="00350A3C" w:rsidRDefault="00350A3C" w:rsidP="00350A3C">
      <w:pPr>
        <w:spacing w:line="360" w:lineRule="auto"/>
        <w:ind w:firstLine="567"/>
        <w:contextualSpacing/>
        <w:jc w:val="both"/>
      </w:pPr>
      <w:r w:rsidRPr="00350A3C">
        <w:t xml:space="preserve">Кроме того, намечено увеличение доходной части бюджета Территориального Фонда обязательного медицинского страхования Смоленской области в 2017 году на 806 миллионов рублей, что почти на 10% </w:t>
      </w:r>
      <w:r>
        <w:t>превышает уровень предыдущего</w:t>
      </w:r>
      <w:r w:rsidRPr="00350A3C">
        <w:t xml:space="preserve"> года. Данное увеличение бюджета позволит не только обеспечить рост заработной платы медицинских работников всех категорий, но и расширить спектр оказываемых медицинских услуг, увеличить финансирование высокотехнологичной медицинской помощи.</w:t>
      </w:r>
    </w:p>
    <w:p w:rsidR="00350A3C" w:rsidRDefault="00097E88" w:rsidP="006B2553">
      <w:pPr>
        <w:spacing w:line="360" w:lineRule="auto"/>
        <w:ind w:firstLine="567"/>
        <w:contextualSpacing/>
        <w:jc w:val="both"/>
      </w:pPr>
      <w:r>
        <w:t>Помимо социальной</w:t>
      </w:r>
      <w:r w:rsidRPr="00097E88">
        <w:t xml:space="preserve"> поддержки граждан и развития здравоохранения наблюдается уве</w:t>
      </w:r>
      <w:r>
        <w:t>личение финансирования в системах</w:t>
      </w:r>
      <w:r w:rsidRPr="00097E88">
        <w:t xml:space="preserve"> </w:t>
      </w:r>
      <w:r>
        <w:t xml:space="preserve">развития </w:t>
      </w:r>
      <w:r w:rsidRPr="00097E88">
        <w:t>образования</w:t>
      </w:r>
      <w:r>
        <w:t xml:space="preserve">, культуры и </w:t>
      </w:r>
      <w:r w:rsidRPr="00097E88">
        <w:t>спорта</w:t>
      </w:r>
      <w:r>
        <w:t>.</w:t>
      </w:r>
    </w:p>
    <w:p w:rsidR="00097E88" w:rsidRDefault="00097E88" w:rsidP="006B2553">
      <w:pPr>
        <w:spacing w:line="360" w:lineRule="auto"/>
        <w:ind w:firstLine="567"/>
        <w:contextualSpacing/>
        <w:jc w:val="both"/>
      </w:pPr>
      <w:r>
        <w:t xml:space="preserve">Так, в настоящее время </w:t>
      </w:r>
      <w:r w:rsidRPr="00097E88">
        <w:t>есть планы по строительству интерната для одаренных детей, по строительству Дома</w:t>
      </w:r>
      <w:r>
        <w:t xml:space="preserve"> культуры в п. Озерный. Продолжается развитие спорта:</w:t>
      </w:r>
      <w:r w:rsidRPr="00097E88">
        <w:t xml:space="preserve"> </w:t>
      </w:r>
      <w:r>
        <w:t>уже в</w:t>
      </w:r>
      <w:r w:rsidRPr="00097E88">
        <w:t xml:space="preserve">ведены в строй два современных физкультурно-оздоровительных комплекса в </w:t>
      </w:r>
      <w:proofErr w:type="spellStart"/>
      <w:r w:rsidRPr="00097E88">
        <w:t>Кардымовском</w:t>
      </w:r>
      <w:proofErr w:type="spellEnd"/>
      <w:r w:rsidRPr="00097E88">
        <w:t xml:space="preserve"> и </w:t>
      </w:r>
      <w:proofErr w:type="spellStart"/>
      <w:r w:rsidRPr="00097E88">
        <w:t>Темкинском</w:t>
      </w:r>
      <w:proofErr w:type="spellEnd"/>
      <w:r w:rsidRPr="00097E88">
        <w:t xml:space="preserve"> районах, </w:t>
      </w:r>
      <w:r>
        <w:t>будут построены спортивный</w:t>
      </w:r>
      <w:r w:rsidRPr="00097E88">
        <w:t xml:space="preserve"> цент</w:t>
      </w:r>
      <w:r>
        <w:t>р</w:t>
      </w:r>
      <w:r w:rsidRPr="00097E88">
        <w:t xml:space="preserve"> с универсальным</w:t>
      </w:r>
      <w:r>
        <w:t xml:space="preserve"> игровым залом в Рославле и ФОК в Новодугине, </w:t>
      </w:r>
      <w:r w:rsidRPr="00097E88">
        <w:t>футбольное поле в г. Ярцево. Планируется выделение финансовых средств на приведение в порядок тех недостроенных спортивных сооружений, которые существуют на сегодняшний день</w:t>
      </w:r>
      <w:r w:rsidR="002D41DF">
        <w:t>.</w:t>
      </w:r>
    </w:p>
    <w:p w:rsidR="00945D50" w:rsidRPr="006B2553" w:rsidRDefault="00945D50" w:rsidP="006B2553">
      <w:pPr>
        <w:spacing w:line="360" w:lineRule="auto"/>
        <w:ind w:firstLine="567"/>
        <w:contextualSpacing/>
        <w:jc w:val="both"/>
      </w:pPr>
    </w:p>
    <w:p w:rsidR="00FC5B43" w:rsidRDefault="00FC5B43" w:rsidP="008524C4">
      <w:pPr>
        <w:spacing w:line="360" w:lineRule="auto"/>
        <w:ind w:firstLine="567"/>
        <w:contextualSpacing/>
        <w:jc w:val="both"/>
      </w:pPr>
    </w:p>
    <w:p w:rsidR="000D2F02" w:rsidRPr="008524C4" w:rsidRDefault="000D2F02" w:rsidP="008524C4">
      <w:pPr>
        <w:spacing w:line="360" w:lineRule="auto"/>
        <w:ind w:firstLine="567"/>
        <w:contextualSpacing/>
        <w:jc w:val="both"/>
      </w:pPr>
    </w:p>
    <w:p w:rsidR="000D02B1" w:rsidRPr="00F41FF0" w:rsidRDefault="000D02B1" w:rsidP="008524C4">
      <w:pPr>
        <w:spacing w:line="360" w:lineRule="auto"/>
        <w:ind w:left="360"/>
        <w:contextualSpacing/>
        <w:jc w:val="both"/>
      </w:pPr>
    </w:p>
    <w:sectPr w:rsidR="000D02B1" w:rsidRPr="00F41F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0E44"/>
    <w:multiLevelType w:val="hybridMultilevel"/>
    <w:tmpl w:val="CD48B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245CB8"/>
    <w:multiLevelType w:val="hybridMultilevel"/>
    <w:tmpl w:val="9866F1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FF0"/>
    <w:rsid w:val="00045E1B"/>
    <w:rsid w:val="000523FB"/>
    <w:rsid w:val="00097E88"/>
    <w:rsid w:val="000B1BCC"/>
    <w:rsid w:val="000D02B1"/>
    <w:rsid w:val="000D2F02"/>
    <w:rsid w:val="00107079"/>
    <w:rsid w:val="00132BA4"/>
    <w:rsid w:val="001749E2"/>
    <w:rsid w:val="001B6F13"/>
    <w:rsid w:val="001C5177"/>
    <w:rsid w:val="001C788D"/>
    <w:rsid w:val="002B24C4"/>
    <w:rsid w:val="002D41DF"/>
    <w:rsid w:val="00350A3C"/>
    <w:rsid w:val="003607FC"/>
    <w:rsid w:val="00436757"/>
    <w:rsid w:val="004373BA"/>
    <w:rsid w:val="00483627"/>
    <w:rsid w:val="004B289F"/>
    <w:rsid w:val="00525D8E"/>
    <w:rsid w:val="00591CF5"/>
    <w:rsid w:val="00603AF8"/>
    <w:rsid w:val="0065008C"/>
    <w:rsid w:val="00680998"/>
    <w:rsid w:val="00691264"/>
    <w:rsid w:val="006B2553"/>
    <w:rsid w:val="007E61D1"/>
    <w:rsid w:val="008524C4"/>
    <w:rsid w:val="00856BE7"/>
    <w:rsid w:val="00876749"/>
    <w:rsid w:val="008E0F69"/>
    <w:rsid w:val="00945D50"/>
    <w:rsid w:val="00A20626"/>
    <w:rsid w:val="00A31AE9"/>
    <w:rsid w:val="00AB24AB"/>
    <w:rsid w:val="00B53CF9"/>
    <w:rsid w:val="00B9328F"/>
    <w:rsid w:val="00BE623C"/>
    <w:rsid w:val="00BE69C5"/>
    <w:rsid w:val="00C43FC7"/>
    <w:rsid w:val="00C547B2"/>
    <w:rsid w:val="00C764A5"/>
    <w:rsid w:val="00D06F6F"/>
    <w:rsid w:val="00D27DF9"/>
    <w:rsid w:val="00D72DBD"/>
    <w:rsid w:val="00D832A2"/>
    <w:rsid w:val="00DB4621"/>
    <w:rsid w:val="00DC7D5D"/>
    <w:rsid w:val="00E16AF1"/>
    <w:rsid w:val="00E94EC0"/>
    <w:rsid w:val="00F41FF0"/>
    <w:rsid w:val="00FC117B"/>
    <w:rsid w:val="00FC5713"/>
    <w:rsid w:val="00FC5B43"/>
    <w:rsid w:val="00FC64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02B1"/>
    <w:pPr>
      <w:ind w:left="720"/>
      <w:contextualSpacing/>
    </w:pPr>
  </w:style>
  <w:style w:type="character" w:styleId="a4">
    <w:name w:val="Hyperlink"/>
    <w:basedOn w:val="a0"/>
    <w:uiPriority w:val="99"/>
    <w:unhideWhenUsed/>
    <w:rsid w:val="006B2553"/>
    <w:rPr>
      <w:color w:val="0563C1" w:themeColor="hyperlink"/>
      <w:u w:val="single"/>
    </w:rPr>
  </w:style>
  <w:style w:type="paragraph" w:styleId="a5">
    <w:name w:val="Balloon Text"/>
    <w:basedOn w:val="a"/>
    <w:link w:val="a6"/>
    <w:uiPriority w:val="99"/>
    <w:semiHidden/>
    <w:unhideWhenUsed/>
    <w:rsid w:val="00E94EC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94E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02B1"/>
    <w:pPr>
      <w:ind w:left="720"/>
      <w:contextualSpacing/>
    </w:pPr>
  </w:style>
  <w:style w:type="character" w:styleId="a4">
    <w:name w:val="Hyperlink"/>
    <w:basedOn w:val="a0"/>
    <w:uiPriority w:val="99"/>
    <w:unhideWhenUsed/>
    <w:rsid w:val="006B2553"/>
    <w:rPr>
      <w:color w:val="0563C1" w:themeColor="hyperlink"/>
      <w:u w:val="single"/>
    </w:rPr>
  </w:style>
  <w:style w:type="paragraph" w:styleId="a5">
    <w:name w:val="Balloon Text"/>
    <w:basedOn w:val="a"/>
    <w:link w:val="a6"/>
    <w:uiPriority w:val="99"/>
    <w:semiHidden/>
    <w:unhideWhenUsed/>
    <w:rsid w:val="00E94EC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94E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Расходы областного бюджета в 2017 г.</a:t>
            </a:r>
          </a:p>
        </c:rich>
      </c:tx>
      <c:overlay val="0"/>
    </c:title>
    <c:autoTitleDeleted val="0"/>
    <c:plotArea>
      <c:layout/>
      <c:pieChart>
        <c:varyColors val="1"/>
        <c:ser>
          <c:idx val="0"/>
          <c:order val="0"/>
          <c:tx>
            <c:strRef>
              <c:f>Лист1!$B$1</c:f>
              <c:strCache>
                <c:ptCount val="1"/>
                <c:pt idx="0">
                  <c:v>Расходы областного бюджета 2017 г.</c:v>
                </c:pt>
              </c:strCache>
            </c:strRef>
          </c:tx>
          <c:dLbls>
            <c:dLbl>
              <c:idx val="0"/>
              <c:tx>
                <c:rich>
                  <a:bodyPr/>
                  <a:lstStyle/>
                  <a:p>
                    <a:r>
                      <a:rPr lang="en-US" sz="1600">
                        <a:solidFill>
                          <a:schemeClr val="dk1"/>
                        </a:solidFill>
                        <a:latin typeface="+mn-lt"/>
                        <a:ea typeface="+mn-ea"/>
                        <a:cs typeface="+mn-cs"/>
                      </a:rPr>
                      <a:t>30</a:t>
                    </a:r>
                    <a:r>
                      <a:rPr lang="ru-RU" sz="1600">
                        <a:solidFill>
                          <a:schemeClr val="dk1"/>
                        </a:solidFill>
                        <a:latin typeface="+mn-lt"/>
                        <a:ea typeface="+mn-ea"/>
                        <a:cs typeface="+mn-cs"/>
                      </a:rPr>
                      <a:t>,6</a:t>
                    </a:r>
                    <a:r>
                      <a:rPr lang="en-US" sz="1600">
                        <a:solidFill>
                          <a:schemeClr val="dk1"/>
                        </a:solidFill>
                        <a:latin typeface="+mn-lt"/>
                        <a:ea typeface="+mn-ea"/>
                        <a:cs typeface="+mn-cs"/>
                      </a:rPr>
                      <a:t>%</a:t>
                    </a:r>
                    <a:endParaRPr lang="en-US" sz="1600">
                      <a:latin typeface="Times New Roman" panose="02020603050405020304" pitchFamily="18" charset="0"/>
                      <a:cs typeface="Times New Roman" panose="02020603050405020304" pitchFamily="18" charset="0"/>
                    </a:endParaRPr>
                  </a:p>
                </c:rich>
              </c:tx>
              <c:dLblPos val="bestFit"/>
              <c:showLegendKey val="0"/>
              <c:showVal val="1"/>
              <c:showCatName val="0"/>
              <c:showSerName val="0"/>
              <c:showPercent val="0"/>
              <c:showBubbleSize val="0"/>
            </c:dLbl>
            <c:dLbl>
              <c:idx val="1"/>
              <c:tx>
                <c:rich>
                  <a:bodyPr/>
                  <a:lstStyle/>
                  <a:p>
                    <a:r>
                      <a:rPr lang="en-US" sz="1600">
                        <a:latin typeface="Times New Roman" panose="02020603050405020304" pitchFamily="18" charset="0"/>
                        <a:cs typeface="Times New Roman" panose="02020603050405020304" pitchFamily="18" charset="0"/>
                      </a:rPr>
                      <a:t>20,8</a:t>
                    </a:r>
                    <a:r>
                      <a:rPr lang="ru-RU" sz="1600">
                        <a:latin typeface="Times New Roman" panose="02020603050405020304" pitchFamily="18" charset="0"/>
                        <a:cs typeface="Times New Roman" panose="02020603050405020304" pitchFamily="18" charset="0"/>
                      </a:rPr>
                      <a:t>%</a:t>
                    </a:r>
                    <a:endParaRPr lang="en-US" sz="1600">
                      <a:latin typeface="Times New Roman" panose="02020603050405020304" pitchFamily="18" charset="0"/>
                      <a:cs typeface="Times New Roman" panose="02020603050405020304" pitchFamily="18" charset="0"/>
                    </a:endParaRPr>
                  </a:p>
                </c:rich>
              </c:tx>
              <c:dLblPos val="bestFit"/>
              <c:showLegendKey val="0"/>
              <c:showVal val="1"/>
              <c:showCatName val="0"/>
              <c:showSerName val="0"/>
              <c:showPercent val="0"/>
              <c:showBubbleSize val="0"/>
            </c:dLbl>
            <c:dLbl>
              <c:idx val="2"/>
              <c:tx>
                <c:rich>
                  <a:bodyPr/>
                  <a:lstStyle/>
                  <a:p>
                    <a:r>
                      <a:rPr lang="en-US" sz="1600">
                        <a:latin typeface="Times New Roman" panose="02020603050405020304" pitchFamily="18" charset="0"/>
                        <a:cs typeface="Times New Roman" panose="02020603050405020304" pitchFamily="18" charset="0"/>
                      </a:rPr>
                      <a:t>5,9</a:t>
                    </a:r>
                    <a:r>
                      <a:rPr lang="ru-RU" sz="1600">
                        <a:latin typeface="Times New Roman" panose="02020603050405020304" pitchFamily="18" charset="0"/>
                        <a:cs typeface="Times New Roman" panose="02020603050405020304" pitchFamily="18" charset="0"/>
                      </a:rPr>
                      <a:t>%</a:t>
                    </a:r>
                    <a:endParaRPr lang="en-US" sz="1600">
                      <a:latin typeface="Times New Roman" panose="02020603050405020304" pitchFamily="18" charset="0"/>
                      <a:cs typeface="Times New Roman" panose="02020603050405020304" pitchFamily="18" charset="0"/>
                    </a:endParaRPr>
                  </a:p>
                </c:rich>
              </c:tx>
              <c:dLblPos val="bestFit"/>
              <c:showLegendKey val="0"/>
              <c:showVal val="1"/>
              <c:showCatName val="0"/>
              <c:showSerName val="0"/>
              <c:showPercent val="0"/>
              <c:showBubbleSize val="0"/>
            </c:dLbl>
            <c:dLbl>
              <c:idx val="3"/>
              <c:tx>
                <c:rich>
                  <a:bodyPr/>
                  <a:lstStyle/>
                  <a:p>
                    <a:r>
                      <a:rPr lang="en-US" sz="1600">
                        <a:latin typeface="Times New Roman" panose="02020603050405020304" pitchFamily="18" charset="0"/>
                        <a:cs typeface="Times New Roman" panose="02020603050405020304" pitchFamily="18" charset="0"/>
                      </a:rPr>
                      <a:t>42,7</a:t>
                    </a:r>
                    <a:r>
                      <a:rPr lang="ru-RU" sz="1600">
                        <a:latin typeface="Times New Roman" panose="02020603050405020304" pitchFamily="18" charset="0"/>
                        <a:cs typeface="Times New Roman" panose="02020603050405020304" pitchFamily="18" charset="0"/>
                      </a:rPr>
                      <a:t>%</a:t>
                    </a:r>
                    <a:endParaRPr lang="en-US" sz="1600">
                      <a:latin typeface="Times New Roman" panose="02020603050405020304" pitchFamily="18" charset="0"/>
                      <a:cs typeface="Times New Roman" panose="02020603050405020304" pitchFamily="18" charset="0"/>
                    </a:endParaRPr>
                  </a:p>
                </c:rich>
              </c:tx>
              <c:dLblPos val="bestFit"/>
              <c:showLegendKey val="0"/>
              <c:showVal val="1"/>
              <c:showCatName val="0"/>
              <c:showSerName val="0"/>
              <c:showPercent val="0"/>
              <c:showBubbleSize val="0"/>
            </c:dLbl>
            <c:spPr>
              <a:solidFill>
                <a:schemeClr val="lt1"/>
              </a:solidFill>
              <a:ln w="12700" cap="flat" cmpd="sng" algn="ctr">
                <a:solidFill>
                  <a:schemeClr val="dk1"/>
                </a:solidFill>
                <a:prstDash val="solid"/>
                <a:miter lim="800000"/>
              </a:ln>
              <a:effectLst/>
            </c:spPr>
            <c:txPr>
              <a:bodyPr/>
              <a:lstStyle/>
              <a:p>
                <a:pPr>
                  <a:defRPr>
                    <a:solidFill>
                      <a:schemeClr val="dk1"/>
                    </a:solidFill>
                    <a:latin typeface="+mn-lt"/>
                    <a:ea typeface="+mn-ea"/>
                    <a:cs typeface="+mn-cs"/>
                  </a:defRPr>
                </a:pPr>
                <a:endParaRPr lang="ru-RU"/>
              </a:p>
            </c:txPr>
            <c:dLblPos val="bestFit"/>
            <c:showLegendKey val="0"/>
            <c:showVal val="1"/>
            <c:showCatName val="0"/>
            <c:showSerName val="0"/>
            <c:showPercent val="0"/>
            <c:showBubbleSize val="0"/>
            <c:showLeaderLines val="1"/>
          </c:dLbls>
          <c:cat>
            <c:strRef>
              <c:f>Лист1!$A$2:$A$5</c:f>
              <c:strCache>
                <c:ptCount val="4"/>
                <c:pt idx="0">
                  <c:v>Социальная политика</c:v>
                </c:pt>
                <c:pt idx="1">
                  <c:v>Образование</c:v>
                </c:pt>
                <c:pt idx="2">
                  <c:v>Здравоохранение</c:v>
                </c:pt>
                <c:pt idx="3">
                  <c:v>Прочее</c:v>
                </c:pt>
              </c:strCache>
            </c:strRef>
          </c:cat>
          <c:val>
            <c:numRef>
              <c:f>Лист1!$B$2:$B$5</c:f>
              <c:numCache>
                <c:formatCode>General</c:formatCode>
                <c:ptCount val="4"/>
                <c:pt idx="0">
                  <c:v>30.6</c:v>
                </c:pt>
                <c:pt idx="1">
                  <c:v>20.8</c:v>
                </c:pt>
                <c:pt idx="2">
                  <c:v>5.9</c:v>
                </c:pt>
                <c:pt idx="3">
                  <c:v>42.7</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70623551119141947"/>
          <c:y val="0.30931396445565434"/>
          <c:w val="0.26684789190842556"/>
          <c:h val="0.38807160797363316"/>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Финансирование</a:t>
            </a:r>
            <a:r>
              <a:rPr lang="ru-RU" baseline="0"/>
              <a:t> областных государственных программ в 2017 г.</a:t>
            </a:r>
            <a:endParaRPr lang="ru-RU"/>
          </a:p>
        </c:rich>
      </c:tx>
      <c:layout>
        <c:manualLayout>
          <c:xMode val="edge"/>
          <c:yMode val="edge"/>
          <c:x val="1.6014740379386196E-2"/>
          <c:y val="3.0948549039292107E-2"/>
        </c:manualLayout>
      </c:layout>
      <c:overlay val="0"/>
    </c:title>
    <c:autoTitleDeleted val="0"/>
    <c:plotArea>
      <c:layout>
        <c:manualLayout>
          <c:layoutTarget val="inner"/>
          <c:xMode val="edge"/>
          <c:yMode val="edge"/>
          <c:x val="0.10738469646529307"/>
          <c:y val="0.2405339060407265"/>
          <c:w val="0.52200245040306248"/>
          <c:h val="0.65694190478993408"/>
        </c:manualLayout>
      </c:layout>
      <c:pieChart>
        <c:varyColors val="1"/>
        <c:ser>
          <c:idx val="0"/>
          <c:order val="0"/>
          <c:tx>
            <c:strRef>
              <c:f>Лист1!$B$1</c:f>
              <c:strCache>
                <c:ptCount val="1"/>
                <c:pt idx="0">
                  <c:v>  </c:v>
                </c:pt>
              </c:strCache>
            </c:strRef>
          </c:tx>
          <c:explosion val="1"/>
          <c:dLbls>
            <c:dLbl>
              <c:idx val="0"/>
              <c:tx>
                <c:rich>
                  <a:bodyPr/>
                  <a:lstStyle/>
                  <a:p>
                    <a:r>
                      <a:rPr lang="en-US" sz="1600">
                        <a:latin typeface="Times New Roman" panose="02020603050405020304" pitchFamily="18" charset="0"/>
                        <a:cs typeface="Times New Roman" panose="02020603050405020304" pitchFamily="18" charset="0"/>
                      </a:rPr>
                      <a:t>25%</a:t>
                    </a:r>
                    <a:endParaRPr lang="ru-RU" sz="1600" baseline="0">
                      <a:latin typeface="Times New Roman" panose="02020603050405020304" pitchFamily="18" charset="0"/>
                      <a:cs typeface="Times New Roman" panose="02020603050405020304" pitchFamily="18" charset="0"/>
                    </a:endParaRPr>
                  </a:p>
                  <a:p>
                    <a:r>
                      <a:rPr lang="ru-RU" sz="1300">
                        <a:latin typeface="Times New Roman" panose="02020603050405020304" pitchFamily="18" charset="0"/>
                        <a:cs typeface="Times New Roman" panose="02020603050405020304" pitchFamily="18" charset="0"/>
                      </a:rPr>
                      <a:t>8,4 млрд. руб</a:t>
                    </a:r>
                    <a:r>
                      <a:rPr lang="ru-RU" sz="1600">
                        <a:latin typeface="Times New Roman" panose="02020603050405020304" pitchFamily="18" charset="0"/>
                        <a:cs typeface="Times New Roman" panose="02020603050405020304" pitchFamily="18" charset="0"/>
                      </a:rPr>
                      <a:t>.</a:t>
                    </a:r>
                    <a:endParaRPr lang="en-US" sz="1600">
                      <a:latin typeface="Times New Roman" panose="02020603050405020304" pitchFamily="18" charset="0"/>
                      <a:cs typeface="Times New Roman" panose="02020603050405020304" pitchFamily="18" charset="0"/>
                    </a:endParaRPr>
                  </a:p>
                </c:rich>
              </c:tx>
              <c:showLegendKey val="0"/>
              <c:showVal val="0"/>
              <c:showCatName val="0"/>
              <c:showSerName val="0"/>
              <c:showPercent val="1"/>
              <c:showBubbleSize val="0"/>
            </c:dLbl>
            <c:dLbl>
              <c:idx val="1"/>
              <c:layout>
                <c:manualLayout>
                  <c:x val="-0.16500169220741134"/>
                  <c:y val="-0.15884441349486997"/>
                </c:manualLayout>
              </c:layout>
              <c:tx>
                <c:rich>
                  <a:bodyPr/>
                  <a:lstStyle/>
                  <a:p>
                    <a:r>
                      <a:rPr lang="en-US" sz="1600">
                        <a:latin typeface="Times New Roman" panose="02020603050405020304" pitchFamily="18" charset="0"/>
                        <a:cs typeface="Times New Roman" panose="02020603050405020304" pitchFamily="18" charset="0"/>
                      </a:rPr>
                      <a:t>19%</a:t>
                    </a:r>
                    <a:endParaRPr lang="ru-RU" sz="1600">
                      <a:latin typeface="Times New Roman" panose="02020603050405020304" pitchFamily="18" charset="0"/>
                      <a:cs typeface="Times New Roman" panose="02020603050405020304" pitchFamily="18" charset="0"/>
                    </a:endParaRPr>
                  </a:p>
                  <a:p>
                    <a:r>
                      <a:rPr lang="ru-RU" sz="1200">
                        <a:latin typeface="Times New Roman" panose="02020603050405020304" pitchFamily="18" charset="0"/>
                        <a:cs typeface="Times New Roman" panose="02020603050405020304" pitchFamily="18" charset="0"/>
                      </a:rPr>
                      <a:t>6,3 млрд. руб.</a:t>
                    </a:r>
                    <a:r>
                      <a:rPr lang="ru-RU" sz="1400">
                        <a:latin typeface="Times New Roman" panose="02020603050405020304" pitchFamily="18" charset="0"/>
                        <a:cs typeface="Times New Roman" panose="02020603050405020304" pitchFamily="18" charset="0"/>
                      </a:rPr>
                      <a:t> </a:t>
                    </a:r>
                    <a:endParaRPr lang="en-US" sz="1400">
                      <a:latin typeface="Times New Roman" panose="02020603050405020304" pitchFamily="18" charset="0"/>
                      <a:cs typeface="Times New Roman" panose="02020603050405020304" pitchFamily="18" charset="0"/>
                    </a:endParaRPr>
                  </a:p>
                </c:rich>
              </c:tx>
              <c:showLegendKey val="0"/>
              <c:showVal val="0"/>
              <c:showCatName val="0"/>
              <c:showSerName val="0"/>
              <c:showPercent val="1"/>
              <c:showBubbleSize val="0"/>
            </c:dLbl>
            <c:dLbl>
              <c:idx val="2"/>
              <c:tx>
                <c:rich>
                  <a:bodyPr/>
                  <a:lstStyle/>
                  <a:p>
                    <a:r>
                      <a:rPr lang="en-US" sz="1600">
                        <a:latin typeface="Times New Roman" panose="02020603050405020304" pitchFamily="18" charset="0"/>
                        <a:cs typeface="Times New Roman" panose="02020603050405020304" pitchFamily="18" charset="0"/>
                      </a:rPr>
                      <a:t>18%</a:t>
                    </a:r>
                    <a:endParaRPr lang="ru-RU" sz="1600">
                      <a:latin typeface="Times New Roman" panose="02020603050405020304" pitchFamily="18" charset="0"/>
                      <a:cs typeface="Times New Roman" panose="02020603050405020304" pitchFamily="18" charset="0"/>
                    </a:endParaRPr>
                  </a:p>
                  <a:p>
                    <a:r>
                      <a:rPr lang="ru-RU" sz="1200">
                        <a:latin typeface="Times New Roman" panose="02020603050405020304" pitchFamily="18" charset="0"/>
                        <a:cs typeface="Times New Roman" panose="02020603050405020304" pitchFamily="18" charset="0"/>
                      </a:rPr>
                      <a:t>5,9 млрд. руб.</a:t>
                    </a:r>
                    <a:endParaRPr lang="en-US" sz="1200">
                      <a:latin typeface="Times New Roman" panose="02020603050405020304" pitchFamily="18" charset="0"/>
                      <a:cs typeface="Times New Roman" panose="02020603050405020304" pitchFamily="18" charset="0"/>
                    </a:endParaRPr>
                  </a:p>
                </c:rich>
              </c:tx>
              <c:showLegendKey val="0"/>
              <c:showVal val="0"/>
              <c:showCatName val="0"/>
              <c:showSerName val="0"/>
              <c:showPercent val="1"/>
              <c:showBubbleSize val="0"/>
            </c:dLbl>
            <c:dLbl>
              <c:idx val="3"/>
              <c:tx>
                <c:rich>
                  <a:bodyPr/>
                  <a:lstStyle/>
                  <a:p>
                    <a:r>
                      <a:rPr lang="ru-RU" sz="1600">
                        <a:latin typeface="Times New Roman" panose="02020603050405020304" pitchFamily="18" charset="0"/>
                        <a:cs typeface="Times New Roman" panose="02020603050405020304" pitchFamily="18" charset="0"/>
                      </a:rPr>
                      <a:t>2</a:t>
                    </a:r>
                    <a:r>
                      <a:rPr lang="en-US" sz="1600">
                        <a:latin typeface="Times New Roman" panose="02020603050405020304" pitchFamily="18" charset="0"/>
                        <a:cs typeface="Times New Roman" panose="02020603050405020304" pitchFamily="18" charset="0"/>
                      </a:rPr>
                      <a:t>%</a:t>
                    </a:r>
                    <a:endParaRPr lang="ru-RU" sz="1600">
                      <a:latin typeface="Times New Roman" panose="02020603050405020304" pitchFamily="18" charset="0"/>
                      <a:cs typeface="Times New Roman" panose="02020603050405020304" pitchFamily="18" charset="0"/>
                    </a:endParaRPr>
                  </a:p>
                  <a:p>
                    <a:r>
                      <a:rPr lang="ru-RU" sz="1200">
                        <a:latin typeface="Times New Roman" panose="02020603050405020304" pitchFamily="18" charset="0"/>
                        <a:cs typeface="Times New Roman" panose="02020603050405020304" pitchFamily="18" charset="0"/>
                      </a:rPr>
                      <a:t>507,2 тыс. руб.</a:t>
                    </a:r>
                    <a:endParaRPr lang="en-US" sz="1200">
                      <a:latin typeface="Times New Roman" panose="02020603050405020304" pitchFamily="18" charset="0"/>
                      <a:cs typeface="Times New Roman" panose="02020603050405020304" pitchFamily="18" charset="0"/>
                    </a:endParaRPr>
                  </a:p>
                </c:rich>
              </c:tx>
              <c:showLegendKey val="0"/>
              <c:showVal val="0"/>
              <c:showCatName val="0"/>
              <c:showSerName val="0"/>
              <c:showPercent val="1"/>
              <c:showBubbleSize val="0"/>
            </c:dLbl>
            <c:dLbl>
              <c:idx val="4"/>
              <c:tx>
                <c:rich>
                  <a:bodyPr/>
                  <a:lstStyle/>
                  <a:p>
                    <a:r>
                      <a:rPr lang="ru-RU" sz="1600">
                        <a:latin typeface="Times New Roman" panose="02020603050405020304" pitchFamily="18" charset="0"/>
                        <a:cs typeface="Times New Roman" panose="02020603050405020304" pitchFamily="18" charset="0"/>
                      </a:rPr>
                      <a:t>1</a:t>
                    </a:r>
                    <a:r>
                      <a:rPr lang="en-US" sz="1600">
                        <a:latin typeface="Times New Roman" panose="02020603050405020304" pitchFamily="18" charset="0"/>
                        <a:cs typeface="Times New Roman" panose="02020603050405020304" pitchFamily="18" charset="0"/>
                      </a:rPr>
                      <a:t>%</a:t>
                    </a:r>
                    <a:endParaRPr lang="ru-RU" sz="1600">
                      <a:latin typeface="Times New Roman" panose="02020603050405020304" pitchFamily="18" charset="0"/>
                      <a:cs typeface="Times New Roman" panose="02020603050405020304" pitchFamily="18" charset="0"/>
                    </a:endParaRPr>
                  </a:p>
                  <a:p>
                    <a:r>
                      <a:rPr lang="ru-RU" sz="1200">
                        <a:latin typeface="Times New Roman" panose="02020603050405020304" pitchFamily="18" charset="0"/>
                        <a:cs typeface="Times New Roman" panose="02020603050405020304" pitchFamily="18" charset="0"/>
                      </a:rPr>
                      <a:t>377 тыс. руб.</a:t>
                    </a:r>
                    <a:endParaRPr lang="en-US" sz="1200">
                      <a:latin typeface="Times New Roman" panose="02020603050405020304" pitchFamily="18" charset="0"/>
                      <a:cs typeface="Times New Roman" panose="02020603050405020304" pitchFamily="18" charset="0"/>
                    </a:endParaRPr>
                  </a:p>
                </c:rich>
              </c:tx>
              <c:showLegendKey val="0"/>
              <c:showVal val="0"/>
              <c:showCatName val="0"/>
              <c:showSerName val="0"/>
              <c:showPercent val="1"/>
              <c:showBubbleSize val="0"/>
            </c:dLbl>
            <c:dLbl>
              <c:idx val="5"/>
              <c:tx>
                <c:rich>
                  <a:bodyPr/>
                  <a:lstStyle/>
                  <a:p>
                    <a:r>
                      <a:rPr lang="en-US" sz="1600" b="0">
                        <a:latin typeface="Times New Roman" panose="02020603050405020304" pitchFamily="18" charset="0"/>
                        <a:cs typeface="Times New Roman" panose="02020603050405020304" pitchFamily="18" charset="0"/>
                      </a:rPr>
                      <a:t>35%</a:t>
                    </a:r>
                  </a:p>
                </c:rich>
              </c:tx>
              <c:showLegendKey val="0"/>
              <c:showVal val="0"/>
              <c:showCatName val="0"/>
              <c:showSerName val="0"/>
              <c:showPercent val="1"/>
              <c:showBubbleSize val="0"/>
            </c:dLbl>
            <c:spPr>
              <a:solidFill>
                <a:schemeClr val="lt1"/>
              </a:solidFill>
              <a:ln w="12700" cap="flat" cmpd="sng" algn="ctr">
                <a:solidFill>
                  <a:schemeClr val="dk1"/>
                </a:solidFill>
                <a:prstDash val="solid"/>
                <a:miter lim="800000"/>
              </a:ln>
              <a:effectLst>
                <a:outerShdw blurRad="50800" dist="38100" dir="2700000" algn="tl" rotWithShape="0">
                  <a:prstClr val="black">
                    <a:alpha val="40000"/>
                  </a:prstClr>
                </a:outerShdw>
              </a:effectLst>
            </c:spPr>
            <c:txPr>
              <a:bodyPr/>
              <a:lstStyle/>
              <a:p>
                <a:pPr>
                  <a:defRPr>
                    <a:solidFill>
                      <a:schemeClr val="dk1"/>
                    </a:solidFill>
                    <a:latin typeface="+mn-lt"/>
                    <a:ea typeface="+mn-ea"/>
                    <a:cs typeface="+mn-cs"/>
                  </a:defRPr>
                </a:pPr>
                <a:endParaRPr lang="ru-RU"/>
              </a:p>
            </c:txPr>
            <c:showLegendKey val="0"/>
            <c:showVal val="0"/>
            <c:showCatName val="0"/>
            <c:showSerName val="0"/>
            <c:showPercent val="1"/>
            <c:showBubbleSize val="0"/>
            <c:showLeaderLines val="1"/>
          </c:dLbls>
          <c:cat>
            <c:strRef>
              <c:f>Лист1!$A$2:$A$7</c:f>
              <c:strCache>
                <c:ptCount val="6"/>
                <c:pt idx="0">
                  <c:v>«Развитие образования и молодежной политики в Смоленской области»</c:v>
                </c:pt>
                <c:pt idx="1">
                  <c:v>«Социальная поддержка граждан, проживающих на территории Смоленской области»    </c:v>
                </c:pt>
                <c:pt idx="2">
                  <c:v>«Развитие здравоохранения в Смоленской области»</c:v>
                </c:pt>
                <c:pt idx="3">
                  <c:v>«Развитие культуры и туризма в Смоленской области»</c:v>
                </c:pt>
                <c:pt idx="4">
                  <c:v>«Развитие физической культуры и спорта в Смоленской области»</c:v>
                </c:pt>
                <c:pt idx="5">
                  <c:v>Прочее</c:v>
                </c:pt>
              </c:strCache>
            </c:strRef>
          </c:cat>
          <c:val>
            <c:numRef>
              <c:f>Лист1!$B$2:$B$7</c:f>
              <c:numCache>
                <c:formatCode>General</c:formatCode>
                <c:ptCount val="6"/>
                <c:pt idx="0">
                  <c:v>25</c:v>
                </c:pt>
                <c:pt idx="1">
                  <c:v>19</c:v>
                </c:pt>
                <c:pt idx="2">
                  <c:v>18</c:v>
                </c:pt>
                <c:pt idx="3">
                  <c:v>1.5</c:v>
                </c:pt>
                <c:pt idx="4">
                  <c:v>1.5</c:v>
                </c:pt>
                <c:pt idx="5">
                  <c:v>35</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6484786195010892"/>
          <c:y val="9.4686958821371597E-2"/>
          <c:w val="0.33773942919526395"/>
          <c:h val="0.90301469964115699"/>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7</Pages>
  <Words>1165</Words>
  <Characters>6641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1</cp:lastModifiedBy>
  <cp:revision>10</cp:revision>
  <dcterms:created xsi:type="dcterms:W3CDTF">2017-03-18T19:37:00Z</dcterms:created>
  <dcterms:modified xsi:type="dcterms:W3CDTF">2017-03-31T22:37:00Z</dcterms:modified>
</cp:coreProperties>
</file>