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jc w:val="center"/>
      </w:pPr>
      <w:r>
        <w:rPr/>
        <w:pict>
          <v:rect id="shape_0" style="position:absolute;margin-left:0pt;margin-top:0pt;width:467.55pt;height:2.05pt">
            <v:wrap v:type="none"/>
            <v:fill color="black" color2="white" detectmouseclick="t" type="solid"/>
            <v:stroke color="gray" joinstyle="round"/>
          </v:rect>
        </w:pict>
      </w:r>
    </w:p>
    <w:p>
      <w:pPr>
        <w:pStyle w:val="style0"/>
      </w:pPr>
      <w:r>
        <w:rPr/>
      </w:r>
    </w:p>
    <w:p>
      <w:pPr>
        <w:pStyle w:val="style0"/>
        <w:pageBreakBefore/>
        <w:spacing w:after="28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cs="Times New Roman" w:hAnsi="Times New Roman"/>
          <w:sz w:val="28"/>
          <w:szCs w:val="28"/>
        </w:rPr>
        <w:t xml:space="preserve">Содержание </w:t>
      </w:r>
    </w:p>
    <w:p>
      <w:pPr>
        <w:pStyle w:val="style0"/>
        <w:spacing w:after="28" w:before="0" w:line="360" w:lineRule="auto"/>
        <w:jc w:val="both"/>
      </w:pPr>
      <w:r>
        <w:rPr>
          <w:rFonts w:ascii="Times New Roman" w:cs="Times New Roman" w:hAnsi="Times New Roman"/>
          <w:sz w:val="28"/>
          <w:szCs w:val="28"/>
        </w:rPr>
        <w:t>Задание 1…………………………………………………………………………..….3</w:t>
      </w:r>
    </w:p>
    <w:p>
      <w:pPr>
        <w:pStyle w:val="style0"/>
        <w:spacing w:after="28" w:before="0" w:line="360" w:lineRule="auto"/>
        <w:jc w:val="both"/>
      </w:pPr>
      <w:r>
        <w:rPr>
          <w:rFonts w:ascii="Times New Roman" w:cs="Times New Roman" w:hAnsi="Times New Roman"/>
          <w:sz w:val="28"/>
          <w:szCs w:val="28"/>
        </w:rPr>
        <w:t>Задание 2……………………………………………………………………………...9</w:t>
      </w:r>
    </w:p>
    <w:p>
      <w:pPr>
        <w:pStyle w:val="style0"/>
        <w:spacing w:after="28" w:before="0" w:line="360" w:lineRule="auto"/>
        <w:jc w:val="both"/>
      </w:pPr>
      <w:r>
        <w:rPr>
          <w:rFonts w:ascii="Times New Roman" w:cs="Times New Roman" w:hAnsi="Times New Roman"/>
          <w:sz w:val="28"/>
          <w:szCs w:val="28"/>
        </w:rPr>
        <w:t>Задание 3………………………………………………………………………….....12</w:t>
      </w:r>
    </w:p>
    <w:p>
      <w:pPr>
        <w:pStyle w:val="style0"/>
        <w:spacing w:after="28" w:before="0" w:line="360" w:lineRule="auto"/>
        <w:jc w:val="both"/>
      </w:pPr>
      <w:bookmarkStart w:id="0" w:name="_GoBack"/>
      <w:bookmarkEnd w:id="0"/>
      <w:r>
        <w:rPr>
          <w:rFonts w:ascii="Times New Roman" w:cs="Times New Roman" w:hAnsi="Times New Roman"/>
          <w:sz w:val="28"/>
          <w:szCs w:val="28"/>
        </w:rPr>
        <w:t>Список литературы…………………………………………………………………18</w:t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/>
      </w:r>
    </w:p>
    <w:p>
      <w:pPr>
        <w:pStyle w:val="style0"/>
        <w:spacing w:line="360" w:lineRule="auto"/>
        <w:ind w:hanging="0" w:left="0" w:right="0"/>
        <w:jc w:val="both"/>
      </w:pPr>
      <w:r>
        <w:rPr>
          <w:rFonts w:ascii="Times New Roman" w:cs="Times New Roman" w:hAnsi="Times New Roman"/>
          <w:b/>
          <w:sz w:val="28"/>
          <w:szCs w:val="28"/>
        </w:rPr>
        <w:t>Задание 1.</w:t>
      </w:r>
      <w:r>
        <w:rPr>
          <w:rFonts w:ascii="Times New Roman" w:cs="Times New Roman" w:hAnsi="Times New Roman"/>
          <w:sz w:val="28"/>
          <w:szCs w:val="28"/>
        </w:rPr>
        <w:t xml:space="preserve"> Проведите сравнительный анализ федеральных законов о федеральном бюджете на 2013, 2014 и 2015 годы по суммам утвержденных расходов и доходов и дефицита (профицита) федерального бюджета. 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Материал  изложите в виде таблицы. Сформулируйте свои выводы, к которым Вы пришли в результате сравнения.</w:t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Основные характеристики проекта федерального бюджета на 2012 – 2016 годы млрд.рублей</w:t>
      </w:r>
    </w:p>
    <w:tbl>
      <w:tblPr>
        <w:jc w:val="left"/>
        <w:tblInd w:type="dxa" w:w="-432"/>
        <w:tblBorders/>
      </w:tblPr>
      <w:tblGrid>
        <w:gridCol w:w="1271"/>
        <w:gridCol w:w="1271"/>
        <w:gridCol w:w="1272"/>
        <w:gridCol w:w="1271"/>
        <w:gridCol w:w="1271"/>
        <w:gridCol w:w="3814"/>
      </w:tblGrid>
      <w:tr>
        <w:trPr>
          <w:trHeight w:hRule="atLeast" w:val="803"/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2012 год (отчет)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2013 год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(Закон №216 - ФЗ)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type="dxa" w:w="3814"/>
            <w:gridSpan w:val="3"/>
            <w:vMerge w:val="restart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2016 год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(проект)</w:t>
            </w:r>
          </w:p>
        </w:tc>
      </w:tr>
      <w:tr>
        <w:trPr>
          <w:trHeight w:hRule="atLeast" w:val="802"/>
          <w:cantSplit w:val="false"/>
        </w:trPr>
        <w:tc>
          <w:tcPr>
            <w:tcW w:type="dxa" w:w="1271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71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72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type="dxa" w:w="1271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Доходы, всего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12855,5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12865,9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14063,4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13485,5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15615,5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14767,5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15908,1</w:t>
            </w:r>
          </w:p>
        </w:tc>
      </w:tr>
      <w:tr>
        <w:trPr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%%ВВП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20,5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19,3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19,0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18,2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18,8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18,0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17,4</w:t>
            </w:r>
          </w:p>
        </w:tc>
      </w:tr>
      <w:tr>
        <w:trPr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Расходы, всего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12895,0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13387,3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14207,0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13847,0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15626,3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15235,7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16451,8</w:t>
            </w:r>
          </w:p>
        </w:tc>
      </w:tr>
      <w:tr>
        <w:trPr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%% ВВП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20,6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20,1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19,2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18,7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18,8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18,6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18,0</w:t>
            </w:r>
          </w:p>
        </w:tc>
      </w:tr>
      <w:tr>
        <w:trPr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Дефицит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-39,5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-521,4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-143,6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-361,5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-10,8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-468,3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-543,7</w:t>
            </w:r>
          </w:p>
        </w:tc>
      </w:tr>
      <w:tr>
        <w:trPr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%% ВВП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-0,1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-0,8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-0,2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-0,5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-0,01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-0,6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-0,6</w:t>
            </w:r>
          </w:p>
        </w:tc>
      </w:tr>
      <w:tr>
        <w:trPr>
          <w:cantSplit w:val="false"/>
        </w:trPr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Ненефтегазовый дефицит в %% ВВП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-10,4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-9,7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-8,7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-8,5</w:t>
            </w:r>
          </w:p>
        </w:tc>
        <w:tc>
          <w:tcPr>
            <w:tcW w:type="dxa" w:w="127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-8,4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-8,4</w:t>
            </w:r>
          </w:p>
        </w:tc>
        <w:tc>
          <w:tcPr>
            <w:tcW w:type="dxa" w:w="12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-7,8</w:t>
            </w:r>
          </w:p>
        </w:tc>
      </w:tr>
    </w:tbl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 xml:space="preserve">Таблица 1                 </w:t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В 2014 – 2016 годах прогнозируется снижение доходов федерального бюджета с 19,3% ВВП в 2013 году до 18,2% в 2014 году и до 17,4% ВВП к 2016 году. В основном это обусловлено снижением нефтегазовых доходов по отношению к ВВП (Таблица 2).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    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>Динамика доходов федерального бюджета  млрд. рублей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cs="Times New Roman" w:hAnsi="Times New Roman"/>
          <w:sz w:val="28"/>
          <w:szCs w:val="28"/>
        </w:rPr>
        <w:t>Таблица 2</w:t>
      </w:r>
    </w:p>
    <w:tbl>
      <w:tblPr>
        <w:jc w:val="left"/>
        <w:tblInd w:type="dxa" w:w="-721"/>
        <w:tblBorders/>
      </w:tblPr>
      <w:tblGrid>
        <w:gridCol w:w="1289"/>
        <w:gridCol w:w="1289"/>
        <w:gridCol w:w="1290"/>
        <w:gridCol w:w="1289"/>
        <w:gridCol w:w="3868"/>
      </w:tblGrid>
      <w:tr>
        <w:trPr>
          <w:trHeight w:hRule="atLeast" w:val="803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2013 год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(Закон № 216- ФЗ)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type="dxa" w:w="3868"/>
            <w:gridSpan w:val="3"/>
            <w:vMerge w:val="restart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2016 год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(проект)</w:t>
            </w:r>
          </w:p>
        </w:tc>
      </w:tr>
      <w:tr>
        <w:trPr>
          <w:trHeight w:hRule="atLeast" w:val="802"/>
          <w:cantSplit w:val="false"/>
        </w:trPr>
        <w:tc>
          <w:tcPr>
            <w:tcW w:type="dxa" w:w="1289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89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type="dxa" w:w="1289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</w:tr>
      <w:tr>
        <w:trPr>
          <w:trHeight w:hRule="atLeast" w:val="288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Доходы, всего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12865,9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14063,4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13485,5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15615,5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14767,5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15908,1</w:t>
            </w:r>
          </w:p>
        </w:tc>
      </w:tr>
      <w:tr>
        <w:trPr>
          <w:trHeight w:hRule="atLeast" w:val="288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%% ВВП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19,3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19,0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18,2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18,8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18,0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17,4</w:t>
            </w:r>
          </w:p>
        </w:tc>
      </w:tr>
      <w:tr>
        <w:trPr>
          <w:trHeight w:hRule="atLeast" w:val="302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</w:tr>
      <w:tr>
        <w:trPr>
          <w:trHeight w:hRule="atLeast" w:val="590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Нефтегазовые доходы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5925,5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6279,3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5944,5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6933,9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6404,9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6586,7</w:t>
            </w:r>
          </w:p>
        </w:tc>
      </w:tr>
      <w:tr>
        <w:trPr>
          <w:trHeight w:hRule="atLeast" w:val="288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%% ВВП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8,9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8,5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8,0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8,4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7,8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7,2</w:t>
            </w:r>
          </w:p>
        </w:tc>
      </w:tr>
      <w:tr>
        <w:trPr>
          <w:trHeight w:hRule="atLeast" w:val="576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Ненефтегазовые доходы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6940,4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7784,1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7541,0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8681,6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8 362,6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9321,4</w:t>
            </w:r>
          </w:p>
        </w:tc>
      </w:tr>
      <w:tr>
        <w:trPr>
          <w:trHeight w:hRule="atLeast" w:val="288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%% ВВП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10,4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10,5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10,2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10,5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10,2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10,2</w:t>
            </w:r>
          </w:p>
        </w:tc>
      </w:tr>
      <w:tr>
        <w:trPr>
          <w:trHeight w:hRule="atLeast" w:val="892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Доля в общем объеме доходов, %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100,0</w:t>
            </w:r>
          </w:p>
        </w:tc>
      </w:tr>
      <w:tr>
        <w:trPr>
          <w:trHeight w:hRule="atLeast" w:val="288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</w:tr>
      <w:tr>
        <w:trPr>
          <w:trHeight w:hRule="atLeast" w:val="576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Нефтегазовые доходы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46,1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44,6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44,1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44,4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43,4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41,4</w:t>
            </w:r>
          </w:p>
        </w:tc>
      </w:tr>
      <w:tr>
        <w:trPr>
          <w:trHeight w:hRule="atLeast" w:val="590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Ненефтегазовые доходы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53,9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55,4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55,9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55,6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56,6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58,6</w:t>
            </w:r>
          </w:p>
        </w:tc>
      </w:tr>
      <w:tr>
        <w:trPr>
          <w:trHeight w:hRule="atLeast" w:val="2046"/>
          <w:cantSplit w:val="false"/>
        </w:trPr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Темпы прироста доходов в ноинальном выражении к предыдущему году, %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100,1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109,3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104,8</w:t>
            </w:r>
          </w:p>
        </w:tc>
        <w:tc>
          <w:tcPr>
            <w:tcW w:type="dxa" w:w="129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111,0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109,5</w:t>
            </w:r>
          </w:p>
        </w:tc>
        <w:tc>
          <w:tcPr>
            <w:tcW w:type="dxa" w:w="128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107,7</w:t>
            </w:r>
          </w:p>
        </w:tc>
      </w:tr>
    </w:tbl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Общий объем расходов федерального бюджета на 2014-2016 годы определен в соответствии с принятыми в 2012 году положениями БК РФ, устанавливающими правила определения объема расходов федерального бюджета и использования нефтегазовых доходов («бюджетные правила»).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«Бюджетные правила» основаны на использовании базовой цены на нефть, которая определяется на основании отчетных данных. В 2013 году базовая цена была установлена на уровне средней цены на нефть за пять лет, в последующие годы период для расчета средней ежегодно увеличивается на 1 год до достижения 10 – летнего периода.</w:t>
      </w:r>
    </w:p>
    <w:p>
      <w:pPr>
        <w:pStyle w:val="style0"/>
      </w:pPr>
      <w:r>
        <w:rPr/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>Расчет расходов федерального бюджета на 2014 – 2016 годы млрд.рублей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>Таблица 3</w:t>
      </w:r>
    </w:p>
    <w:tbl>
      <w:tblPr>
        <w:jc w:val="left"/>
        <w:tblInd w:type="dxa" w:w="-432"/>
        <w:tblBorders/>
      </w:tblPr>
      <w:tblGrid>
        <w:gridCol w:w="1094"/>
        <w:gridCol w:w="1094"/>
        <w:gridCol w:w="1095"/>
        <w:gridCol w:w="1094"/>
        <w:gridCol w:w="5473"/>
      </w:tblGrid>
      <w:tr>
        <w:trPr>
          <w:trHeight w:hRule="atLeast" w:val="968"/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  <w:lang w:val="en-US"/>
              </w:rPr>
              <w:t>N</w:t>
            </w:r>
          </w:p>
          <w:p>
            <w:pPr>
              <w:pStyle w:val="style0"/>
              <w:spacing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cs="Times New Roman" w:hAnsi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п</w:t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Показатель</w:t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2015 год </w:t>
            </w:r>
          </w:p>
        </w:tc>
        <w:tc>
          <w:tcPr>
            <w:tcW w:type="dxa" w:w="5473"/>
            <w:gridSpan w:val="5"/>
            <w:vMerge w:val="restart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2016 год (прогноз)</w:t>
            </w:r>
          </w:p>
        </w:tc>
      </w:tr>
      <w:tr>
        <w:trPr>
          <w:trHeight w:hRule="atLeast" w:val="967"/>
          <w:cantSplit w:val="false"/>
        </w:trPr>
        <w:tc>
          <w:tcPr>
            <w:tcW w:type="dxa" w:w="1094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  <w:tc>
          <w:tcPr>
            <w:tcW w:type="dxa" w:w="1094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Прогн-оз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Отклоне-ние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прогноз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Отклоне-ние</w:t>
            </w:r>
          </w:p>
        </w:tc>
        <w:tc>
          <w:tcPr>
            <w:tcW w:type="dxa" w:w="1095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1.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Доходы (при базовой цене на нефть)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/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13476,1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/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12943,6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/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-523,5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/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14796,9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/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14334,8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/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-462,1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line="360" w:lineRule="auto"/>
              <w:jc w:val="both"/>
            </w:pPr>
            <w:r>
              <w:rPr/>
            </w:r>
          </w:p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15539,8</w:t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2.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Дефицит расчетный (1% ВВП)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739,9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739,2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-0,7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829,4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819,4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-10,0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912,1</w:t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3.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Расходы по бюджетным правилам (стр.1+стр.2)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14207,0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13682,9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-498,1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15626,3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15154,1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-465,9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16451,8</w:t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%% ВВП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19,2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18,5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-0,7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18,8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18,5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-0,3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18,0</w:t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3.1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355,2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-355,2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781,3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378,9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-402,5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822,6</w:t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3.2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Расходы без учета условно утвержденных расходов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13951,8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13682,9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-142,9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14845,0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14775,2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-63,6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15629,2</w:t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4.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Расходы (предельные)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14207,0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13847,0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-360,0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15626,3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-15235,7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390,6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18"/>
                <w:szCs w:val="18"/>
              </w:rPr>
              <w:t>16451,8</w:t>
            </w:r>
          </w:p>
        </w:tc>
      </w:tr>
      <w:tr>
        <w:trPr>
          <w:cantSplit w:val="false"/>
        </w:trPr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/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%% ВВП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19,2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18,7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-0,5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18,8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18,6</w:t>
            </w:r>
          </w:p>
        </w:tc>
        <w:tc>
          <w:tcPr>
            <w:tcW w:type="dxa" w:w="109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-0,2</w:t>
            </w:r>
          </w:p>
        </w:tc>
        <w:tc>
          <w:tcPr>
            <w:tcW w:type="dxa" w:w="109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60" w:before="0" w:line="360" w:lineRule="auto"/>
              <w:jc w:val="both"/>
            </w:pPr>
            <w:r>
              <w:rPr>
                <w:rFonts w:ascii="Times New Roman" w:cs="Times New Roman" w:hAnsi="Times New Roman"/>
              </w:rPr>
              <w:t>18,0</w:t>
            </w:r>
          </w:p>
        </w:tc>
      </w:tr>
    </w:tbl>
    <w:p>
      <w:pPr>
        <w:pStyle w:val="style0"/>
        <w:spacing w:line="360" w:lineRule="auto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   </w:t>
      </w:r>
      <w:r>
        <w:rPr>
          <w:rFonts w:ascii="Times New Roman" w:cs="Times New Roman" w:hAnsi="Times New Roman"/>
          <w:sz w:val="28"/>
          <w:szCs w:val="28"/>
        </w:rPr>
        <w:t>Таким образом, предполагается снижение расходов в 2014 – 2015 годах по сравнению с уровнем, утвержденным в Законе № 216 – ФЗ. Однако предельный объем расходов будет превышать уровень, рассчитанный на основе базовой цены на нефть и «расчетного дефицита» в размере 1% ВВП, за счет действия нормы, в соответствии с которой объем расходов не уменьшается больше, чем на объем условно утверждаемых расходов.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В абсолютном выражении прирост объема расходов федерального бюджета в 2014 году составит 459,7 млрд. рублей по сравнению с предыдущим годом, в 2015 году – 1388,7 млрд. рублей по сравнению с 2014 годом, в 2016 году – 1138,7 млрд. рублей по сравнению с 2015 годом (Таблица 4).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</w:t>
      </w:r>
      <w:r>
        <w:rPr>
          <w:rFonts w:ascii="Times New Roman" w:cs="Times New Roman" w:hAnsi="Times New Roman"/>
          <w:sz w:val="28"/>
          <w:szCs w:val="28"/>
        </w:rPr>
        <w:t>Изменение объема расходов федерального бюджета по сравнению с предыдущим годом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>Таблица 4</w:t>
      </w:r>
    </w:p>
    <w:tbl>
      <w:tblPr>
        <w:jc w:val="center"/>
        <w:tblBorders/>
      </w:tblPr>
      <w:tblGrid>
        <w:gridCol w:w="1869"/>
        <w:gridCol w:w="1869"/>
        <w:gridCol w:w="5608"/>
      </w:tblGrid>
      <w:tr>
        <w:trPr>
          <w:trHeight w:hRule="atLeast" w:val="645"/>
          <w:cantSplit w:val="false"/>
        </w:trPr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type="dxa" w:w="1869"/>
            <w:vMerge w:val="restart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2013 год (Закон № 216 – ФЗ) к 2013 году</w:t>
            </w:r>
          </w:p>
        </w:tc>
        <w:tc>
          <w:tcPr>
            <w:tcW w:type="dxa" w:w="5608"/>
            <w:gridSpan w:val="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Прогноз</w:t>
            </w:r>
          </w:p>
        </w:tc>
      </w:tr>
      <w:tr>
        <w:trPr>
          <w:trHeight w:hRule="atLeast" w:val="645"/>
          <w:cantSplit w:val="false"/>
        </w:trPr>
        <w:tc>
          <w:tcPr>
            <w:tcW w:type="dxa" w:w="1869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869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type="dxa" w:w="187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2016 год</w:t>
            </w:r>
          </w:p>
        </w:tc>
      </w:tr>
      <w:tr>
        <w:trPr>
          <w:cantSplit w:val="false"/>
        </w:trPr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Прирост, млрд. рублей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492,3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459,7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1388,7</w:t>
            </w:r>
          </w:p>
        </w:tc>
        <w:tc>
          <w:tcPr>
            <w:tcW w:type="dxa" w:w="187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1138,7</w:t>
            </w:r>
          </w:p>
        </w:tc>
      </w:tr>
      <w:tr>
        <w:trPr>
          <w:cantSplit w:val="false"/>
        </w:trPr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Темп роста в номинальном выражении, %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3,8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3,4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10,0</w:t>
            </w:r>
          </w:p>
        </w:tc>
        <w:tc>
          <w:tcPr>
            <w:tcW w:type="dxa" w:w="187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7,5</w:t>
            </w:r>
          </w:p>
        </w:tc>
      </w:tr>
      <w:tr>
        <w:trPr>
          <w:cantSplit w:val="false"/>
        </w:trPr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Темп роста в реальном выражении, %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-3,1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-1,5</w:t>
            </w:r>
          </w:p>
        </w:tc>
        <w:tc>
          <w:tcPr>
            <w:tcW w:type="dxa" w:w="1869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4,8</w:t>
            </w:r>
          </w:p>
        </w:tc>
        <w:tc>
          <w:tcPr>
            <w:tcW w:type="dxa" w:w="1870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2,4</w:t>
            </w:r>
          </w:p>
        </w:tc>
      </w:tr>
    </w:tbl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В номинальном выражении планируется рост объема расходов федерального бюджета в 2014 году по сравнению с предыдущим годом на 3,4%, в 2015 году – на 10% и в 2016 – на 7,5%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В реальном выражении в 2014 году ожидается снижение расходов федерального бюджета на 1,5% по сравнению с предыдущим годом, начиная  с 2015 года – рост: в 2015 году на 4,8%, в 2016 году – на 2,4%.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Анализ динамики расходов федерального бюджета, а также ключевых факторов, влияющих на объемы расходов, приведен в разделах 5 – 7.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В 2014 году дефицит федерального бюджета возрастет по сравнению с уровнем, утвержденным Законом № 216 – ФЗ, и составит  327,1 млрд. рублей или 0,44% ВВП. В 2015 году дефицит федерального бюджета составит 455,5 млрд. рублей (0,6% ВВП) и в 2016 году – 543,7 млрд. рублей (0,6% ВВП).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При этом не нефтегазовый дефицит по отношению к ВВП снижается и составит в 2014 году 8,6% ВВП,в 2015 году – 8,5% ВВП и в 2016 году – 7,8% ВВП.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Дефицит федерального бюджета в 2014-2016 годах будет покрываться за счет средств, поступающих от приватизации федеральной собственности, и государственных заимствований (Таблица 5).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   </w:t>
      </w:r>
      <w:r>
        <w:rPr>
          <w:rFonts w:ascii="Times New Roman" w:cs="Times New Roman" w:hAnsi="Times New Roman"/>
          <w:sz w:val="28"/>
          <w:szCs w:val="28"/>
        </w:rPr>
        <w:t xml:space="preserve">Источники финансирования дефицита федерального бюджета                   млрд. рублей </w:t>
      </w:r>
    </w:p>
    <w:p>
      <w:pPr>
        <w:pStyle w:val="style0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cs="Times New Roman" w:hAnsi="Times New Roman"/>
          <w:sz w:val="28"/>
          <w:szCs w:val="28"/>
        </w:rPr>
        <w:t>Таблица 5</w:t>
      </w:r>
    </w:p>
    <w:tbl>
      <w:tblPr>
        <w:jc w:val="left"/>
        <w:tblInd w:type="dxa" w:w="-432"/>
        <w:tblBorders/>
      </w:tblPr>
      <w:tblGrid>
        <w:gridCol w:w="1334"/>
        <w:gridCol w:w="1335"/>
        <w:gridCol w:w="1335"/>
        <w:gridCol w:w="1335"/>
        <w:gridCol w:w="4004"/>
      </w:tblGrid>
      <w:tr>
        <w:trPr>
          <w:trHeight w:hRule="atLeast" w:val="803"/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2013 год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(Закон № 216 – ФЗ)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type="dxa" w:w="4004"/>
            <w:gridSpan w:val="3"/>
            <w:vMerge w:val="restart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2016 год 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(проект)</w:t>
            </w:r>
          </w:p>
        </w:tc>
      </w:tr>
      <w:tr>
        <w:trPr>
          <w:trHeight w:hRule="atLeast" w:val="802"/>
          <w:cantSplit w:val="false"/>
        </w:trPr>
        <w:tc>
          <w:tcPr>
            <w:tcW w:type="dxa" w:w="1334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5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Проект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Закон № 216 - ФЗ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Проект</w:t>
            </w:r>
          </w:p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4"/>
            <w:vMerge w:val="continue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Источники финансирования дефицита федерального бюджета, всего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521,4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143,6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361,5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10,8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468,3</w:t>
            </w:r>
          </w:p>
        </w:tc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543,7</w:t>
            </w:r>
          </w:p>
        </w:tc>
      </w:tr>
      <w:tr>
        <w:trPr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%% ВВП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0,8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0,2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0,5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0,01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0,6</w:t>
            </w:r>
          </w:p>
        </w:tc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0,6</w:t>
            </w:r>
          </w:p>
        </w:tc>
      </w:tr>
      <w:tr>
        <w:trPr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Средства Резервного фонда (пополнение)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-373,4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-596,3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-377,7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-818,6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-351,1</w:t>
            </w:r>
          </w:p>
        </w:tc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-368,4</w:t>
            </w:r>
          </w:p>
        </w:tc>
      </w:tr>
      <w:tr>
        <w:trPr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Средства Фонда национального благосостояния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5,9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7,5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9,4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8,9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10,8</w:t>
            </w:r>
          </w:p>
        </w:tc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12,4</w:t>
            </w:r>
          </w:p>
        </w:tc>
      </w:tr>
      <w:tr>
        <w:trPr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Иные источники финансирования дефицита федерального бюджета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888,9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732,5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729,8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820,5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808,6</w:t>
            </w:r>
          </w:p>
        </w:tc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899,7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%% ВВП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1,3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1,0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1,0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1,0</w:t>
            </w:r>
          </w:p>
        </w:tc>
        <w:tc>
          <w:tcPr>
            <w:tcW w:type="dxa" w:w="133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1,0</w:t>
            </w:r>
          </w:p>
        </w:tc>
        <w:tc>
          <w:tcPr>
            <w:tcW w:type="dxa" w:w="1334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widowControl/>
              <w:tabs>
                <w:tab w:leader="none" w:pos="708" w:val="left"/>
              </w:tabs>
              <w:suppressAutoHyphens w:val="true"/>
              <w:spacing w:after="160" w:before="0" w:line="252" w:lineRule="auto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1,0</w:t>
            </w:r>
          </w:p>
        </w:tc>
      </w:tr>
    </w:tbl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В составе иных источников финансирования дефицита федерального бюджета особое внимание следует обратить на прогноз поступлений от приватизации. В представленных параметрах в 2014 году прогноз поступлений от приватизации на 100 млрд. рублей, а в 2015 – на 150 млрд. рублей меньше, чем было утверждено в предыдущем бюджетном цикле. Эти параметры нужно будет уточнить в соответствии с одобренной Правительством РФ программой приватизации.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В то же время увеличение поступлений от приватизации не приведет к увеличению расходов, будут сокращены объемы заимствований, что позволит не наращивать государственный долг и сократить расходы на его обслуживание.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В 2014 – 2016 годах будет продолжено пополнение средств Резервного фонда.</w:t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/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b/>
          <w:sz w:val="28"/>
          <w:szCs w:val="28"/>
        </w:rPr>
        <w:t>Задание 2.</w:t>
      </w:r>
      <w:r>
        <w:rPr>
          <w:rFonts w:ascii="Times New Roman" w:cs="Times New Roman" w:hAnsi="Times New Roman"/>
          <w:sz w:val="28"/>
          <w:szCs w:val="28"/>
        </w:rPr>
        <w:t xml:space="preserve"> Приведите пример нормативного финансово-правового акта и финансово-правовой нормы. Покажите соотношение акта, нормы, статьи акта. В норме финансового права выделите гипотезу, диспозицию и санкцию. Обратите внимание, как отдельные элементы нормы расположены в актах и статьях актов.</w:t>
      </w:r>
    </w:p>
    <w:p>
      <w:pPr>
        <w:pStyle w:val="style0"/>
        <w:spacing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Многие нормы Конституции РФ имеют прямую финансово – правовую направленность:</w:t>
      </w:r>
    </w:p>
    <w:p>
      <w:pPr>
        <w:pStyle w:val="style35"/>
        <w:numPr>
          <w:ilvl w:val="0"/>
          <w:numId w:val="2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Норма статьи 57 Конституции РФ, устанавливающая обязанность каждого платить законно установленные налоги и сборы, а также положение о том, что законы, устанавливающие новые новые налоги или ухудшающие положение налогоплательщика, обратной силы не имеют;</w:t>
      </w:r>
    </w:p>
    <w:p>
      <w:pPr>
        <w:pStyle w:val="style35"/>
        <w:numPr>
          <w:ilvl w:val="0"/>
          <w:numId w:val="2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Норма части 3 статьи 57 Конституции РФ, определяющая, что система налогов, взимаемых в федеральный бюджет, и общие принципы налогообложения и сборов в РФ устанавливаются ее федеральным законом;</w:t>
      </w:r>
    </w:p>
    <w:p>
      <w:pPr>
        <w:pStyle w:val="style35"/>
        <w:numPr>
          <w:ilvl w:val="0"/>
          <w:numId w:val="2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Нормы подпунктов «ж» и «з» статьи 57 Конституции РФ, закрепляющие в ведении РФ финансовое, валютное, кредитное, таможенное регулирование, денежную эмиссию, основы ценовой политики, федеральные экономические службы, включая федеральные банки; федеральный бюджет, федеральные налоги и сборы, федеральные фонды регионального развития;</w:t>
      </w:r>
    </w:p>
    <w:p>
      <w:pPr>
        <w:pStyle w:val="style35"/>
        <w:numPr>
          <w:ilvl w:val="0"/>
          <w:numId w:val="2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Норма части 4 статьи 57 Конституции РФ, устанавливающая, что государственные займы выпускаются в порядке, определяемом федеральным законом, и размещаются на добровольной основе;</w:t>
      </w:r>
    </w:p>
    <w:p>
      <w:pPr>
        <w:pStyle w:val="style35"/>
        <w:numPr>
          <w:ilvl w:val="0"/>
          <w:numId w:val="2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Норма части 5 статьи 101 Конституции РФ,  наделяющая Счетную палату правом контроля за исполнением федерального бюджета;</w:t>
      </w:r>
    </w:p>
    <w:p>
      <w:pPr>
        <w:pStyle w:val="style35"/>
        <w:numPr>
          <w:ilvl w:val="0"/>
          <w:numId w:val="2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Норма части 3 статьи 104 Конституции РФ, устанавливающая, что законопроекты о введении или отмене налогов, освобождения от их уплаты, о выпуске государственных займов, об изменении финансовых обстоятельств государства, другие законопроекты, предусматривающие расходы, покрываемые за счет федерального бюджета, могут быть внесены только при наличии заключения Правительства РФ.</w:t>
      </w:r>
    </w:p>
    <w:p>
      <w:pPr>
        <w:pStyle w:val="style35"/>
        <w:numPr>
          <w:ilvl w:val="0"/>
          <w:numId w:val="2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Норма статьи 106 Конституции РФ, закрепляющая, что обязательному рассмотрению в Совете Федерации подлежат принятые Государственной Думой федеральные законы по вопросам: федерального бюджета, федеральных налогов и сборов, финансового, валютного, кредитного, таможенного регулирования, денежной эмиссии.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Финансово – правовые нормы, как и все иные, имеют структуру.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Под структурой финансово – правовой нормы понимается ее внутреннее строение, ее составные части. В структуре выделяются гипотеза, диспозиция, санкция.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Гипотеза – первая часть финансово – правовой нормы. В ней указывается на те условия, при наличии которых субъекту следует руководствоваться данной нормой. Гипотеза имеется во всякой финансово – правовой норме. 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Диспозиция – часть правовой нормы, указывающая на поведение, которое должно иметь место при наличии обстоятельств, предусмотренных гипотезой. Диспозиции финансово-правовых норм чаще всего объективируются через обязанности, которые должны исполнять соответствующие субъекты при наличии соответствующих условий, и гораздо реже – через права.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Санкция финансово – правовой нормы – та ее часть, которая указывает на меры государственного принуждения, которые могут быть применены к субъектам, нарушающим диспозицию данной финансово – правовой нормы.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Особенности финансово – правовой нормы проявляются главным образом через ее санкции.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Во – первых, санкции имеют денежный характер (пеня, штраф). Во – вторых, финансово – правовые санкции имеют правовосстановительный и карательный (штрафной) характер. Чаще всего, при нарушении финансово – правовых норм применяются одновременно правовосстановительные и карательные (штрафные) санкции. В – третьих, денежные средства, получаемые в результате применения санкций финансово – правовых норм, зачисляются в государственные и муниципальные денежные фонды: бюджеты, государственные внебюджетные фонды. 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Финансово – правовая норма не тождественна статье финансово – правового акта. Как правило, все элементы, из которых состоит финансово – правовая норма, не содержатся в одной статье финансового – правового акта, а обычно размещаются в разных статьях.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На основании вышеизложенного можно сделать вывод о том, что финансово – правовая норма – это установленное государством и обеспеченное мерами государственного принуждения строго определенное правило поведения в общественных финансовых отношениях, возникающих в процессе образования, распределения и использования государственных (и муниципальных) денежных фондов и доходов, которое закрепляет юридические права и обязанности их участников.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Содержание финансово – правовых норм составляют правила поведения в общественных отношениях, возникающих в процессе финансовой деятельности государства. Данные правила выражаются в предоставлении участникам данных отношений таких юридических прав и возложения на них юридических обязанностей, осуществление которых обеспечивает планомерное образование и использование централизованных и децентрализованных денежных фондов (доходов) государства и органов местного самоуправления соответственно их задачам в каждый конкретный период времени, вытекающим из политики по социально – экономическому развитию страны.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Финансово – правовая норма не тождественна статье  финансово – правого акта, т.к. элементы финансово – правовой нормы не содержатся в совокупности в одной статье нормативно – правового акта, а обычно размещаются в разных статьях.</w:t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b/>
          <w:sz w:val="28"/>
          <w:szCs w:val="28"/>
        </w:rPr>
        <w:t>Задание 3.</w:t>
      </w:r>
      <w:r>
        <w:rPr>
          <w:rFonts w:ascii="Times New Roman" w:cs="Times New Roman" w:hAnsi="Times New Roman"/>
          <w:sz w:val="28"/>
          <w:szCs w:val="28"/>
        </w:rPr>
        <w:t xml:space="preserve"> Определите меры принуждения и санкции за следующее нарушение финансовой дисциплины, с указанием на нормы правовых актов: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- непредставление налогоплательщиком декларации и нарушение сроков по представлению декларации по налогу, по которому декларирование обязательно.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Выделите среди названных Вами мер принуждения     финансово-правовые санкции и укажите их отличия от административных мер ответственности.</w:t>
      </w:r>
    </w:p>
    <w:tbl>
      <w:tblPr>
        <w:jc w:val="left"/>
        <w:tblInd w:type="dxa" w:w="289"/>
        <w:tblBorders/>
      </w:tblPr>
      <w:tblGrid>
        <w:gridCol w:w="2251"/>
        <w:gridCol w:w="2971"/>
        <w:gridCol w:w="2128"/>
        <w:gridCol w:w="1557"/>
      </w:tblGrid>
      <w:tr>
        <w:trPr>
          <w:cantSplit w:val="false"/>
        </w:trPr>
        <w:tc>
          <w:tcPr>
            <w:tcW w:type="dxa" w:w="225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Виды правонарушений</w:t>
            </w:r>
          </w:p>
        </w:tc>
        <w:tc>
          <w:tcPr>
            <w:tcW w:type="dxa" w:w="29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Субъекты ответственности</w:t>
            </w:r>
          </w:p>
        </w:tc>
        <w:tc>
          <w:tcPr>
            <w:tcW w:type="dxa" w:w="212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Размер штрафа</w:t>
            </w:r>
          </w:p>
        </w:tc>
        <w:tc>
          <w:tcPr>
            <w:tcW w:type="dxa" w:w="155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Основание</w:t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225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Непредставление налогоплательщиком в установленный законодательством о налогах и сборах срок налоговой декларации в налоговый орган по месту учета </w:t>
            </w:r>
          </w:p>
        </w:tc>
        <w:tc>
          <w:tcPr>
            <w:tcW w:type="dxa" w:w="29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Организации, физические лица, индивидуальные предприниматели</w:t>
            </w:r>
          </w:p>
        </w:tc>
        <w:tc>
          <w:tcPr>
            <w:tcW w:type="dxa" w:w="212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5% не уплаченной в установленный законодательством о налогах и сборах срок суммы налога, подлежащей уплате (доплате) на основании этой декларации, за каждый полный или неполный месяц со дня, установленного для ее представления, но не более 30% указанной суммы и не менее 1000 рублей</w:t>
            </w:r>
          </w:p>
        </w:tc>
        <w:tc>
          <w:tcPr>
            <w:tcW w:type="dxa" w:w="155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ст. 119 НК РФ</w:t>
            </w:r>
          </w:p>
        </w:tc>
      </w:tr>
      <w:tr>
        <w:trPr>
          <w:cantSplit w:val="false"/>
        </w:trPr>
        <w:tc>
          <w:tcPr>
            <w:tcW w:type="dxa" w:w="225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Несоблюдение порядка представления  налоговой декларации (расчета) в электронной форме</w:t>
            </w:r>
          </w:p>
        </w:tc>
        <w:tc>
          <w:tcPr>
            <w:tcW w:type="dxa" w:w="29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Организации, физические лица, индивидуальные предприниматели</w:t>
            </w:r>
          </w:p>
        </w:tc>
        <w:tc>
          <w:tcPr>
            <w:tcW w:type="dxa" w:w="212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200 рублей</w:t>
            </w:r>
          </w:p>
        </w:tc>
        <w:tc>
          <w:tcPr>
            <w:tcW w:type="dxa" w:w="155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ст. 119.1 НК РФ</w:t>
            </w:r>
          </w:p>
        </w:tc>
      </w:tr>
      <w:tr>
        <w:trPr>
          <w:cantSplit w:val="false"/>
        </w:trPr>
        <w:tc>
          <w:tcPr>
            <w:tcW w:type="dxa" w:w="225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Нарушение установленных законодательством о налогах и сборах сроков представления налоговой декларации в налоговый орган по месту учета</w:t>
            </w:r>
          </w:p>
        </w:tc>
        <w:tc>
          <w:tcPr>
            <w:tcW w:type="dxa" w:w="29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Должностные лица, за исключением граждан, осуществляющих предпринимательскую деятельность без образования юридического лица</w:t>
            </w:r>
          </w:p>
        </w:tc>
        <w:tc>
          <w:tcPr>
            <w:tcW w:type="dxa" w:w="212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Предупреждение или штраф в размере от 300 до 500 рублей</w:t>
            </w:r>
          </w:p>
        </w:tc>
        <w:tc>
          <w:tcPr>
            <w:tcW w:type="dxa" w:w="155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ст. 15.5</w:t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КоАП РФ</w:t>
            </w:r>
          </w:p>
        </w:tc>
      </w:tr>
      <w:tr>
        <w:trPr>
          <w:cantSplit w:val="false"/>
        </w:trPr>
        <w:tc>
          <w:tcPr>
            <w:tcW w:type="dxa" w:w="225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Уклонение от уплаты налогов и (или) сборов с физического лица путем непредставления налоговой декларации или иных документов, представление которых в соответствии с законодательством РФ о налогах и сборах является обязательным, либо путем включения в налоговую декларацию или такие документы заведомо ложных сведений, совершенное:</w:t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 в крупном размере</w:t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 в особо крупном размере</w:t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/>
            </w:r>
          </w:p>
        </w:tc>
        <w:tc>
          <w:tcPr>
            <w:tcW w:type="dxa" w:w="29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/>
            </w:r>
          </w:p>
        </w:tc>
        <w:tc>
          <w:tcPr>
            <w:tcW w:type="dxa" w:w="212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Штраф в размере от 100000 до 300000 рублей или в размере заработной платы или иного дохода осужденного за период  от 1 года до 2 лет, либо принудительные работы на срок до 1 года, либо арест на срок до 6 месяцев, либо лишение свободы на срок до 1 года</w:t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Штраф в размере от 200000 до 500000 рублей или в размере заработной платы или иного дохода осужденного за период  от 18 месяцев до 3 лет, либо принудительные работы на срок до 3 лет, либо лишение свободы на тот же срок</w:t>
            </w:r>
          </w:p>
        </w:tc>
        <w:tc>
          <w:tcPr>
            <w:tcW w:type="dxa" w:w="155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Ст. 198 УК РФ</w:t>
            </w:r>
          </w:p>
        </w:tc>
      </w:tr>
      <w:tr>
        <w:trPr>
          <w:cantSplit w:val="false"/>
        </w:trPr>
        <w:tc>
          <w:tcPr>
            <w:tcW w:type="dxa" w:w="225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Уклонение от уплаты налогов и (или) сборов с организации путем непредставления налоговой декларации или иных документов, представление которых в соответствии с законодательством РФ о налогах и сборах является обязательным, либо путем включения  в налоговую декларацию или такие документы заведомо ложных сведений, совершенное:</w:t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 в крупном размере:</w:t>
            </w:r>
          </w:p>
        </w:tc>
        <w:tc>
          <w:tcPr>
            <w:tcW w:type="dxa" w:w="29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/>
            </w:r>
          </w:p>
        </w:tc>
        <w:tc>
          <w:tcPr>
            <w:tcW w:type="dxa" w:w="212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Штраф в размере от 100000 до 300000 рублей или в размере заработной платы или иного дохода осужденного за период от 1 года до 2 лет, либо принудительные работы на срок до 2 лет с лишением права занимать определенные должности или заниматься определенной деятельностью на срок до 3 лет или без такового, либо арест на срок до 6 месяцев, либо лишение свободы на срок до 2 лет с лишением права занимать определенные должности или заниматься определенной деятельностью на срок до 3 лет или без такового;</w:t>
            </w:r>
          </w:p>
        </w:tc>
        <w:tc>
          <w:tcPr>
            <w:tcW w:type="dxa" w:w="155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ст. 199</w:t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УК РФ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225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То же деяние, совершенное:</w:t>
            </w:r>
          </w:p>
          <w:p>
            <w:pPr>
              <w:pStyle w:val="style35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- группой лиц по предварительному сговору</w:t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- в особо крупном размере</w:t>
            </w:r>
          </w:p>
        </w:tc>
        <w:tc>
          <w:tcPr>
            <w:tcW w:type="dxa" w:w="2971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/>
            </w:r>
          </w:p>
        </w:tc>
        <w:tc>
          <w:tcPr>
            <w:tcW w:type="dxa" w:w="2128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Штраф в размере от 200000 до 500000 рублей или в размере заработной платы или иного дохода осужденного за период от 1 года до 3 лет, либо принудительные работы на срок до 5 лет с лишением права занимать определенные должности или заниматься определенной деятельностью на срок до 3 лет или без такового, либо лишение свободы на срок до 6 лет с лишением права занимать определенные должности или заниматься определенной деятельностью на срок до 3 лет или без такового</w:t>
            </w:r>
          </w:p>
        </w:tc>
        <w:tc>
          <w:tcPr>
            <w:tcW w:type="dxa" w:w="155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ind w:hanging="0" w:left="0" w:right="0"/>
            </w:pPr>
            <w:r>
              <w:rPr/>
            </w:r>
          </w:p>
          <w:p>
            <w:pPr>
              <w:pStyle w:val="style35"/>
              <w:spacing w:after="160" w:before="0"/>
              <w:ind w:hanging="0" w:left="0" w:right="0"/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ст. 199 УК РФ</w:t>
            </w:r>
          </w:p>
        </w:tc>
      </w:tr>
    </w:tbl>
    <w:p>
      <w:pPr>
        <w:pStyle w:val="style35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Ответственность за нарушения законодательства о налогах и сборах помимо НК РФ регулируется Кодексом РФ об административных правонарушениях  и УК РФ.</w:t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Выделяются следующие виды ответственности за нарушения законодательства о налогах и сборах: уголовная, административная  и налоговая. Данные виды ответственности хоть и имеют существенные различия все же тесно связаны друг с другом.</w:t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                         </w:t>
      </w:r>
      <w:r>
        <w:rPr>
          <w:rFonts w:ascii="Times New Roman" w:cs="Times New Roman" w:hAnsi="Times New Roman"/>
          <w:sz w:val="28"/>
          <w:szCs w:val="28"/>
        </w:rPr>
        <w:t>Список литературы</w:t>
      </w:r>
    </w:p>
    <w:p>
      <w:pPr>
        <w:pStyle w:val="style35"/>
        <w:spacing w:line="360" w:lineRule="auto"/>
        <w:ind w:firstLine="567" w:left="720" w:right="0"/>
        <w:jc w:val="both"/>
      </w:pPr>
      <w:r>
        <w:rPr/>
      </w:r>
    </w:p>
    <w:p>
      <w:pPr>
        <w:pStyle w:val="style35"/>
        <w:numPr>
          <w:ilvl w:val="0"/>
          <w:numId w:val="3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>Налоговое право: Учебное пособие/ под. ред. Е.М. Ашмариной. – М.: Кнорус, 2012.</w:t>
      </w:r>
    </w:p>
    <w:p>
      <w:pPr>
        <w:pStyle w:val="style35"/>
        <w:numPr>
          <w:ilvl w:val="0"/>
          <w:numId w:val="3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Конституция РФ [Электронный ресурс] - </w:t>
      </w:r>
      <w:hyperlink r:id="rId2">
        <w:r>
          <w:rPr>
            <w:rStyle w:val="style18"/>
            <w:rStyle w:val="style18"/>
            <w:rFonts w:ascii="Times New Roman" w:cs="Times New Roman" w:hAnsi="Times New Roman"/>
            <w:sz w:val="28"/>
            <w:szCs w:val="28"/>
          </w:rPr>
          <w:t>http://www.consultant.ru/</w:t>
        </w:r>
      </w:hyperlink>
      <w:r>
        <w:rPr>
          <w:rFonts w:ascii="Times New Roman" w:cs="Times New Roman" w:hAnsi="Times New Roman"/>
          <w:sz w:val="28"/>
          <w:szCs w:val="28"/>
        </w:rPr>
        <w:t>.,  Свободный. – Загл. с экрана. – (Дата обращения – 20.02.2016).</w:t>
      </w:r>
    </w:p>
    <w:p>
      <w:pPr>
        <w:pStyle w:val="style35"/>
        <w:numPr>
          <w:ilvl w:val="0"/>
          <w:numId w:val="3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Налоговый кодекс [Электронный ресурс] - </w:t>
      </w:r>
      <w:hyperlink r:id="rId3">
        <w:r>
          <w:rPr>
            <w:rStyle w:val="style18"/>
            <w:rStyle w:val="style18"/>
            <w:rFonts w:ascii="Times New Roman" w:cs="Times New Roman" w:hAnsi="Times New Roman"/>
            <w:sz w:val="28"/>
            <w:szCs w:val="28"/>
          </w:rPr>
          <w:t>http://www.consultant.ru/</w:t>
        </w:r>
      </w:hyperlink>
      <w:r>
        <w:rPr>
          <w:rFonts w:ascii="Times New Roman" w:cs="Times New Roman" w:hAnsi="Times New Roman"/>
          <w:sz w:val="28"/>
          <w:szCs w:val="28"/>
        </w:rPr>
        <w:t>.,  Свободный. – Загл. с экрана. – (Дата обращения – 20.02.2016).</w:t>
      </w:r>
    </w:p>
    <w:p>
      <w:pPr>
        <w:pStyle w:val="style35"/>
        <w:numPr>
          <w:ilvl w:val="0"/>
          <w:numId w:val="3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О федеральном бюджете на 2013 год и на плановый период 2014 и 2015 годов: ФЗ РФ от 03.12.2012 №216 – ФЗ  [Электронный ресурс] - </w:t>
      </w:r>
      <w:hyperlink r:id="rId4">
        <w:r>
          <w:rPr>
            <w:rStyle w:val="style18"/>
            <w:rStyle w:val="style18"/>
            <w:rFonts w:ascii="Times New Roman" w:cs="Times New Roman" w:hAnsi="Times New Roman"/>
            <w:sz w:val="28"/>
            <w:szCs w:val="28"/>
          </w:rPr>
          <w:t>http://www.consultant.ru/</w:t>
        </w:r>
      </w:hyperlink>
      <w:r>
        <w:rPr>
          <w:rFonts w:ascii="Times New Roman" w:cs="Times New Roman" w:hAnsi="Times New Roman"/>
          <w:sz w:val="28"/>
          <w:szCs w:val="28"/>
        </w:rPr>
        <w:t>.,  Свободный. – Загл. с экрана. – (Дата обращения – 20.02.2016).</w:t>
      </w:r>
    </w:p>
    <w:p>
      <w:pPr>
        <w:pStyle w:val="style35"/>
        <w:numPr>
          <w:ilvl w:val="0"/>
          <w:numId w:val="3"/>
        </w:numPr>
        <w:spacing w:line="360" w:lineRule="auto"/>
        <w:ind w:firstLine="567" w:left="72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О федеральном бюджете на 2014 год и на плановый период 2015 и 2016 годов: ФЗ РФ от 01.12.2014 №384 – ФЗ  ФЗ  [Электронный ресурс] - </w:t>
      </w:r>
      <w:hyperlink r:id="rId5">
        <w:r>
          <w:rPr>
            <w:rStyle w:val="style18"/>
            <w:rStyle w:val="style18"/>
            <w:rFonts w:ascii="Times New Roman" w:cs="Times New Roman" w:hAnsi="Times New Roman"/>
            <w:sz w:val="28"/>
            <w:szCs w:val="28"/>
          </w:rPr>
          <w:t>http://www.consultant.ru/</w:t>
        </w:r>
      </w:hyperlink>
      <w:r>
        <w:rPr>
          <w:rFonts w:ascii="Times New Roman" w:cs="Times New Roman" w:hAnsi="Times New Roman"/>
          <w:sz w:val="28"/>
          <w:szCs w:val="28"/>
        </w:rPr>
        <w:t>.,  Свободный. – Загл. с экрана. – (Дата обращения – 20.02.2016).</w:t>
      </w:r>
    </w:p>
    <w:p>
      <w:pPr>
        <w:pStyle w:val="style35"/>
        <w:ind w:hanging="0" w:left="927" w:right="0"/>
      </w:pPr>
      <w:r>
        <w:rPr/>
      </w:r>
    </w:p>
    <w:p>
      <w:pPr>
        <w:pStyle w:val="style35"/>
        <w:ind w:hanging="0" w:left="927" w:right="0"/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>
      <w:pPr>
        <w:pStyle w:val="style35"/>
        <w:spacing w:line="360" w:lineRule="auto"/>
        <w:ind w:hanging="0" w:left="1494" w:right="0"/>
        <w:jc w:val="both"/>
      </w:pPr>
      <w:r>
        <w:rPr/>
      </w:r>
    </w:p>
    <w:p>
      <w:pPr>
        <w:pStyle w:val="style0"/>
        <w:spacing w:line="360" w:lineRule="auto"/>
        <w:ind w:firstLine="567" w:left="567" w:right="0"/>
        <w:jc w:val="both"/>
      </w:pPr>
      <w:r>
        <w:rPr/>
      </w:r>
    </w:p>
    <w:p>
      <w:pPr>
        <w:pStyle w:val="style0"/>
        <w:spacing w:after="160" w:before="0"/>
        <w:ind w:hanging="0" w:left="567" w:right="0"/>
      </w:pPr>
      <w:r>
        <w:rPr/>
      </w:r>
    </w:p>
    <w:sectPr>
      <w:footerReference r:id="rId6" w:type="default"/>
      <w:type w:val="nextPage"/>
      <w:pgSz w:h="16838" w:w="11906"/>
      <w:pgMar w:bottom="1134" w:footer="708" w:gutter="0" w:header="0" w:left="1701" w:right="567" w:top="1134"/>
      <w:pgNumType w:fmt="decimal"/>
      <w:formProt w:val="false"/>
      <w:textDirection w:val="lrTb"/>
      <w:docGrid w:charSpace="16384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Symbol">
    <w:charset w:val="02"/>
    <w:family w:val="auto"/>
    <w:pitch w:val="variable"/>
  </w:font>
  <w:font w:name="Courier New">
    <w:charset w:val="80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37"/>
      <w:jc w:val="center"/>
    </w:pPr>
    <w:r>
      <w:rPr/>
      <w:fldChar w:fldCharType="begin"/>
    </w:r>
    <w:r>
      <w:instrText> PAGE </w:instrText>
    </w:r>
    <w:r>
      <w:fldChar w:fldCharType="separate"/>
    </w:r>
    <w:r>
      <w:t>20</w:t>
    </w:r>
    <w:r>
      <w:fldChar w:fldCharType="end"/>
    </w:r>
  </w:p>
  <w:p>
    <w:pPr>
      <w:pStyle w:val="style37"/>
    </w:pPr>
    <w:r>
      <w:rPr/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ind w:hanging="360" w:left="927"/>
      </w:pPr>
    </w:lvl>
    <w:lvl w:ilvl="1">
      <w:start w:val="1"/>
      <w:numFmt w:val="lowerLetter"/>
      <w:lvlText w:val="%2."/>
      <w:lvlJc w:val="left"/>
      <w:pPr>
        <w:ind w:hanging="360" w:left="1647"/>
      </w:pPr>
    </w:lvl>
    <w:lvl w:ilvl="2">
      <w:start w:val="1"/>
      <w:numFmt w:val="lowerRoman"/>
      <w:lvlText w:val="%3."/>
      <w:lvlJc w:val="right"/>
      <w:pPr>
        <w:ind w:hanging="180" w:left="2367"/>
      </w:pPr>
    </w:lvl>
    <w:lvl w:ilvl="3">
      <w:start w:val="1"/>
      <w:numFmt w:val="decimal"/>
      <w:lvlText w:val="%4."/>
      <w:lvlJc w:val="left"/>
      <w:pPr>
        <w:ind w:hanging="360" w:left="3087"/>
      </w:pPr>
    </w:lvl>
    <w:lvl w:ilvl="4">
      <w:start w:val="1"/>
      <w:numFmt w:val="lowerLetter"/>
      <w:lvlText w:val="%5."/>
      <w:lvlJc w:val="left"/>
      <w:pPr>
        <w:ind w:hanging="360" w:left="3807"/>
      </w:pPr>
    </w:lvl>
    <w:lvl w:ilvl="5">
      <w:start w:val="1"/>
      <w:numFmt w:val="lowerRoman"/>
      <w:lvlText w:val="%6."/>
      <w:lvlJc w:val="right"/>
      <w:pPr>
        <w:ind w:hanging="180" w:left="4527"/>
      </w:pPr>
    </w:lvl>
    <w:lvl w:ilvl="6">
      <w:start w:val="1"/>
      <w:numFmt w:val="decimal"/>
      <w:lvlText w:val="%7."/>
      <w:lvlJc w:val="left"/>
      <w:pPr>
        <w:ind w:hanging="360" w:left="5247"/>
      </w:pPr>
    </w:lvl>
    <w:lvl w:ilvl="7">
      <w:start w:val="1"/>
      <w:numFmt w:val="lowerLetter"/>
      <w:lvlText w:val="%8."/>
      <w:lvlJc w:val="left"/>
      <w:pPr>
        <w:ind w:hanging="360" w:left="5967"/>
      </w:pPr>
    </w:lvl>
    <w:lvl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160" w:before="0" w:line="252" w:lineRule="auto"/>
    </w:pPr>
    <w:rPr>
      <w:rFonts w:ascii="Calibri" w:cs="Calibri" w:eastAsia="Droid Sans Fallback" w:hAnsi="Calibri"/>
      <w:color w:val="00000A"/>
      <w:sz w:val="22"/>
      <w:szCs w:val="22"/>
      <w:lang w:bidi="ar-SA" w:eastAsia="en-US" w:val="ru-RU"/>
    </w:rPr>
  </w:style>
  <w:style w:styleId="style3" w:type="paragraph">
    <w:name w:val="Заголовок 3"/>
    <w:basedOn w:val="style30"/>
    <w:next w:val="style31"/>
    <w:pPr>
      <w:numPr>
        <w:ilvl w:val="2"/>
        <w:numId w:val="1"/>
      </w:numPr>
      <w:outlineLvl w:val="2"/>
    </w:pPr>
    <w:rPr>
      <w:rFonts w:ascii="Liberation Serif" w:cs="Lohit Hindi" w:eastAsia="Droid Sans Fallback" w:hAnsi="Liberation Serif"/>
      <w:b/>
      <w:bCs/>
      <w:sz w:val="28"/>
      <w:szCs w:val="28"/>
    </w:rPr>
  </w:style>
  <w:style w:styleId="style15" w:type="character">
    <w:name w:val="Default Paragraph Font"/>
    <w:next w:val="style15"/>
    <w:rPr/>
  </w:style>
  <w:style w:styleId="style16" w:type="character">
    <w:name w:val="Верхний колонтитул Знак"/>
    <w:basedOn w:val="style15"/>
    <w:next w:val="style16"/>
    <w:rPr/>
  </w:style>
  <w:style w:styleId="style17" w:type="character">
    <w:name w:val="Нижний колонтитул Знак"/>
    <w:basedOn w:val="style15"/>
    <w:next w:val="style17"/>
    <w:rPr/>
  </w:style>
  <w:style w:styleId="style18" w:type="character">
    <w:name w:val="Интернет-ссылка"/>
    <w:basedOn w:val="style15"/>
    <w:next w:val="style18"/>
    <w:rPr>
      <w:color w:val="0563C1"/>
      <w:u w:val="single"/>
      <w:lang w:bidi="ru-RU" w:eastAsia="ru-RU" w:val="ru-RU"/>
    </w:rPr>
  </w:style>
  <w:style w:styleId="style19" w:type="character">
    <w:name w:val="Текст выноски Знак"/>
    <w:basedOn w:val="style15"/>
    <w:next w:val="style19"/>
    <w:rPr>
      <w:rFonts w:ascii="Segoe UI" w:cs="Segoe UI" w:hAnsi="Segoe UI"/>
      <w:sz w:val="18"/>
      <w:szCs w:val="18"/>
    </w:rPr>
  </w:style>
  <w:style w:styleId="style20" w:type="character">
    <w:name w:val="ListLabel 1"/>
    <w:next w:val="style20"/>
    <w:rPr>
      <w:rFonts w:cs="Courier New"/>
    </w:rPr>
  </w:style>
  <w:style w:styleId="style21" w:type="character">
    <w:name w:val="ListLabel 2"/>
    <w:next w:val="style21"/>
    <w:rPr>
      <w:rFonts w:cs="Symbol"/>
    </w:rPr>
  </w:style>
  <w:style w:styleId="style22" w:type="character">
    <w:name w:val="ListLabel 3"/>
    <w:next w:val="style22"/>
    <w:rPr>
      <w:rFonts w:cs="Courier New"/>
    </w:rPr>
  </w:style>
  <w:style w:styleId="style23" w:type="character">
    <w:name w:val="ListLabel 4"/>
    <w:next w:val="style23"/>
    <w:rPr>
      <w:rFonts w:cs="Wingdings"/>
    </w:rPr>
  </w:style>
  <w:style w:styleId="style24" w:type="character">
    <w:name w:val="ListLabel 5"/>
    <w:next w:val="style24"/>
    <w:rPr>
      <w:rFonts w:cs="Symbol"/>
    </w:rPr>
  </w:style>
  <w:style w:styleId="style25" w:type="character">
    <w:name w:val="ListLabel 6"/>
    <w:next w:val="style25"/>
    <w:rPr>
      <w:rFonts w:cs="Courier New"/>
    </w:rPr>
  </w:style>
  <w:style w:styleId="style26" w:type="character">
    <w:name w:val="ListLabel 7"/>
    <w:next w:val="style26"/>
    <w:rPr>
      <w:rFonts w:cs="Wingdings"/>
    </w:rPr>
  </w:style>
  <w:style w:styleId="style27" w:type="character">
    <w:name w:val="ListLabel 8"/>
    <w:next w:val="style27"/>
    <w:rPr>
      <w:rFonts w:cs="Symbol"/>
    </w:rPr>
  </w:style>
  <w:style w:styleId="style28" w:type="character">
    <w:name w:val="ListLabel 9"/>
    <w:next w:val="style28"/>
    <w:rPr>
      <w:rFonts w:cs="Courier New"/>
    </w:rPr>
  </w:style>
  <w:style w:styleId="style29" w:type="character">
    <w:name w:val="ListLabel 10"/>
    <w:next w:val="style29"/>
    <w:rPr>
      <w:rFonts w:cs="Wingdings"/>
    </w:rPr>
  </w:style>
  <w:style w:styleId="style30" w:type="paragraph">
    <w:name w:val="Заголовок"/>
    <w:basedOn w:val="style0"/>
    <w:next w:val="style31"/>
    <w:pPr>
      <w:keepNext/>
      <w:spacing w:after="120" w:before="240"/>
    </w:pPr>
    <w:rPr>
      <w:rFonts w:ascii="Liberation Sans" w:cs="Lohit Hindi" w:eastAsia="Droid Sans Fallback" w:hAnsi="Liberation Sans"/>
      <w:sz w:val="28"/>
      <w:szCs w:val="28"/>
    </w:rPr>
  </w:style>
  <w:style w:styleId="style31" w:type="paragraph">
    <w:name w:val="Основной текст"/>
    <w:basedOn w:val="style0"/>
    <w:next w:val="style31"/>
    <w:pPr>
      <w:spacing w:after="120" w:before="0"/>
    </w:pPr>
    <w:rPr/>
  </w:style>
  <w:style w:styleId="style32" w:type="paragraph">
    <w:name w:val="Список"/>
    <w:basedOn w:val="style31"/>
    <w:next w:val="style32"/>
    <w:pPr/>
    <w:rPr>
      <w:rFonts w:cs="Lohit Hindi"/>
    </w:rPr>
  </w:style>
  <w:style w:styleId="style33" w:type="paragraph">
    <w:name w:val="Название"/>
    <w:basedOn w:val="style0"/>
    <w:next w:val="style33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34" w:type="paragraph">
    <w:name w:val="Указатель"/>
    <w:basedOn w:val="style0"/>
    <w:next w:val="style34"/>
    <w:pPr>
      <w:suppressLineNumbers/>
    </w:pPr>
    <w:rPr>
      <w:rFonts w:cs="Lohit Hindi"/>
    </w:rPr>
  </w:style>
  <w:style w:styleId="style35" w:type="paragraph">
    <w:name w:val="List Paragraph"/>
    <w:basedOn w:val="style0"/>
    <w:next w:val="style35"/>
    <w:pPr>
      <w:ind w:hanging="0" w:left="720" w:right="0"/>
    </w:pPr>
    <w:rPr/>
  </w:style>
  <w:style w:styleId="style36" w:type="paragraph">
    <w:name w:val="Верхний колонтитул"/>
    <w:basedOn w:val="style0"/>
    <w:next w:val="style36"/>
    <w:pPr>
      <w:suppressLineNumbers/>
      <w:tabs>
        <w:tab w:leader="none" w:pos="4677" w:val="center"/>
        <w:tab w:leader="none" w:pos="9355" w:val="right"/>
      </w:tabs>
      <w:spacing w:after="0" w:before="0" w:line="100" w:lineRule="atLeast"/>
    </w:pPr>
    <w:rPr/>
  </w:style>
  <w:style w:styleId="style37" w:type="paragraph">
    <w:name w:val="Нижний колонтитул"/>
    <w:basedOn w:val="style0"/>
    <w:next w:val="style37"/>
    <w:pPr>
      <w:suppressLineNumbers/>
      <w:tabs>
        <w:tab w:leader="none" w:pos="4677" w:val="center"/>
        <w:tab w:leader="none" w:pos="9355" w:val="right"/>
      </w:tabs>
      <w:spacing w:after="0" w:before="0" w:line="100" w:lineRule="atLeast"/>
    </w:pPr>
    <w:rPr/>
  </w:style>
  <w:style w:styleId="style38" w:type="paragraph">
    <w:name w:val="Balloon Text"/>
    <w:basedOn w:val="style0"/>
    <w:next w:val="style38"/>
    <w:pPr>
      <w:spacing w:after="0" w:before="0" w:line="100" w:lineRule="atLeast"/>
    </w:pPr>
    <w:rPr>
      <w:rFonts w:ascii="Segoe UI" w:cs="Segoe UI" w:hAnsi="Segoe UI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onsultant.ru/" TargetMode="External"/><Relationship Id="rId3" Type="http://schemas.openxmlformats.org/officeDocument/2006/relationships/hyperlink" Target="http://www.consultant.ru/" TargetMode="External"/><Relationship Id="rId4" Type="http://schemas.openxmlformats.org/officeDocument/2006/relationships/hyperlink" Target="http://www.consultant.ru/" TargetMode="External"/><Relationship Id="rId5" Type="http://schemas.openxmlformats.org/officeDocument/2006/relationships/hyperlink" Target="http://www.consultant.ru/" TargetMode="Externa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2016-01-24T14:32:00.00Z</dcterms:created>
  <dc:creator>XTreme.ws</dc:creator>
  <cp:lastModifiedBy>Sahar</cp:lastModifiedBy>
  <cp:lastPrinted>2016-01-25T06:15:00.00Z</cp:lastPrinted>
  <dcterms:modified xsi:type="dcterms:W3CDTF">2016-02-28T16:02:00.00Z</dcterms:modified>
  <cp:revision>53</cp:revision>
</cp:coreProperties>
</file>