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45"/>
        <w:ind w:left="4376" w:right="3667"/>
        <w:jc w:val="center"/>
      </w:pPr>
      <w:r>
        <w:rPr/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9448" w:val="right" w:leader="dot"/>
            </w:tabs>
            <w:spacing w:before="645"/>
          </w:pPr>
          <w:r>
            <w:fldChar w:fldCharType="begin"/>
          </w:r>
          <w:r>
            <w:instrText>TOC \o "1-1" \h \z \u </w:instrText>
          </w:r>
          <w:r>
            <w:fldChar w:fldCharType="separate"/>
          </w:r>
          <w:hyperlink w:history="true" w:anchor="_TOC_250002">
            <w:r>
              <w:rPr/>
              <w:t>Задание</w:t>
            </w:r>
            <w:r>
              <w:rPr>
                <w:spacing w:val="-1"/>
              </w:rPr>
              <w:t> </w:t>
            </w:r>
            <w:r>
              <w:rPr/>
              <w:t>1</w:t>
              <w:tab/>
              <w:t>3</w:t>
            </w:r>
          </w:hyperlink>
        </w:p>
        <w:p>
          <w:pPr>
            <w:pStyle w:val="TOC1"/>
            <w:tabs>
              <w:tab w:pos="9448" w:val="right" w:leader="dot"/>
            </w:tabs>
          </w:pPr>
          <w:hyperlink w:history="true" w:anchor="_TOC_250001">
            <w:r>
              <w:rPr/>
              <w:t>Задание</w:t>
            </w:r>
            <w:r>
              <w:rPr>
                <w:spacing w:val="-1"/>
              </w:rPr>
              <w:t> </w:t>
            </w:r>
            <w:r>
              <w:rPr/>
              <w:t>2</w:t>
              <w:tab/>
              <w:t>5</w:t>
            </w:r>
          </w:hyperlink>
        </w:p>
        <w:p>
          <w:pPr>
            <w:pStyle w:val="TOC1"/>
            <w:tabs>
              <w:tab w:pos="9449" w:val="right" w:leader="dot"/>
            </w:tabs>
          </w:pPr>
          <w:hyperlink w:history="true" w:anchor="_TOC_250000">
            <w:r>
              <w:rPr/>
              <w:t>Список</w:t>
            </w:r>
            <w:r>
              <w:rPr>
                <w:spacing w:val="-4"/>
              </w:rPr>
              <w:t> </w:t>
            </w:r>
            <w:r>
              <w:rPr/>
              <w:t>использованной</w:t>
            </w:r>
            <w:r>
              <w:rPr>
                <w:spacing w:val="-2"/>
              </w:rPr>
              <w:t> </w:t>
            </w:r>
            <w:r>
              <w:rPr/>
              <w:t>литературы</w:t>
              <w:tab/>
              <w:t>7</w:t>
            </w:r>
          </w:hyperlink>
        </w:p>
        <w:p>
          <w:pPr/>
          <w:r>
            <w:fldChar w:fldCharType="end"/>
          </w:r>
        </w:p>
      </w:sdtContent>
    </w:sdt>
    <w:p>
      <w:pPr>
        <w:spacing w:after="0"/>
        <w:sectPr>
          <w:footerReference w:type="default" r:id="rId5"/>
          <w:type w:val="continuous"/>
          <w:pgSz w:w="11900" w:h="16840"/>
          <w:pgMar w:footer="621" w:top="1080" w:bottom="820" w:left="1600" w:right="740"/>
          <w:pgNumType w:start="2"/>
        </w:sectPr>
      </w:pPr>
    </w:p>
    <w:p>
      <w:pPr>
        <w:pStyle w:val="Heading1"/>
        <w:ind w:left="929" w:right="1580"/>
      </w:pPr>
      <w:bookmarkStart w:name="_TOC_250002" w:id="1"/>
      <w:bookmarkEnd w:id="1"/>
      <w:r>
        <w:rPr/>
        <w:t>Задание 1</w:t>
      </w:r>
    </w:p>
    <w:p>
      <w:pPr>
        <w:pStyle w:val="BodyText"/>
        <w:spacing w:line="336" w:lineRule="auto" w:before="155"/>
        <w:ind w:left="941" w:right="1580" w:hanging="12"/>
      </w:pPr>
      <w:r>
        <w:rPr/>
        <w:t>На основании приведенных в Таблице 1 данных определите: а) сальдо текущего баланса;</w:t>
      </w:r>
    </w:p>
    <w:p>
      <w:pPr>
        <w:pStyle w:val="BodyText"/>
        <w:spacing w:line="336" w:lineRule="auto" w:before="2"/>
        <w:ind w:left="941" w:right="4276"/>
      </w:pPr>
      <w:r>
        <w:rPr/>
        <w:t>б) сальдо баланса движения капитала; в) сальдо платежного баланса;</w:t>
      </w:r>
    </w:p>
    <w:p>
      <w:pPr>
        <w:pStyle w:val="BodyText"/>
        <w:ind w:left="929"/>
      </w:pPr>
      <w:r>
        <w:rPr/>
        <w:t>г) изменение официальных золотовалютных резервов страны.</w:t>
      </w:r>
    </w:p>
    <w:p>
      <w:pPr>
        <w:pStyle w:val="BodyText"/>
        <w:spacing w:line="336" w:lineRule="auto" w:before="129" w:after="12"/>
        <w:ind w:left="221" w:firstLine="708"/>
      </w:pPr>
      <w:r>
        <w:rPr/>
        <w:t>Таблица 1 – Исходные данные для определения сальдо платежного ба- ланса (в млн. ден. единиц)</w:t>
      </w: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69"/>
        <w:gridCol w:w="1502"/>
      </w:tblGrid>
      <w:tr>
        <w:trPr>
          <w:trHeight w:val="696" w:hRule="exact"/>
        </w:trPr>
        <w:tc>
          <w:tcPr>
            <w:tcW w:w="8069" w:type="dxa"/>
          </w:tcPr>
          <w:p>
            <w:pPr>
              <w:pStyle w:val="TableParagraph"/>
              <w:spacing w:before="3"/>
              <w:jc w:val="left"/>
              <w:rPr>
                <w:sz w:val="33"/>
              </w:rPr>
            </w:pPr>
          </w:p>
          <w:p>
            <w:pPr>
              <w:pStyle w:val="TableParagraph"/>
              <w:ind w:left="19"/>
              <w:jc w:val="left"/>
              <w:rPr>
                <w:sz w:val="24"/>
              </w:rPr>
            </w:pPr>
            <w:r>
              <w:rPr>
                <w:sz w:val="24"/>
              </w:rPr>
              <w:t>Статьи платежного баланса</w:t>
            </w:r>
          </w:p>
        </w:tc>
        <w:tc>
          <w:tcPr>
            <w:tcW w:w="1502" w:type="dxa"/>
          </w:tcPr>
          <w:p>
            <w:pPr>
              <w:pStyle w:val="TableParagraph"/>
              <w:spacing w:before="14"/>
              <w:ind w:left="242" w:right="35" w:hanging="226"/>
              <w:jc w:val="left"/>
              <w:rPr>
                <w:sz w:val="28"/>
              </w:rPr>
            </w:pPr>
            <w:r>
              <w:rPr>
                <w:spacing w:val="-7"/>
                <w:sz w:val="28"/>
              </w:rPr>
              <w:t>Номер </w:t>
            </w:r>
            <w:r>
              <w:rPr>
                <w:spacing w:val="-6"/>
                <w:sz w:val="28"/>
              </w:rPr>
              <w:t>вари- анта </w:t>
            </w:r>
            <w:r>
              <w:rPr>
                <w:sz w:val="28"/>
              </w:rPr>
              <w:t>- </w:t>
            </w:r>
            <w:r>
              <w:rPr>
                <w:spacing w:val="-3"/>
                <w:sz w:val="28"/>
              </w:rPr>
              <w:t>10</w:t>
            </w:r>
          </w:p>
        </w:tc>
      </w:tr>
      <w:tr>
        <w:trPr>
          <w:trHeight w:val="324" w:hRule="exact"/>
        </w:trPr>
        <w:tc>
          <w:tcPr>
            <w:tcW w:w="8069" w:type="dxa"/>
          </w:tcPr>
          <w:p>
            <w:pPr>
              <w:pStyle w:val="TableParagraph"/>
              <w:spacing w:before="13"/>
              <w:ind w:left="19"/>
              <w:jc w:val="left"/>
              <w:rPr>
                <w:sz w:val="24"/>
              </w:rPr>
            </w:pPr>
            <w:r>
              <w:rPr>
                <w:sz w:val="24"/>
              </w:rPr>
              <w:t>Товарный экспорт</w:t>
            </w:r>
          </w:p>
        </w:tc>
        <w:tc>
          <w:tcPr>
            <w:tcW w:w="1502" w:type="dxa"/>
          </w:tcPr>
          <w:p>
            <w:pPr>
              <w:pStyle w:val="TableParagraph"/>
              <w:spacing w:before="13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141,92</w:t>
            </w:r>
          </w:p>
        </w:tc>
      </w:tr>
      <w:tr>
        <w:trPr>
          <w:trHeight w:val="326" w:hRule="exact"/>
        </w:trPr>
        <w:tc>
          <w:tcPr>
            <w:tcW w:w="8069" w:type="dxa"/>
          </w:tcPr>
          <w:p>
            <w:pPr>
              <w:pStyle w:val="TableParagraph"/>
              <w:spacing w:before="16"/>
              <w:ind w:left="19"/>
              <w:jc w:val="left"/>
              <w:rPr>
                <w:sz w:val="24"/>
              </w:rPr>
            </w:pPr>
            <w:r>
              <w:rPr>
                <w:sz w:val="24"/>
              </w:rPr>
              <w:t>Баланс оплаты труда</w:t>
            </w:r>
          </w:p>
        </w:tc>
        <w:tc>
          <w:tcPr>
            <w:tcW w:w="1502" w:type="dxa"/>
          </w:tcPr>
          <w:p>
            <w:pPr>
              <w:pStyle w:val="TableParagraph"/>
              <w:spacing w:before="16"/>
              <w:ind w:right="518"/>
              <w:jc w:val="right"/>
              <w:rPr>
                <w:sz w:val="24"/>
              </w:rPr>
            </w:pPr>
            <w:r>
              <w:rPr>
                <w:sz w:val="24"/>
              </w:rPr>
              <w:t>-2,43</w:t>
            </w:r>
          </w:p>
        </w:tc>
      </w:tr>
      <w:tr>
        <w:trPr>
          <w:trHeight w:val="326" w:hRule="exact"/>
        </w:trPr>
        <w:tc>
          <w:tcPr>
            <w:tcW w:w="8069" w:type="dxa"/>
          </w:tcPr>
          <w:p>
            <w:pPr>
              <w:pStyle w:val="TableParagraph"/>
              <w:spacing w:before="13"/>
              <w:ind w:left="19"/>
              <w:jc w:val="left"/>
              <w:rPr>
                <w:sz w:val="24"/>
              </w:rPr>
            </w:pPr>
            <w:r>
              <w:rPr>
                <w:sz w:val="24"/>
              </w:rPr>
              <w:t>Товарный импорт</w:t>
            </w:r>
          </w:p>
        </w:tc>
        <w:tc>
          <w:tcPr>
            <w:tcW w:w="1502" w:type="dxa"/>
          </w:tcPr>
          <w:p>
            <w:pPr>
              <w:pStyle w:val="TableParagraph"/>
              <w:spacing w:before="13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88,41</w:t>
            </w:r>
          </w:p>
        </w:tc>
      </w:tr>
      <w:tr>
        <w:trPr>
          <w:trHeight w:val="326" w:hRule="exact"/>
        </w:trPr>
        <w:tc>
          <w:tcPr>
            <w:tcW w:w="8069" w:type="dxa"/>
          </w:tcPr>
          <w:p>
            <w:pPr>
              <w:pStyle w:val="TableParagraph"/>
              <w:spacing w:before="13"/>
              <w:ind w:left="19"/>
              <w:jc w:val="left"/>
              <w:rPr>
                <w:sz w:val="24"/>
              </w:rPr>
            </w:pPr>
            <w:r>
              <w:rPr>
                <w:sz w:val="24"/>
              </w:rPr>
              <w:t>Выплаты доходов на иностранные инвестиции</w:t>
            </w:r>
          </w:p>
        </w:tc>
        <w:tc>
          <w:tcPr>
            <w:tcW w:w="1502" w:type="dxa"/>
          </w:tcPr>
          <w:p>
            <w:pPr>
              <w:pStyle w:val="TableParagraph"/>
              <w:spacing w:before="13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21,77</w:t>
            </w:r>
          </w:p>
        </w:tc>
      </w:tr>
      <w:tr>
        <w:trPr>
          <w:trHeight w:val="326" w:hRule="exact"/>
        </w:trPr>
        <w:tc>
          <w:tcPr>
            <w:tcW w:w="8069" w:type="dxa"/>
          </w:tcPr>
          <w:p>
            <w:pPr>
              <w:pStyle w:val="TableParagraph"/>
              <w:spacing w:before="13"/>
              <w:ind w:left="19"/>
              <w:jc w:val="left"/>
              <w:rPr>
                <w:sz w:val="24"/>
              </w:rPr>
            </w:pPr>
            <w:r>
              <w:rPr>
                <w:sz w:val="24"/>
              </w:rPr>
              <w:t>Расходы резидентов на зарубежный туризм</w:t>
            </w:r>
          </w:p>
        </w:tc>
        <w:tc>
          <w:tcPr>
            <w:tcW w:w="1502" w:type="dxa"/>
          </w:tcPr>
          <w:p>
            <w:pPr>
              <w:pStyle w:val="TableParagraph"/>
              <w:spacing w:before="13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24,55</w:t>
            </w:r>
          </w:p>
        </w:tc>
      </w:tr>
      <w:tr>
        <w:trPr>
          <w:trHeight w:val="326" w:hRule="exact"/>
        </w:trPr>
        <w:tc>
          <w:tcPr>
            <w:tcW w:w="8069" w:type="dxa"/>
          </w:tcPr>
          <w:p>
            <w:pPr>
              <w:pStyle w:val="TableParagraph"/>
              <w:spacing w:before="13"/>
              <w:ind w:left="19"/>
              <w:jc w:val="left"/>
              <w:rPr>
                <w:sz w:val="24"/>
              </w:rPr>
            </w:pPr>
            <w:r>
              <w:rPr>
                <w:sz w:val="24"/>
              </w:rPr>
              <w:t>Доходы страны от зарубежного туризма</w:t>
            </w:r>
          </w:p>
        </w:tc>
        <w:tc>
          <w:tcPr>
            <w:tcW w:w="1502" w:type="dxa"/>
          </w:tcPr>
          <w:p>
            <w:pPr>
              <w:pStyle w:val="TableParagraph"/>
              <w:spacing w:before="13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15,17</w:t>
            </w:r>
          </w:p>
        </w:tc>
      </w:tr>
      <w:tr>
        <w:trPr>
          <w:trHeight w:val="324" w:hRule="exact"/>
        </w:trPr>
        <w:tc>
          <w:tcPr>
            <w:tcW w:w="8069" w:type="dxa"/>
          </w:tcPr>
          <w:p>
            <w:pPr>
              <w:pStyle w:val="TableParagraph"/>
              <w:spacing w:before="13"/>
              <w:ind w:left="19"/>
              <w:jc w:val="left"/>
              <w:rPr>
                <w:sz w:val="24"/>
              </w:rPr>
            </w:pPr>
            <w:r>
              <w:rPr>
                <w:sz w:val="24"/>
              </w:rPr>
              <w:t>Чистые текущие трансферты</w:t>
            </w:r>
          </w:p>
        </w:tc>
        <w:tc>
          <w:tcPr>
            <w:tcW w:w="1502" w:type="dxa"/>
          </w:tcPr>
          <w:p>
            <w:pPr>
              <w:pStyle w:val="TableParagraph"/>
              <w:spacing w:before="13"/>
              <w:ind w:right="518"/>
              <w:jc w:val="right"/>
              <w:rPr>
                <w:sz w:val="24"/>
              </w:rPr>
            </w:pPr>
            <w:r>
              <w:rPr>
                <w:sz w:val="24"/>
              </w:rPr>
              <w:t>-1,36</w:t>
            </w:r>
          </w:p>
        </w:tc>
      </w:tr>
      <w:tr>
        <w:trPr>
          <w:trHeight w:val="326" w:hRule="exact"/>
        </w:trPr>
        <w:tc>
          <w:tcPr>
            <w:tcW w:w="8069" w:type="dxa"/>
          </w:tcPr>
          <w:p>
            <w:pPr>
              <w:pStyle w:val="TableParagraph"/>
              <w:spacing w:before="16"/>
              <w:ind w:left="19"/>
              <w:jc w:val="left"/>
              <w:rPr>
                <w:sz w:val="24"/>
              </w:rPr>
            </w:pPr>
            <w:r>
              <w:rPr>
                <w:sz w:val="24"/>
              </w:rPr>
              <w:t>Отток капитала из страны</w:t>
            </w:r>
          </w:p>
        </w:tc>
        <w:tc>
          <w:tcPr>
            <w:tcW w:w="1502" w:type="dxa"/>
          </w:tcPr>
          <w:p>
            <w:pPr>
              <w:pStyle w:val="TableParagraph"/>
              <w:spacing w:before="16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26,03</w:t>
            </w:r>
          </w:p>
        </w:tc>
      </w:tr>
      <w:tr>
        <w:trPr>
          <w:trHeight w:val="326" w:hRule="exact"/>
        </w:trPr>
        <w:tc>
          <w:tcPr>
            <w:tcW w:w="8069" w:type="dxa"/>
          </w:tcPr>
          <w:p>
            <w:pPr>
              <w:pStyle w:val="TableParagraph"/>
              <w:spacing w:before="13"/>
              <w:ind w:left="19"/>
              <w:jc w:val="left"/>
              <w:rPr>
                <w:sz w:val="24"/>
              </w:rPr>
            </w:pPr>
            <w:r>
              <w:rPr>
                <w:sz w:val="24"/>
              </w:rPr>
              <w:t>Погашение резидентами ценных бумаг, приобретенных нерезидентами</w:t>
            </w:r>
          </w:p>
        </w:tc>
        <w:tc>
          <w:tcPr>
            <w:tcW w:w="1502" w:type="dxa"/>
          </w:tcPr>
          <w:p>
            <w:pPr>
              <w:pStyle w:val="TableParagraph"/>
              <w:spacing w:before="13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52,91</w:t>
            </w:r>
          </w:p>
        </w:tc>
      </w:tr>
      <w:tr>
        <w:trPr>
          <w:trHeight w:val="326" w:hRule="exact"/>
        </w:trPr>
        <w:tc>
          <w:tcPr>
            <w:tcW w:w="8069" w:type="dxa"/>
          </w:tcPr>
          <w:p>
            <w:pPr>
              <w:pStyle w:val="TableParagraph"/>
              <w:spacing w:before="13"/>
              <w:ind w:left="19"/>
              <w:jc w:val="left"/>
              <w:rPr>
                <w:sz w:val="24"/>
              </w:rPr>
            </w:pPr>
            <w:r>
              <w:rPr>
                <w:sz w:val="24"/>
              </w:rPr>
              <w:t>Участие нерезидентов в капитале российских предприятий</w:t>
            </w:r>
          </w:p>
        </w:tc>
        <w:tc>
          <w:tcPr>
            <w:tcW w:w="1502" w:type="dxa"/>
          </w:tcPr>
          <w:p>
            <w:pPr>
              <w:pStyle w:val="TableParagraph"/>
              <w:spacing w:before="13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20,52</w:t>
            </w:r>
          </w:p>
        </w:tc>
      </w:tr>
      <w:tr>
        <w:trPr>
          <w:trHeight w:val="326" w:hRule="exact"/>
        </w:trPr>
        <w:tc>
          <w:tcPr>
            <w:tcW w:w="8069" w:type="dxa"/>
          </w:tcPr>
          <w:p>
            <w:pPr>
              <w:pStyle w:val="TableParagraph"/>
              <w:spacing w:before="13"/>
              <w:ind w:left="19"/>
              <w:jc w:val="left"/>
              <w:rPr>
                <w:sz w:val="24"/>
              </w:rPr>
            </w:pPr>
            <w:r>
              <w:rPr>
                <w:sz w:val="24"/>
              </w:rPr>
              <w:t>Продажа запатентованных способов производства</w:t>
            </w:r>
          </w:p>
        </w:tc>
        <w:tc>
          <w:tcPr>
            <w:tcW w:w="1502" w:type="dxa"/>
          </w:tcPr>
          <w:p>
            <w:pPr>
              <w:pStyle w:val="TableParagraph"/>
              <w:spacing w:before="13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26,06</w:t>
            </w:r>
          </w:p>
        </w:tc>
      </w:tr>
      <w:tr>
        <w:trPr>
          <w:trHeight w:val="324" w:hRule="exact"/>
        </w:trPr>
        <w:tc>
          <w:tcPr>
            <w:tcW w:w="8069" w:type="dxa"/>
          </w:tcPr>
          <w:p>
            <w:pPr>
              <w:pStyle w:val="TableParagraph"/>
              <w:spacing w:before="13"/>
              <w:ind w:left="19"/>
              <w:jc w:val="left"/>
              <w:rPr>
                <w:sz w:val="24"/>
              </w:rPr>
            </w:pPr>
            <w:r>
              <w:rPr>
                <w:sz w:val="24"/>
              </w:rPr>
              <w:t>Пропуски и ошибки</w:t>
            </w:r>
          </w:p>
        </w:tc>
        <w:tc>
          <w:tcPr>
            <w:tcW w:w="1502" w:type="dxa"/>
          </w:tcPr>
          <w:p>
            <w:pPr>
              <w:pStyle w:val="TableParagraph"/>
              <w:spacing w:before="13"/>
              <w:ind w:right="518"/>
              <w:jc w:val="right"/>
              <w:rPr>
                <w:sz w:val="24"/>
              </w:rPr>
            </w:pPr>
            <w:r>
              <w:rPr>
                <w:sz w:val="24"/>
              </w:rPr>
              <w:t>-3,34</w:t>
            </w:r>
          </w:p>
        </w:tc>
      </w:tr>
      <w:tr>
        <w:trPr>
          <w:trHeight w:val="326" w:hRule="exact"/>
        </w:trPr>
        <w:tc>
          <w:tcPr>
            <w:tcW w:w="8069" w:type="dxa"/>
          </w:tcPr>
          <w:p>
            <w:pPr>
              <w:pStyle w:val="TableParagraph"/>
              <w:spacing w:before="16"/>
              <w:ind w:left="19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Полученные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проценты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депозитам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6"/>
                <w:sz w:val="24"/>
              </w:rPr>
              <w:t>ценным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бумагам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6"/>
                <w:sz w:val="24"/>
              </w:rPr>
              <w:t>сектора</w:t>
            </w:r>
          </w:p>
        </w:tc>
        <w:tc>
          <w:tcPr>
            <w:tcW w:w="1502" w:type="dxa"/>
          </w:tcPr>
          <w:p>
            <w:pPr>
              <w:pStyle w:val="TableParagraph"/>
              <w:spacing w:before="16"/>
              <w:ind w:right="557"/>
              <w:jc w:val="right"/>
              <w:rPr>
                <w:sz w:val="24"/>
              </w:rPr>
            </w:pPr>
            <w:r>
              <w:rPr>
                <w:sz w:val="24"/>
              </w:rPr>
              <w:t>8,56</w:t>
            </w:r>
          </w:p>
        </w:tc>
      </w:tr>
    </w:tbl>
    <w:p>
      <w:pPr>
        <w:pStyle w:val="BodyText"/>
        <w:spacing w:before="2"/>
        <w:ind w:left="0"/>
        <w:rPr>
          <w:sz w:val="9"/>
        </w:rPr>
      </w:pPr>
    </w:p>
    <w:p>
      <w:pPr>
        <w:spacing w:before="65"/>
        <w:ind w:left="1061" w:right="1580" w:firstLine="0"/>
        <w:jc w:val="left"/>
        <w:rPr>
          <w:b/>
          <w:sz w:val="28"/>
        </w:rPr>
      </w:pPr>
      <w:r>
        <w:rPr>
          <w:b/>
          <w:sz w:val="28"/>
        </w:rPr>
        <w:t>Решение:</w:t>
      </w:r>
    </w:p>
    <w:p>
      <w:pPr>
        <w:pStyle w:val="BodyText"/>
        <w:spacing w:before="43"/>
        <w:ind w:left="1061" w:right="1580"/>
      </w:pPr>
      <w:r>
        <w:rPr/>
        <w:t>Рассчитаем сальдо платежного баланса:</w:t>
      </w:r>
    </w:p>
    <w:p>
      <w:pPr>
        <w:spacing w:after="0"/>
        <w:sectPr>
          <w:pgSz w:w="11900" w:h="16840"/>
          <w:pgMar w:header="0" w:footer="621" w:top="1080" w:bottom="820" w:left="1480" w:right="620"/>
        </w:sectPr>
      </w:pPr>
    </w:p>
    <w:p>
      <w:pPr>
        <w:pStyle w:val="BodyText"/>
        <w:spacing w:before="44"/>
        <w:ind w:left="0" w:right="219"/>
        <w:jc w:val="right"/>
      </w:pPr>
      <w:r>
        <w:rPr/>
        <w:t>Таблица 1</w:t>
      </w:r>
    </w:p>
    <w:p>
      <w:pPr>
        <w:pStyle w:val="BodyText"/>
        <w:spacing w:before="1" w:after="1"/>
        <w:ind w:left="0"/>
        <w:rPr>
          <w:sz w:val="29"/>
        </w:r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51"/>
        <w:gridCol w:w="216"/>
        <w:gridCol w:w="5004"/>
      </w:tblGrid>
      <w:tr>
        <w:trPr>
          <w:trHeight w:val="331" w:hRule="exact"/>
        </w:trPr>
        <w:tc>
          <w:tcPr>
            <w:tcW w:w="4567" w:type="dxa"/>
            <w:gridSpan w:val="2"/>
          </w:tcPr>
          <w:p>
            <w:pPr>
              <w:pStyle w:val="TableParagraph"/>
              <w:spacing w:line="320" w:lineRule="exact"/>
              <w:ind w:left="1490" w:right="1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КРЕДИТ (+)</w:t>
            </w:r>
          </w:p>
        </w:tc>
        <w:tc>
          <w:tcPr>
            <w:tcW w:w="5004" w:type="dxa"/>
          </w:tcPr>
          <w:p>
            <w:pPr>
              <w:pStyle w:val="TableParagraph"/>
              <w:spacing w:line="320" w:lineRule="exact"/>
              <w:ind w:left="1023" w:right="1023"/>
              <w:rPr>
                <w:b/>
                <w:sz w:val="28"/>
              </w:rPr>
            </w:pPr>
            <w:r>
              <w:rPr>
                <w:b/>
                <w:sz w:val="28"/>
              </w:rPr>
              <w:t>ДЕБЕТ (-)</w:t>
            </w:r>
          </w:p>
        </w:tc>
      </w:tr>
      <w:tr>
        <w:trPr>
          <w:trHeight w:val="331" w:hRule="exact"/>
        </w:trPr>
        <w:tc>
          <w:tcPr>
            <w:tcW w:w="9571" w:type="dxa"/>
            <w:gridSpan w:val="3"/>
          </w:tcPr>
          <w:p>
            <w:pPr>
              <w:pStyle w:val="TableParagraph"/>
              <w:spacing w:line="320" w:lineRule="exact"/>
              <w:ind w:left="3105" w:right="14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1. Счет текущих операций</w:t>
            </w:r>
          </w:p>
        </w:tc>
      </w:tr>
      <w:tr>
        <w:trPr>
          <w:trHeight w:val="334" w:hRule="exact"/>
        </w:trPr>
        <w:tc>
          <w:tcPr>
            <w:tcW w:w="4567" w:type="dxa"/>
            <w:gridSpan w:val="2"/>
          </w:tcPr>
          <w:p>
            <w:pPr>
              <w:pStyle w:val="TableParagraph"/>
              <w:spacing w:line="317" w:lineRule="exact"/>
              <w:ind w:left="724" w:right="113"/>
              <w:jc w:val="left"/>
              <w:rPr>
                <w:sz w:val="28"/>
              </w:rPr>
            </w:pPr>
            <w:r>
              <w:rPr>
                <w:sz w:val="28"/>
              </w:rPr>
              <w:t>Товарный экспорт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141,92</w:t>
            </w:r>
          </w:p>
        </w:tc>
        <w:tc>
          <w:tcPr>
            <w:tcW w:w="5004" w:type="dxa"/>
          </w:tcPr>
          <w:p>
            <w:pPr>
              <w:pStyle w:val="TableParagraph"/>
              <w:spacing w:line="317" w:lineRule="exact"/>
              <w:ind w:left="1023" w:right="1023"/>
              <w:rPr>
                <w:sz w:val="28"/>
              </w:rPr>
            </w:pPr>
            <w:r>
              <w:rPr>
                <w:sz w:val="28"/>
              </w:rPr>
              <w:t>Товарный импорт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88,41</w:t>
            </w:r>
          </w:p>
        </w:tc>
      </w:tr>
      <w:tr>
        <w:trPr>
          <w:trHeight w:val="331" w:hRule="exact"/>
        </w:trPr>
        <w:tc>
          <w:tcPr>
            <w:tcW w:w="9571" w:type="dxa"/>
            <w:gridSpan w:val="3"/>
          </w:tcPr>
          <w:p>
            <w:pPr>
              <w:pStyle w:val="TableParagraph"/>
              <w:spacing w:line="320" w:lineRule="exact"/>
              <w:ind w:left="1775" w:right="14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Сальдо торгового баланса 141,92 – 88,41 = 53,51</w:t>
            </w:r>
          </w:p>
        </w:tc>
      </w:tr>
      <w:tr>
        <w:trPr>
          <w:trHeight w:val="655" w:hRule="exact"/>
        </w:trPr>
        <w:tc>
          <w:tcPr>
            <w:tcW w:w="4567" w:type="dxa"/>
            <w:gridSpan w:val="2"/>
          </w:tcPr>
          <w:p>
            <w:pPr>
              <w:pStyle w:val="TableParagraph"/>
              <w:ind w:left="1473" w:right="113" w:hanging="1347"/>
              <w:jc w:val="left"/>
              <w:rPr>
                <w:sz w:val="28"/>
              </w:rPr>
            </w:pPr>
            <w:r>
              <w:rPr>
                <w:sz w:val="28"/>
              </w:rPr>
              <w:t>Расходы резидентов на зарубежный туризм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24,55</w:t>
            </w:r>
          </w:p>
        </w:tc>
        <w:tc>
          <w:tcPr>
            <w:tcW w:w="5004" w:type="dxa"/>
          </w:tcPr>
          <w:p>
            <w:pPr>
              <w:pStyle w:val="TableParagraph"/>
              <w:ind w:left="1960" w:right="174" w:hanging="1769"/>
              <w:jc w:val="left"/>
              <w:rPr>
                <w:sz w:val="28"/>
              </w:rPr>
            </w:pPr>
            <w:r>
              <w:rPr>
                <w:sz w:val="28"/>
              </w:rPr>
              <w:t>Доходы страны от зарубежного туриз- ма</w:t>
            </w:r>
            <w:r>
              <w:rPr>
                <w:spacing w:val="68"/>
                <w:sz w:val="28"/>
              </w:rPr>
              <w:t> </w:t>
            </w:r>
            <w:r>
              <w:rPr>
                <w:sz w:val="28"/>
              </w:rPr>
              <w:t>15,17</w:t>
            </w:r>
          </w:p>
        </w:tc>
      </w:tr>
      <w:tr>
        <w:trPr>
          <w:trHeight w:val="331" w:hRule="exact"/>
        </w:trPr>
        <w:tc>
          <w:tcPr>
            <w:tcW w:w="9571" w:type="dxa"/>
            <w:gridSpan w:val="3"/>
          </w:tcPr>
          <w:p>
            <w:pPr>
              <w:pStyle w:val="TableParagraph"/>
              <w:spacing w:line="315" w:lineRule="exact"/>
              <w:ind w:left="1965" w:right="143"/>
              <w:jc w:val="left"/>
              <w:rPr>
                <w:sz w:val="28"/>
              </w:rPr>
            </w:pPr>
            <w:r>
              <w:rPr>
                <w:sz w:val="28"/>
              </w:rPr>
              <w:t>Чистые факторные доходы 24,55 – 15,17 = 9,38</w:t>
            </w:r>
          </w:p>
        </w:tc>
      </w:tr>
      <w:tr>
        <w:trPr>
          <w:trHeight w:val="974" w:hRule="exact"/>
        </w:trPr>
        <w:tc>
          <w:tcPr>
            <w:tcW w:w="9571" w:type="dxa"/>
            <w:gridSpan w:val="3"/>
          </w:tcPr>
          <w:p>
            <w:pPr>
              <w:pStyle w:val="TableParagraph"/>
              <w:spacing w:line="315" w:lineRule="exact"/>
              <w:ind w:left="111" w:right="111"/>
              <w:rPr>
                <w:sz w:val="28"/>
              </w:rPr>
            </w:pPr>
            <w:r>
              <w:rPr>
                <w:sz w:val="28"/>
              </w:rPr>
              <w:t>Чистые текущие трансферты + выплаты доходов на иностранные инвестиции</w:t>
            </w:r>
          </w:p>
          <w:p>
            <w:pPr>
              <w:pStyle w:val="TableParagraph"/>
              <w:ind w:left="110" w:right="111"/>
              <w:rPr>
                <w:sz w:val="28"/>
              </w:rPr>
            </w:pPr>
            <w:r>
              <w:rPr>
                <w:sz w:val="28"/>
              </w:rPr>
              <w:t>+ баланс оплаты труда + Полученные проценты по депозитам и ценным бу- магам государственного сектора = - 1,36 – 21,77 – 2,43 + 8,56 = - 17</w:t>
            </w:r>
          </w:p>
        </w:tc>
      </w:tr>
      <w:tr>
        <w:trPr>
          <w:trHeight w:val="334" w:hRule="exact"/>
        </w:trPr>
        <w:tc>
          <w:tcPr>
            <w:tcW w:w="9571" w:type="dxa"/>
            <w:gridSpan w:val="3"/>
          </w:tcPr>
          <w:p>
            <w:pPr>
              <w:pStyle w:val="TableParagraph"/>
              <w:ind w:left="650" w:right="14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Сальдо баланса по текущим операциям = 53,51 + 9,38 – 17 = 27,13</w:t>
            </w:r>
          </w:p>
        </w:tc>
      </w:tr>
      <w:tr>
        <w:trPr>
          <w:trHeight w:val="653" w:hRule="exact"/>
        </w:trPr>
        <w:tc>
          <w:tcPr>
            <w:tcW w:w="9571" w:type="dxa"/>
            <w:gridSpan w:val="3"/>
          </w:tcPr>
          <w:p>
            <w:pPr>
              <w:pStyle w:val="TableParagraph"/>
              <w:spacing w:line="322" w:lineRule="exact" w:before="1"/>
              <w:ind w:left="2289" w:right="143" w:hanging="212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2. Счет операций с капиталом и финансовыми инструментами (все меж- дународные сделки с активами страны</w:t>
            </w:r>
          </w:p>
        </w:tc>
      </w:tr>
      <w:tr>
        <w:trPr>
          <w:trHeight w:val="655" w:hRule="exact"/>
        </w:trPr>
        <w:tc>
          <w:tcPr>
            <w:tcW w:w="4351" w:type="dxa"/>
          </w:tcPr>
          <w:p>
            <w:pPr>
              <w:pStyle w:val="TableParagraph"/>
              <w:spacing w:line="242" w:lineRule="auto"/>
              <w:ind w:left="739" w:right="136" w:hanging="584"/>
              <w:jc w:val="left"/>
              <w:rPr>
                <w:sz w:val="28"/>
              </w:rPr>
            </w:pPr>
            <w:r>
              <w:rPr>
                <w:sz w:val="28"/>
              </w:rPr>
              <w:t>Продажа запатентованных спосо- бов производства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26,06</w:t>
            </w:r>
          </w:p>
        </w:tc>
        <w:tc>
          <w:tcPr>
            <w:tcW w:w="5220" w:type="dxa"/>
            <w:gridSpan w:val="2"/>
          </w:tcPr>
          <w:p>
            <w:pPr>
              <w:pStyle w:val="TableParagraph"/>
              <w:spacing w:before="6"/>
              <w:jc w:val="left"/>
              <w:rPr>
                <w:sz w:val="27"/>
              </w:rPr>
            </w:pPr>
          </w:p>
          <w:p>
            <w:pPr>
              <w:pStyle w:val="TableParagraph"/>
              <w:ind w:left="662" w:right="217"/>
              <w:jc w:val="left"/>
              <w:rPr>
                <w:sz w:val="28"/>
              </w:rPr>
            </w:pPr>
            <w:r>
              <w:rPr>
                <w:sz w:val="28"/>
              </w:rPr>
              <w:t>Отток капитала из страны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26,03</w:t>
            </w:r>
          </w:p>
        </w:tc>
      </w:tr>
      <w:tr>
        <w:trPr>
          <w:trHeight w:val="653" w:hRule="exact"/>
        </w:trPr>
        <w:tc>
          <w:tcPr>
            <w:tcW w:w="9571" w:type="dxa"/>
            <w:gridSpan w:val="3"/>
          </w:tcPr>
          <w:p>
            <w:pPr>
              <w:pStyle w:val="TableParagraph"/>
              <w:spacing w:line="322" w:lineRule="exact" w:before="1"/>
              <w:ind w:left="3614" w:right="263" w:hanging="333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Сальдо счета операций с капиталом и финансовыми инструментами = 26,06 – 26,03 = 0,03</w:t>
            </w:r>
          </w:p>
        </w:tc>
      </w:tr>
      <w:tr>
        <w:trPr>
          <w:trHeight w:val="334" w:hRule="exact"/>
        </w:trPr>
        <w:tc>
          <w:tcPr>
            <w:tcW w:w="9571" w:type="dxa"/>
            <w:gridSpan w:val="3"/>
          </w:tcPr>
          <w:p>
            <w:pPr>
              <w:pStyle w:val="TableParagraph"/>
              <w:spacing w:line="320" w:lineRule="exact"/>
              <w:ind w:left="110" w:right="111"/>
              <w:rPr>
                <w:b/>
                <w:sz w:val="28"/>
              </w:rPr>
            </w:pPr>
            <w:r>
              <w:rPr>
                <w:b/>
                <w:sz w:val="28"/>
              </w:rPr>
              <w:t>Б. Финансовый учет</w:t>
            </w:r>
          </w:p>
        </w:tc>
      </w:tr>
      <w:tr>
        <w:trPr>
          <w:trHeight w:val="653" w:hRule="exact"/>
        </w:trPr>
        <w:tc>
          <w:tcPr>
            <w:tcW w:w="4351" w:type="dxa"/>
          </w:tcPr>
          <w:p>
            <w:pPr>
              <w:pStyle w:val="TableParagraph"/>
              <w:ind w:left="208" w:right="150" w:hanging="44"/>
              <w:jc w:val="left"/>
              <w:rPr>
                <w:sz w:val="28"/>
              </w:rPr>
            </w:pPr>
            <w:r>
              <w:rPr>
                <w:sz w:val="28"/>
              </w:rPr>
              <w:t>Участие нерезидентов в капитале российских предприятий = 20,52</w:t>
            </w:r>
          </w:p>
        </w:tc>
        <w:tc>
          <w:tcPr>
            <w:tcW w:w="5220" w:type="dxa"/>
            <w:gridSpan w:val="2"/>
          </w:tcPr>
          <w:p>
            <w:pPr>
              <w:pStyle w:val="TableParagraph"/>
              <w:ind w:left="280" w:right="217" w:hanging="48"/>
              <w:jc w:val="left"/>
              <w:rPr>
                <w:sz w:val="28"/>
              </w:rPr>
            </w:pPr>
            <w:r>
              <w:rPr>
                <w:sz w:val="28"/>
              </w:rPr>
              <w:t>Погашение резидентами ценных бумаг, приобретенных нерезидентами = 52,91</w:t>
            </w:r>
          </w:p>
        </w:tc>
      </w:tr>
      <w:tr>
        <w:trPr>
          <w:trHeight w:val="331" w:hRule="exact"/>
        </w:trPr>
        <w:tc>
          <w:tcPr>
            <w:tcW w:w="9571" w:type="dxa"/>
            <w:gridSpan w:val="3"/>
          </w:tcPr>
          <w:p>
            <w:pPr>
              <w:pStyle w:val="TableParagraph"/>
              <w:spacing w:line="320" w:lineRule="exact"/>
              <w:ind w:left="1610" w:right="14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Сальдо финансового учета = 20,52 – 52,91 = - 32,39</w:t>
            </w:r>
          </w:p>
        </w:tc>
      </w:tr>
      <w:tr>
        <w:trPr>
          <w:trHeight w:val="334" w:hRule="exact"/>
        </w:trPr>
        <w:tc>
          <w:tcPr>
            <w:tcW w:w="4351" w:type="dxa"/>
          </w:tcPr>
          <w:p>
            <w:pPr/>
          </w:p>
        </w:tc>
        <w:tc>
          <w:tcPr>
            <w:tcW w:w="5220" w:type="dxa"/>
            <w:gridSpan w:val="2"/>
          </w:tcPr>
          <w:p>
            <w:pPr>
              <w:pStyle w:val="TableParagraph"/>
              <w:spacing w:line="320" w:lineRule="exact"/>
              <w:ind w:left="103" w:right="21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Пропуски и ошибки – 3,34</w:t>
            </w:r>
          </w:p>
        </w:tc>
      </w:tr>
      <w:tr>
        <w:trPr>
          <w:trHeight w:val="331" w:hRule="exact"/>
        </w:trPr>
        <w:tc>
          <w:tcPr>
            <w:tcW w:w="9571" w:type="dxa"/>
            <w:gridSpan w:val="3"/>
          </w:tcPr>
          <w:p>
            <w:pPr>
              <w:pStyle w:val="TableParagraph"/>
              <w:spacing w:line="320" w:lineRule="exact"/>
              <w:ind w:left="103" w:right="14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Сальдо платежного баланса = 27,13 – 32,39 – 3,34 = -8,57</w:t>
            </w:r>
          </w:p>
        </w:tc>
      </w:tr>
      <w:tr>
        <w:trPr>
          <w:trHeight w:val="331" w:hRule="exact"/>
        </w:trPr>
        <w:tc>
          <w:tcPr>
            <w:tcW w:w="9571" w:type="dxa"/>
            <w:gridSpan w:val="3"/>
          </w:tcPr>
          <w:p>
            <w:pPr>
              <w:pStyle w:val="TableParagraph"/>
              <w:spacing w:line="320" w:lineRule="exact"/>
              <w:ind w:left="2810" w:right="14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3. Счет официальных резервов</w:t>
            </w:r>
          </w:p>
        </w:tc>
      </w:tr>
      <w:tr>
        <w:trPr>
          <w:trHeight w:val="655" w:hRule="exact"/>
        </w:trPr>
        <w:tc>
          <w:tcPr>
            <w:tcW w:w="4351" w:type="dxa"/>
          </w:tcPr>
          <w:p>
            <w:pPr/>
          </w:p>
        </w:tc>
        <w:tc>
          <w:tcPr>
            <w:tcW w:w="5220" w:type="dxa"/>
            <w:gridSpan w:val="2"/>
          </w:tcPr>
          <w:p>
            <w:pPr>
              <w:pStyle w:val="TableParagraph"/>
              <w:spacing w:line="315" w:lineRule="exact"/>
              <w:ind w:left="995"/>
              <w:jc w:val="left"/>
              <w:rPr>
                <w:sz w:val="28"/>
              </w:rPr>
            </w:pPr>
            <w:r>
              <w:rPr>
                <w:sz w:val="28"/>
              </w:rPr>
              <w:t>Сокращение валютных резервов =</w:t>
            </w:r>
          </w:p>
          <w:p>
            <w:pPr>
              <w:pStyle w:val="TableParagraph"/>
              <w:spacing w:before="2"/>
              <w:ind w:left="2661"/>
              <w:jc w:val="left"/>
              <w:rPr>
                <w:sz w:val="28"/>
              </w:rPr>
            </w:pPr>
            <w:r>
              <w:rPr>
                <w:sz w:val="28"/>
              </w:rPr>
              <w:t>-8,57 – 3,34 = - 11,91</w:t>
            </w:r>
          </w:p>
        </w:tc>
      </w:tr>
    </w:tbl>
    <w:p>
      <w:pPr>
        <w:pStyle w:val="BodyText"/>
        <w:spacing w:before="8"/>
        <w:ind w:left="0"/>
        <w:rPr>
          <w:sz w:val="21"/>
        </w:rPr>
      </w:pPr>
    </w:p>
    <w:p>
      <w:pPr>
        <w:pStyle w:val="BodyText"/>
        <w:spacing w:before="65"/>
        <w:ind w:left="929" w:right="1580"/>
      </w:pPr>
      <w:r>
        <w:rPr/>
        <w:t>Таким образом, получили:</w:t>
      </w:r>
    </w:p>
    <w:p>
      <w:pPr>
        <w:pStyle w:val="BodyText"/>
        <w:spacing w:before="160"/>
        <w:ind w:left="929" w:right="1580"/>
      </w:pPr>
      <w:r>
        <w:rPr/>
        <w:t>а) сальдо текущего баланса = 27,13;</w:t>
      </w:r>
    </w:p>
    <w:p>
      <w:pPr>
        <w:pStyle w:val="BodyText"/>
        <w:spacing w:before="163"/>
        <w:ind w:left="929" w:right="1580"/>
      </w:pPr>
      <w:r>
        <w:rPr/>
        <w:t>б) сальдо баланса движения капитала = - 32,39;</w:t>
      </w:r>
    </w:p>
    <w:p>
      <w:pPr>
        <w:pStyle w:val="BodyText"/>
        <w:spacing w:before="160"/>
        <w:ind w:left="929" w:right="1580"/>
      </w:pPr>
      <w:r>
        <w:rPr/>
        <w:t>в) сальдо платежного баланса = - 8,57;</w:t>
      </w:r>
    </w:p>
    <w:p>
      <w:pPr>
        <w:pStyle w:val="BodyText"/>
        <w:spacing w:before="160"/>
        <w:ind w:left="929"/>
      </w:pPr>
      <w:r>
        <w:rPr/>
        <w:t>г) изменение официальных золотовалютных резервов страны = - 11,91.</w:t>
      </w:r>
    </w:p>
    <w:p>
      <w:pPr>
        <w:spacing w:after="0"/>
        <w:sectPr>
          <w:pgSz w:w="11900" w:h="16840"/>
          <w:pgMar w:header="0" w:footer="621" w:top="1120" w:bottom="820" w:left="1480" w:right="620"/>
        </w:sectPr>
      </w:pPr>
    </w:p>
    <w:p>
      <w:pPr>
        <w:pStyle w:val="Heading1"/>
      </w:pPr>
      <w:bookmarkStart w:name="_TOC_250001" w:id="2"/>
      <w:bookmarkEnd w:id="2"/>
      <w:r>
        <w:rPr/>
        <w:t>Задание 2</w:t>
      </w:r>
    </w:p>
    <w:p>
      <w:pPr>
        <w:pStyle w:val="BodyText"/>
        <w:spacing w:before="110"/>
        <w:ind w:left="1109"/>
      </w:pPr>
      <w:r>
        <w:rPr/>
        <w:t>На основании представленных в таблице данных необходимо:</w:t>
      </w:r>
    </w:p>
    <w:p>
      <w:pPr>
        <w:pStyle w:val="BodyText"/>
        <w:spacing w:line="324" w:lineRule="auto" w:before="112"/>
        <w:ind w:left="401" w:right="619" w:firstLine="708"/>
        <w:jc w:val="both"/>
      </w:pPr>
      <w:r>
        <w:rPr/>
        <w:t>а) рассчитать величины открытых валютных позиций банка по каждой из иностранных валют, открытую позицию банка по рублям, а также сум- марную величину всех открытых валютных позиций банка;</w:t>
      </w:r>
    </w:p>
    <w:p>
      <w:pPr>
        <w:pStyle w:val="BodyText"/>
        <w:spacing w:before="4"/>
        <w:ind w:left="1109"/>
      </w:pPr>
      <w:r>
        <w:rPr/>
        <w:t>б) проверить их соответствие лимитам, установленным ЦБ РФ;</w:t>
      </w:r>
    </w:p>
    <w:p>
      <w:pPr>
        <w:pStyle w:val="BodyText"/>
        <w:spacing w:line="324" w:lineRule="auto" w:before="112" w:after="11"/>
        <w:ind w:left="401" w:right="618" w:firstLine="708"/>
        <w:jc w:val="both"/>
      </w:pPr>
      <w:r>
        <w:rPr/>
        <w:t>в) определить какие операции банк должен осуществить, чтобы приве- сти свои валютные позиции в соответствие требованиям ЦБ РФ.</w:t>
      </w:r>
    </w:p>
    <w:tbl>
      <w:tblPr>
        <w:tblW w:w="0" w:type="auto"/>
        <w:jc w:val="left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75"/>
        <w:gridCol w:w="720"/>
        <w:gridCol w:w="1440"/>
        <w:gridCol w:w="1618"/>
        <w:gridCol w:w="1262"/>
        <w:gridCol w:w="955"/>
        <w:gridCol w:w="1579"/>
      </w:tblGrid>
      <w:tr>
        <w:trPr>
          <w:trHeight w:val="1397" w:hRule="exact"/>
        </w:trPr>
        <w:tc>
          <w:tcPr>
            <w:tcW w:w="2275" w:type="dxa"/>
          </w:tcPr>
          <w:p>
            <w:pPr>
              <w:pStyle w:val="TableParagraph"/>
              <w:jc w:val="left"/>
              <w:rPr>
                <w:sz w:val="24"/>
              </w:rPr>
            </w:pPr>
          </w:p>
          <w:p>
            <w:pPr>
              <w:pStyle w:val="TableParagraph"/>
              <w:spacing w:before="8"/>
              <w:jc w:val="left"/>
              <w:rPr>
                <w:sz w:val="23"/>
              </w:rPr>
            </w:pPr>
          </w:p>
          <w:p>
            <w:pPr>
              <w:pStyle w:val="TableParagraph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Иностранная валюта</w:t>
            </w:r>
          </w:p>
        </w:tc>
        <w:tc>
          <w:tcPr>
            <w:tcW w:w="720" w:type="dxa"/>
          </w:tcPr>
          <w:p>
            <w:pPr>
              <w:pStyle w:val="TableParagraph"/>
              <w:jc w:val="left"/>
              <w:rPr>
                <w:sz w:val="24"/>
              </w:rPr>
            </w:pPr>
          </w:p>
          <w:p>
            <w:pPr>
              <w:pStyle w:val="TableParagraph"/>
              <w:spacing w:before="8"/>
              <w:jc w:val="left"/>
              <w:rPr>
                <w:sz w:val="23"/>
              </w:rPr>
            </w:pPr>
          </w:p>
          <w:p>
            <w:pPr>
              <w:pStyle w:val="TableParagraph"/>
              <w:ind w:left="59" w:right="90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1440" w:type="dxa"/>
          </w:tcPr>
          <w:p>
            <w:pPr>
              <w:pStyle w:val="TableParagraph"/>
              <w:ind w:left="79" w:right="107" w:hanging="3"/>
              <w:rPr>
                <w:sz w:val="24"/>
              </w:rPr>
            </w:pPr>
            <w:r>
              <w:rPr>
                <w:sz w:val="24"/>
              </w:rPr>
              <w:t>Сумма ак- тивов и тре- бований банка, ед. ин валюты</w:t>
            </w:r>
          </w:p>
        </w:tc>
        <w:tc>
          <w:tcPr>
            <w:tcW w:w="1618" w:type="dxa"/>
          </w:tcPr>
          <w:p>
            <w:pPr>
              <w:pStyle w:val="TableParagraph"/>
              <w:ind w:left="55" w:right="84" w:hanging="5"/>
              <w:rPr>
                <w:sz w:val="24"/>
              </w:rPr>
            </w:pPr>
            <w:r>
              <w:rPr>
                <w:sz w:val="24"/>
              </w:rPr>
              <w:t>Сумма пасси- вов и обяза- тельств банка, ед. ин. валю- ты</w:t>
            </w:r>
          </w:p>
        </w:tc>
        <w:tc>
          <w:tcPr>
            <w:tcW w:w="1262" w:type="dxa"/>
          </w:tcPr>
          <w:p>
            <w:pPr>
              <w:pStyle w:val="TableParagraph"/>
              <w:spacing w:before="133"/>
              <w:ind w:left="91" w:right="122"/>
              <w:rPr>
                <w:sz w:val="24"/>
              </w:rPr>
            </w:pPr>
            <w:r>
              <w:rPr>
                <w:sz w:val="24"/>
              </w:rPr>
              <w:t>Единиц иностран- ной валю- ты</w:t>
            </w:r>
          </w:p>
        </w:tc>
        <w:tc>
          <w:tcPr>
            <w:tcW w:w="955" w:type="dxa"/>
          </w:tcPr>
          <w:p>
            <w:pPr>
              <w:pStyle w:val="TableParagraph"/>
              <w:spacing w:before="7"/>
              <w:jc w:val="left"/>
              <w:rPr>
                <w:sz w:val="35"/>
              </w:rPr>
            </w:pPr>
          </w:p>
          <w:p>
            <w:pPr>
              <w:pStyle w:val="TableParagraph"/>
              <w:ind w:left="160" w:right="173" w:firstLine="43"/>
              <w:jc w:val="left"/>
              <w:rPr>
                <w:sz w:val="24"/>
              </w:rPr>
            </w:pPr>
            <w:r>
              <w:rPr>
                <w:sz w:val="24"/>
              </w:rPr>
              <w:t>Курс рубля</w:t>
            </w:r>
          </w:p>
        </w:tc>
        <w:tc>
          <w:tcPr>
            <w:tcW w:w="1579" w:type="dxa"/>
          </w:tcPr>
          <w:p>
            <w:pPr>
              <w:pStyle w:val="TableParagraph"/>
              <w:spacing w:before="133"/>
              <w:ind w:left="129" w:right="162" w:firstLine="2"/>
              <w:rPr>
                <w:sz w:val="24"/>
              </w:rPr>
            </w:pPr>
            <w:r>
              <w:rPr>
                <w:sz w:val="24"/>
              </w:rPr>
              <w:t>Размер соб- ственных средств бан- ка, рублей</w:t>
            </w:r>
          </w:p>
        </w:tc>
      </w:tr>
      <w:tr>
        <w:trPr>
          <w:trHeight w:val="331" w:hRule="exact"/>
        </w:trPr>
        <w:tc>
          <w:tcPr>
            <w:tcW w:w="2275" w:type="dxa"/>
          </w:tcPr>
          <w:p>
            <w:pPr>
              <w:pStyle w:val="TableParagraph"/>
              <w:spacing w:before="37"/>
              <w:ind w:right="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0" w:type="dxa"/>
          </w:tcPr>
          <w:p>
            <w:pPr>
              <w:pStyle w:val="TableParagraph"/>
              <w:spacing w:before="37"/>
              <w:ind w:right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</w:tcPr>
          <w:p>
            <w:pPr>
              <w:pStyle w:val="TableParagraph"/>
              <w:spacing w:line="268" w:lineRule="exact"/>
              <w:ind w:right="3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18" w:type="dxa"/>
          </w:tcPr>
          <w:p>
            <w:pPr>
              <w:pStyle w:val="TableParagraph"/>
              <w:spacing w:line="268" w:lineRule="exact"/>
              <w:ind w:right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62" w:type="dxa"/>
          </w:tcPr>
          <w:p>
            <w:pPr>
              <w:pStyle w:val="TableParagraph"/>
              <w:spacing w:line="268" w:lineRule="exact"/>
              <w:ind w:right="3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55" w:type="dxa"/>
          </w:tcPr>
          <w:p>
            <w:pPr>
              <w:pStyle w:val="TableParagraph"/>
              <w:spacing w:before="37"/>
              <w:ind w:right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79" w:type="dxa"/>
          </w:tcPr>
          <w:p>
            <w:pPr>
              <w:pStyle w:val="TableParagraph"/>
              <w:spacing w:line="268" w:lineRule="exact"/>
              <w:ind w:right="3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>
        <w:trPr>
          <w:trHeight w:val="329" w:hRule="exact"/>
        </w:trPr>
        <w:tc>
          <w:tcPr>
            <w:tcW w:w="9850" w:type="dxa"/>
            <w:gridSpan w:val="7"/>
          </w:tcPr>
          <w:p>
            <w:pPr>
              <w:pStyle w:val="TableParagraph"/>
              <w:spacing w:line="268" w:lineRule="exact"/>
              <w:ind w:left="4167" w:right="4198"/>
              <w:rPr>
                <w:sz w:val="24"/>
              </w:rPr>
            </w:pPr>
            <w:r>
              <w:rPr>
                <w:sz w:val="24"/>
              </w:rPr>
              <w:t>ВАРИАНТ 10</w:t>
            </w:r>
          </w:p>
        </w:tc>
      </w:tr>
      <w:tr>
        <w:trPr>
          <w:trHeight w:val="326" w:hRule="exact"/>
        </w:trPr>
        <w:tc>
          <w:tcPr>
            <w:tcW w:w="2275" w:type="dxa"/>
          </w:tcPr>
          <w:p>
            <w:pPr>
              <w:pStyle w:val="TableParagraph"/>
              <w:spacing w:line="270" w:lineRule="exact"/>
              <w:ind w:left="52"/>
              <w:jc w:val="left"/>
              <w:rPr>
                <w:sz w:val="24"/>
              </w:rPr>
            </w:pPr>
            <w:r>
              <w:rPr>
                <w:sz w:val="24"/>
              </w:rPr>
              <w:t>Евро</w:t>
            </w:r>
          </w:p>
        </w:tc>
        <w:tc>
          <w:tcPr>
            <w:tcW w:w="720" w:type="dxa"/>
          </w:tcPr>
          <w:p>
            <w:pPr>
              <w:pStyle w:val="TableParagraph"/>
              <w:spacing w:before="13"/>
              <w:ind w:left="60" w:right="60"/>
              <w:rPr>
                <w:sz w:val="24"/>
              </w:rPr>
            </w:pPr>
            <w:r>
              <w:rPr>
                <w:sz w:val="24"/>
              </w:rPr>
              <w:t>EUR</w:t>
            </w:r>
          </w:p>
        </w:tc>
        <w:tc>
          <w:tcPr>
            <w:tcW w:w="1440" w:type="dxa"/>
          </w:tcPr>
          <w:p>
            <w:pPr>
              <w:pStyle w:val="TableParagraph"/>
              <w:spacing w:before="13"/>
              <w:ind w:left="199" w:right="199"/>
              <w:rPr>
                <w:sz w:val="24"/>
              </w:rPr>
            </w:pPr>
            <w:r>
              <w:rPr>
                <w:sz w:val="24"/>
              </w:rPr>
              <w:t>5 650 000</w:t>
            </w:r>
          </w:p>
        </w:tc>
        <w:tc>
          <w:tcPr>
            <w:tcW w:w="1618" w:type="dxa"/>
          </w:tcPr>
          <w:p>
            <w:pPr>
              <w:pStyle w:val="TableParagraph"/>
              <w:spacing w:before="13"/>
              <w:ind w:left="288" w:right="288"/>
              <w:rPr>
                <w:sz w:val="24"/>
              </w:rPr>
            </w:pPr>
            <w:r>
              <w:rPr>
                <w:sz w:val="24"/>
              </w:rPr>
              <w:t>6 040 000</w:t>
            </w:r>
          </w:p>
        </w:tc>
        <w:tc>
          <w:tcPr>
            <w:tcW w:w="1262" w:type="dxa"/>
          </w:tcPr>
          <w:p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>
            <w:pPr>
              <w:pStyle w:val="TableParagraph"/>
              <w:spacing w:before="13"/>
              <w:ind w:left="48" w:right="48"/>
              <w:rPr>
                <w:sz w:val="24"/>
              </w:rPr>
            </w:pPr>
            <w:r>
              <w:rPr>
                <w:sz w:val="24"/>
              </w:rPr>
              <w:t>41,6832</w:t>
            </w:r>
          </w:p>
        </w:tc>
        <w:tc>
          <w:tcPr>
            <w:tcW w:w="1579" w:type="dxa"/>
            <w:vMerge w:val="restart"/>
          </w:tcPr>
          <w:p>
            <w:pPr>
              <w:pStyle w:val="TableParagraph"/>
              <w:jc w:val="left"/>
              <w:rPr>
                <w:sz w:val="24"/>
              </w:rPr>
            </w:pPr>
          </w:p>
          <w:p>
            <w:pPr>
              <w:pStyle w:val="TableParagraph"/>
              <w:spacing w:before="2"/>
              <w:jc w:val="left"/>
              <w:rPr>
                <w:sz w:val="35"/>
              </w:rPr>
            </w:pPr>
          </w:p>
          <w:p>
            <w:pPr>
              <w:pStyle w:val="TableParagraph"/>
              <w:ind w:left="182"/>
              <w:jc w:val="left"/>
              <w:rPr>
                <w:sz w:val="24"/>
              </w:rPr>
            </w:pPr>
            <w:r>
              <w:rPr>
                <w:sz w:val="24"/>
              </w:rPr>
              <w:t>180 000 000</w:t>
            </w:r>
          </w:p>
        </w:tc>
      </w:tr>
      <w:tr>
        <w:trPr>
          <w:trHeight w:val="331" w:hRule="exact"/>
        </w:trPr>
        <w:tc>
          <w:tcPr>
            <w:tcW w:w="2275" w:type="dxa"/>
          </w:tcPr>
          <w:p>
            <w:pPr>
              <w:pStyle w:val="TableParagraph"/>
              <w:spacing w:line="268" w:lineRule="exact"/>
              <w:ind w:left="52"/>
              <w:jc w:val="left"/>
              <w:rPr>
                <w:sz w:val="24"/>
              </w:rPr>
            </w:pPr>
            <w:r>
              <w:rPr>
                <w:sz w:val="24"/>
              </w:rPr>
              <w:t>Датская крона</w:t>
            </w:r>
          </w:p>
        </w:tc>
        <w:tc>
          <w:tcPr>
            <w:tcW w:w="720" w:type="dxa"/>
          </w:tcPr>
          <w:p>
            <w:pPr>
              <w:pStyle w:val="TableParagraph"/>
              <w:spacing w:before="16"/>
              <w:ind w:left="60" w:right="90"/>
              <w:rPr>
                <w:sz w:val="24"/>
              </w:rPr>
            </w:pPr>
            <w:r>
              <w:rPr>
                <w:sz w:val="24"/>
              </w:rPr>
              <w:t>DKK</w:t>
            </w:r>
          </w:p>
        </w:tc>
        <w:tc>
          <w:tcPr>
            <w:tcW w:w="1440" w:type="dxa"/>
          </w:tcPr>
          <w:p>
            <w:pPr>
              <w:pStyle w:val="TableParagraph"/>
              <w:spacing w:before="16"/>
              <w:ind w:left="187" w:right="215"/>
              <w:rPr>
                <w:sz w:val="24"/>
              </w:rPr>
            </w:pPr>
            <w:r>
              <w:rPr>
                <w:sz w:val="24"/>
              </w:rPr>
              <w:t>425 000</w:t>
            </w:r>
          </w:p>
        </w:tc>
        <w:tc>
          <w:tcPr>
            <w:tcW w:w="1618" w:type="dxa"/>
          </w:tcPr>
          <w:p>
            <w:pPr>
              <w:pStyle w:val="TableParagraph"/>
              <w:spacing w:before="16"/>
              <w:ind w:left="276" w:right="304"/>
              <w:rPr>
                <w:sz w:val="24"/>
              </w:rPr>
            </w:pPr>
            <w:r>
              <w:rPr>
                <w:sz w:val="24"/>
              </w:rPr>
              <w:t>518 000</w:t>
            </w:r>
          </w:p>
        </w:tc>
        <w:tc>
          <w:tcPr>
            <w:tcW w:w="1262" w:type="dxa"/>
          </w:tcPr>
          <w:p>
            <w:pPr>
              <w:pStyle w:val="TableParagraph"/>
              <w:spacing w:before="16"/>
              <w:ind w:left="91" w:right="12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55" w:type="dxa"/>
          </w:tcPr>
          <w:p>
            <w:pPr>
              <w:pStyle w:val="TableParagraph"/>
              <w:spacing w:before="16"/>
              <w:ind w:left="34" w:right="62"/>
              <w:rPr>
                <w:sz w:val="24"/>
              </w:rPr>
            </w:pPr>
            <w:r>
              <w:rPr>
                <w:sz w:val="24"/>
              </w:rPr>
              <w:t>58,5431</w:t>
            </w:r>
          </w:p>
        </w:tc>
        <w:tc>
          <w:tcPr>
            <w:tcW w:w="1579" w:type="dxa"/>
            <w:vMerge/>
          </w:tcPr>
          <w:p>
            <w:pPr/>
          </w:p>
        </w:tc>
      </w:tr>
      <w:tr>
        <w:trPr>
          <w:trHeight w:val="341" w:hRule="exact"/>
        </w:trPr>
        <w:tc>
          <w:tcPr>
            <w:tcW w:w="2275" w:type="dxa"/>
          </w:tcPr>
          <w:p>
            <w:pPr>
              <w:pStyle w:val="TableParagraph"/>
              <w:spacing w:before="47"/>
              <w:ind w:left="52"/>
              <w:jc w:val="left"/>
              <w:rPr>
                <w:sz w:val="24"/>
              </w:rPr>
            </w:pPr>
            <w:r>
              <w:rPr>
                <w:sz w:val="24"/>
              </w:rPr>
              <w:t>Турецкая лира</w:t>
            </w:r>
          </w:p>
        </w:tc>
        <w:tc>
          <w:tcPr>
            <w:tcW w:w="720" w:type="dxa"/>
          </w:tcPr>
          <w:p>
            <w:pPr>
              <w:pStyle w:val="TableParagraph"/>
              <w:spacing w:before="20"/>
              <w:ind w:left="60" w:right="90"/>
              <w:rPr>
                <w:sz w:val="24"/>
              </w:rPr>
            </w:pPr>
            <w:r>
              <w:rPr>
                <w:sz w:val="24"/>
              </w:rPr>
              <w:t>TRY</w:t>
            </w:r>
          </w:p>
        </w:tc>
        <w:tc>
          <w:tcPr>
            <w:tcW w:w="1440" w:type="dxa"/>
          </w:tcPr>
          <w:p>
            <w:pPr>
              <w:pStyle w:val="TableParagraph"/>
              <w:spacing w:before="20"/>
              <w:ind w:left="187" w:right="215"/>
              <w:rPr>
                <w:sz w:val="24"/>
              </w:rPr>
            </w:pPr>
            <w:r>
              <w:rPr>
                <w:sz w:val="24"/>
              </w:rPr>
              <w:t>750 000</w:t>
            </w:r>
          </w:p>
        </w:tc>
        <w:tc>
          <w:tcPr>
            <w:tcW w:w="1618" w:type="dxa"/>
          </w:tcPr>
          <w:p>
            <w:pPr>
              <w:pStyle w:val="TableParagraph"/>
              <w:spacing w:before="20"/>
              <w:ind w:left="276" w:right="304"/>
              <w:rPr>
                <w:sz w:val="24"/>
              </w:rPr>
            </w:pPr>
            <w:r>
              <w:rPr>
                <w:sz w:val="24"/>
              </w:rPr>
              <w:t>940 000</w:t>
            </w:r>
          </w:p>
        </w:tc>
        <w:tc>
          <w:tcPr>
            <w:tcW w:w="1262" w:type="dxa"/>
          </w:tcPr>
          <w:p>
            <w:pPr>
              <w:pStyle w:val="TableParagraph"/>
              <w:spacing w:before="20"/>
              <w:ind w:right="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>
            <w:pPr>
              <w:pStyle w:val="TableParagraph"/>
              <w:spacing w:before="20"/>
              <w:ind w:left="34" w:right="62"/>
              <w:rPr>
                <w:sz w:val="24"/>
              </w:rPr>
            </w:pPr>
            <w:r>
              <w:rPr>
                <w:sz w:val="24"/>
              </w:rPr>
              <w:t>17,0681</w:t>
            </w:r>
          </w:p>
        </w:tc>
        <w:tc>
          <w:tcPr>
            <w:tcW w:w="1579" w:type="dxa"/>
            <w:vMerge/>
          </w:tcPr>
          <w:p>
            <w:pPr/>
          </w:p>
        </w:tc>
      </w:tr>
      <w:tr>
        <w:trPr>
          <w:trHeight w:val="331" w:hRule="exact"/>
        </w:trPr>
        <w:tc>
          <w:tcPr>
            <w:tcW w:w="2275" w:type="dxa"/>
          </w:tcPr>
          <w:p>
            <w:pPr>
              <w:pStyle w:val="TableParagraph"/>
              <w:spacing w:line="268" w:lineRule="exact"/>
              <w:ind w:left="52"/>
              <w:jc w:val="left"/>
              <w:rPr>
                <w:sz w:val="24"/>
              </w:rPr>
            </w:pPr>
            <w:r>
              <w:rPr>
                <w:sz w:val="24"/>
              </w:rPr>
              <w:t>Швейцарский франк</w:t>
            </w:r>
          </w:p>
        </w:tc>
        <w:tc>
          <w:tcPr>
            <w:tcW w:w="720" w:type="dxa"/>
          </w:tcPr>
          <w:p>
            <w:pPr>
              <w:pStyle w:val="TableParagraph"/>
              <w:spacing w:before="16"/>
              <w:ind w:left="60" w:right="89"/>
              <w:rPr>
                <w:sz w:val="24"/>
              </w:rPr>
            </w:pPr>
            <w:r>
              <w:rPr>
                <w:sz w:val="24"/>
              </w:rPr>
              <w:t>CHF</w:t>
            </w:r>
          </w:p>
        </w:tc>
        <w:tc>
          <w:tcPr>
            <w:tcW w:w="1440" w:type="dxa"/>
          </w:tcPr>
          <w:p>
            <w:pPr>
              <w:pStyle w:val="TableParagraph"/>
              <w:spacing w:before="16"/>
              <w:ind w:left="187" w:right="215"/>
              <w:rPr>
                <w:sz w:val="24"/>
              </w:rPr>
            </w:pPr>
            <w:r>
              <w:rPr>
                <w:sz w:val="24"/>
              </w:rPr>
              <w:t>468 000</w:t>
            </w:r>
          </w:p>
        </w:tc>
        <w:tc>
          <w:tcPr>
            <w:tcW w:w="1618" w:type="dxa"/>
          </w:tcPr>
          <w:p>
            <w:pPr>
              <w:pStyle w:val="TableParagraph"/>
              <w:spacing w:before="16"/>
              <w:ind w:left="276" w:right="304"/>
              <w:rPr>
                <w:sz w:val="24"/>
              </w:rPr>
            </w:pPr>
            <w:r>
              <w:rPr>
                <w:sz w:val="24"/>
              </w:rPr>
              <w:t>760 000</w:t>
            </w:r>
          </w:p>
        </w:tc>
        <w:tc>
          <w:tcPr>
            <w:tcW w:w="1262" w:type="dxa"/>
          </w:tcPr>
          <w:p>
            <w:pPr>
              <w:pStyle w:val="TableParagraph"/>
              <w:spacing w:before="16"/>
              <w:ind w:right="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>
            <w:pPr>
              <w:pStyle w:val="TableParagraph"/>
              <w:spacing w:before="16"/>
              <w:ind w:left="34" w:right="62"/>
              <w:rPr>
                <w:sz w:val="24"/>
              </w:rPr>
            </w:pPr>
            <w:r>
              <w:rPr>
                <w:sz w:val="24"/>
              </w:rPr>
              <w:t>32,4506</w:t>
            </w:r>
          </w:p>
        </w:tc>
        <w:tc>
          <w:tcPr>
            <w:tcW w:w="1579" w:type="dxa"/>
            <w:vMerge/>
          </w:tcPr>
          <w:p>
            <w:pPr/>
          </w:p>
        </w:tc>
      </w:tr>
      <w:tr>
        <w:trPr>
          <w:trHeight w:val="331" w:hRule="exact"/>
        </w:trPr>
        <w:tc>
          <w:tcPr>
            <w:tcW w:w="2275" w:type="dxa"/>
          </w:tcPr>
          <w:p>
            <w:pPr>
              <w:pStyle w:val="TableParagraph"/>
              <w:spacing w:line="268" w:lineRule="exact"/>
              <w:ind w:left="52"/>
              <w:jc w:val="left"/>
              <w:rPr>
                <w:sz w:val="24"/>
              </w:rPr>
            </w:pPr>
            <w:r>
              <w:rPr>
                <w:sz w:val="24"/>
              </w:rPr>
              <w:t>Доллар США</w:t>
            </w:r>
          </w:p>
        </w:tc>
        <w:tc>
          <w:tcPr>
            <w:tcW w:w="720" w:type="dxa"/>
          </w:tcPr>
          <w:p>
            <w:pPr>
              <w:pStyle w:val="TableParagraph"/>
              <w:spacing w:before="16"/>
              <w:ind w:left="60" w:right="90"/>
              <w:rPr>
                <w:sz w:val="24"/>
              </w:rPr>
            </w:pPr>
            <w:r>
              <w:rPr>
                <w:sz w:val="24"/>
              </w:rPr>
              <w:t>USD</w:t>
            </w:r>
          </w:p>
        </w:tc>
        <w:tc>
          <w:tcPr>
            <w:tcW w:w="1440" w:type="dxa"/>
          </w:tcPr>
          <w:p>
            <w:pPr>
              <w:pStyle w:val="TableParagraph"/>
              <w:spacing w:before="16"/>
              <w:ind w:left="184" w:right="215"/>
              <w:rPr>
                <w:sz w:val="24"/>
              </w:rPr>
            </w:pPr>
            <w:r>
              <w:rPr>
                <w:sz w:val="24"/>
              </w:rPr>
              <w:t>7 006 000</w:t>
            </w:r>
          </w:p>
        </w:tc>
        <w:tc>
          <w:tcPr>
            <w:tcW w:w="1618" w:type="dxa"/>
          </w:tcPr>
          <w:p>
            <w:pPr>
              <w:pStyle w:val="TableParagraph"/>
              <w:spacing w:before="16"/>
              <w:ind w:left="273" w:right="304"/>
              <w:rPr>
                <w:sz w:val="24"/>
              </w:rPr>
            </w:pPr>
            <w:r>
              <w:rPr>
                <w:sz w:val="24"/>
              </w:rPr>
              <w:t>6 260 000</w:t>
            </w:r>
          </w:p>
        </w:tc>
        <w:tc>
          <w:tcPr>
            <w:tcW w:w="1262" w:type="dxa"/>
          </w:tcPr>
          <w:p>
            <w:pPr>
              <w:pStyle w:val="TableParagraph"/>
              <w:spacing w:before="16"/>
              <w:ind w:right="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>
            <w:pPr>
              <w:pStyle w:val="TableParagraph"/>
              <w:spacing w:before="16"/>
              <w:ind w:left="34" w:right="62"/>
              <w:rPr>
                <w:sz w:val="24"/>
              </w:rPr>
            </w:pPr>
            <w:r>
              <w:rPr>
                <w:sz w:val="24"/>
              </w:rPr>
              <w:t>30,1536</w:t>
            </w:r>
          </w:p>
        </w:tc>
        <w:tc>
          <w:tcPr>
            <w:tcW w:w="1579" w:type="dxa"/>
            <w:vMerge/>
          </w:tcPr>
          <w:p>
            <w:pPr/>
          </w:p>
        </w:tc>
      </w:tr>
    </w:tbl>
    <w:p>
      <w:pPr>
        <w:pStyle w:val="BodyText"/>
        <w:spacing w:before="0"/>
        <w:ind w:left="0"/>
        <w:rPr>
          <w:sz w:val="20"/>
        </w:rPr>
      </w:pPr>
    </w:p>
    <w:p>
      <w:pPr>
        <w:spacing w:before="202"/>
        <w:ind w:left="1109" w:right="0" w:firstLine="0"/>
        <w:jc w:val="left"/>
        <w:rPr>
          <w:b/>
          <w:sz w:val="28"/>
        </w:rPr>
      </w:pPr>
      <w:r>
        <w:rPr>
          <w:b/>
          <w:sz w:val="28"/>
        </w:rPr>
        <w:t>Решение.</w:t>
      </w:r>
    </w:p>
    <w:p>
      <w:pPr>
        <w:pStyle w:val="BodyText"/>
        <w:spacing w:line="324" w:lineRule="auto" w:before="110" w:after="11"/>
        <w:ind w:left="401" w:right="619" w:firstLine="708"/>
        <w:jc w:val="both"/>
      </w:pPr>
      <w:r>
        <w:rPr/>
        <w:t>а) рассчитать величины открытых валютных позиций банка по каждой из иностранных валют, открытую позицию банка по рублям, а также сум- марную величину всех открытых валютных позиций банка;</w:t>
      </w: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7"/>
        <w:gridCol w:w="655"/>
        <w:gridCol w:w="1322"/>
        <w:gridCol w:w="1272"/>
        <w:gridCol w:w="1471"/>
        <w:gridCol w:w="982"/>
        <w:gridCol w:w="967"/>
        <w:gridCol w:w="1250"/>
      </w:tblGrid>
      <w:tr>
        <w:trPr>
          <w:trHeight w:val="2323" w:hRule="exact"/>
        </w:trPr>
        <w:tc>
          <w:tcPr>
            <w:tcW w:w="1997" w:type="dxa"/>
          </w:tcPr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spacing w:before="139"/>
              <w:ind w:left="880" w:right="76" w:hanging="816"/>
              <w:jc w:val="left"/>
              <w:rPr>
                <w:sz w:val="22"/>
              </w:rPr>
            </w:pPr>
            <w:r>
              <w:rPr>
                <w:sz w:val="22"/>
              </w:rPr>
              <w:t>Иностранная валю- та</w:t>
            </w:r>
          </w:p>
        </w:tc>
        <w:tc>
          <w:tcPr>
            <w:tcW w:w="655" w:type="dxa"/>
          </w:tcPr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jc w:val="left"/>
              <w:rPr>
                <w:sz w:val="23"/>
              </w:rPr>
            </w:pPr>
          </w:p>
          <w:p>
            <w:pPr>
              <w:pStyle w:val="TableParagraph"/>
              <w:ind w:left="14" w:right="43"/>
              <w:rPr>
                <w:sz w:val="22"/>
              </w:rPr>
            </w:pPr>
            <w:r>
              <w:rPr>
                <w:sz w:val="22"/>
              </w:rPr>
              <w:t>Код</w:t>
            </w:r>
          </w:p>
        </w:tc>
        <w:tc>
          <w:tcPr>
            <w:tcW w:w="1322" w:type="dxa"/>
          </w:tcPr>
          <w:p>
            <w:pPr>
              <w:pStyle w:val="TableParagraph"/>
              <w:ind w:left="71" w:right="99"/>
              <w:rPr>
                <w:sz w:val="22"/>
              </w:rPr>
            </w:pPr>
            <w:r>
              <w:rPr>
                <w:sz w:val="22"/>
              </w:rPr>
              <w:t>Сумма ак- тивов и тре- бований банка, ед. ин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валюты</w:t>
            </w:r>
          </w:p>
        </w:tc>
        <w:tc>
          <w:tcPr>
            <w:tcW w:w="1272" w:type="dxa"/>
          </w:tcPr>
          <w:p>
            <w:pPr>
              <w:pStyle w:val="TableParagraph"/>
              <w:ind w:left="76" w:right="106"/>
              <w:rPr>
                <w:sz w:val="22"/>
              </w:rPr>
            </w:pPr>
            <w:r>
              <w:rPr>
                <w:sz w:val="22"/>
              </w:rPr>
              <w:t>Сумма пас- сивов и обяза- тельств банка, ед. ин. валюты</w:t>
            </w:r>
          </w:p>
        </w:tc>
        <w:tc>
          <w:tcPr>
            <w:tcW w:w="1471" w:type="dxa"/>
          </w:tcPr>
          <w:p>
            <w:pPr>
              <w:pStyle w:val="TableParagraph"/>
              <w:ind w:left="79" w:right="108" w:hanging="2"/>
              <w:rPr>
                <w:sz w:val="22"/>
              </w:rPr>
            </w:pPr>
            <w:r>
              <w:rPr>
                <w:sz w:val="22"/>
              </w:rPr>
              <w:t>Открытая ва- лютная пози- ция по каж- дой ино- странной ва- люте (ед. иностранной валюты) (3) –</w:t>
            </w:r>
          </w:p>
          <w:p>
            <w:pPr>
              <w:pStyle w:val="TableParagraph"/>
              <w:spacing w:line="252" w:lineRule="exact"/>
              <w:ind w:left="251" w:right="280"/>
              <w:rPr>
                <w:sz w:val="22"/>
              </w:rPr>
            </w:pPr>
            <w:r>
              <w:rPr>
                <w:sz w:val="22"/>
              </w:rPr>
              <w:t>(4)</w:t>
            </w:r>
          </w:p>
        </w:tc>
        <w:tc>
          <w:tcPr>
            <w:tcW w:w="982" w:type="dxa"/>
          </w:tcPr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spacing w:before="1"/>
              <w:jc w:val="left"/>
              <w:rPr>
                <w:sz w:val="23"/>
              </w:rPr>
            </w:pPr>
          </w:p>
          <w:p>
            <w:pPr>
              <w:pStyle w:val="TableParagraph"/>
              <w:spacing w:before="1"/>
              <w:ind w:left="110" w:right="141"/>
              <w:rPr>
                <w:sz w:val="22"/>
              </w:rPr>
            </w:pPr>
            <w:r>
              <w:rPr>
                <w:sz w:val="22"/>
              </w:rPr>
              <w:t>Единиц ино- стран- ной ва- люты</w:t>
            </w:r>
          </w:p>
        </w:tc>
        <w:tc>
          <w:tcPr>
            <w:tcW w:w="967" w:type="dxa"/>
          </w:tcPr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spacing w:before="139"/>
              <w:ind w:left="189" w:right="205" w:firstLine="38"/>
              <w:jc w:val="left"/>
              <w:rPr>
                <w:sz w:val="22"/>
              </w:rPr>
            </w:pPr>
            <w:r>
              <w:rPr>
                <w:sz w:val="22"/>
              </w:rPr>
              <w:t>Курс рубля</w:t>
            </w:r>
          </w:p>
        </w:tc>
        <w:tc>
          <w:tcPr>
            <w:tcW w:w="1250" w:type="dxa"/>
          </w:tcPr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spacing w:before="139"/>
              <w:ind w:left="79" w:right="111" w:hanging="4"/>
              <w:rPr>
                <w:sz w:val="22"/>
              </w:rPr>
            </w:pPr>
            <w:r>
              <w:rPr>
                <w:sz w:val="22"/>
              </w:rPr>
              <w:t>Размер собствен- ных средств банка, руб- лей</w:t>
            </w:r>
          </w:p>
        </w:tc>
      </w:tr>
      <w:tr>
        <w:trPr>
          <w:trHeight w:val="331" w:hRule="exact"/>
        </w:trPr>
        <w:tc>
          <w:tcPr>
            <w:tcW w:w="1997" w:type="dxa"/>
          </w:tcPr>
          <w:p>
            <w:pPr>
              <w:pStyle w:val="TableParagraph"/>
              <w:spacing w:before="63"/>
              <w:ind w:right="31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55" w:type="dxa"/>
          </w:tcPr>
          <w:p>
            <w:pPr>
              <w:pStyle w:val="TableParagraph"/>
              <w:spacing w:before="63"/>
              <w:ind w:right="29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322" w:type="dxa"/>
          </w:tcPr>
          <w:p>
            <w:pPr>
              <w:pStyle w:val="TableParagraph"/>
              <w:spacing w:line="247" w:lineRule="exact"/>
              <w:ind w:right="29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272" w:type="dxa"/>
          </w:tcPr>
          <w:p>
            <w:pPr>
              <w:pStyle w:val="TableParagraph"/>
              <w:spacing w:line="247" w:lineRule="exact"/>
              <w:ind w:right="31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471" w:type="dxa"/>
          </w:tcPr>
          <w:p>
            <w:pPr>
              <w:pStyle w:val="TableParagraph"/>
              <w:spacing w:line="247" w:lineRule="exact"/>
              <w:ind w:right="27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982" w:type="dxa"/>
          </w:tcPr>
          <w:p>
            <w:pPr>
              <w:pStyle w:val="TableParagraph"/>
              <w:spacing w:line="247" w:lineRule="exact"/>
              <w:ind w:right="29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967" w:type="dxa"/>
          </w:tcPr>
          <w:p>
            <w:pPr>
              <w:pStyle w:val="TableParagraph"/>
              <w:spacing w:before="63"/>
              <w:ind w:right="34"/>
              <w:rPr>
                <w:sz w:val="22"/>
              </w:rPr>
            </w:pPr>
            <w:r>
              <w:rPr>
                <w:w w:val="100"/>
                <w:sz w:val="22"/>
              </w:rPr>
              <w:t>7</w:t>
            </w:r>
          </w:p>
        </w:tc>
        <w:tc>
          <w:tcPr>
            <w:tcW w:w="1250" w:type="dxa"/>
          </w:tcPr>
          <w:p>
            <w:pPr>
              <w:pStyle w:val="TableParagraph"/>
              <w:spacing w:line="247" w:lineRule="exact"/>
              <w:ind w:left="2"/>
              <w:jc w:val="left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</w:tr>
      <w:tr>
        <w:trPr>
          <w:trHeight w:val="326" w:hRule="exact"/>
        </w:trPr>
        <w:tc>
          <w:tcPr>
            <w:tcW w:w="1997" w:type="dxa"/>
          </w:tcPr>
          <w:p>
            <w:pPr>
              <w:pStyle w:val="TableParagraph"/>
              <w:spacing w:before="13"/>
              <w:ind w:left="4" w:right="76"/>
              <w:jc w:val="left"/>
              <w:rPr>
                <w:sz w:val="24"/>
              </w:rPr>
            </w:pPr>
            <w:r>
              <w:rPr>
                <w:sz w:val="24"/>
              </w:rPr>
              <w:t>Евро</w:t>
            </w:r>
          </w:p>
        </w:tc>
        <w:tc>
          <w:tcPr>
            <w:tcW w:w="655" w:type="dxa"/>
          </w:tcPr>
          <w:p>
            <w:pPr>
              <w:pStyle w:val="TableParagraph"/>
              <w:spacing w:before="13"/>
              <w:ind w:left="42" w:right="42"/>
              <w:rPr>
                <w:sz w:val="24"/>
              </w:rPr>
            </w:pPr>
            <w:r>
              <w:rPr>
                <w:sz w:val="24"/>
              </w:rPr>
              <w:t>EUR</w:t>
            </w:r>
          </w:p>
        </w:tc>
        <w:tc>
          <w:tcPr>
            <w:tcW w:w="1322" w:type="dxa"/>
          </w:tcPr>
          <w:p>
            <w:pPr>
              <w:pStyle w:val="TableParagraph"/>
              <w:spacing w:before="13"/>
              <w:ind w:left="215" w:right="216"/>
              <w:rPr>
                <w:sz w:val="24"/>
              </w:rPr>
            </w:pPr>
            <w:r>
              <w:rPr>
                <w:sz w:val="24"/>
              </w:rPr>
              <w:t>5650000</w:t>
            </w:r>
          </w:p>
        </w:tc>
        <w:tc>
          <w:tcPr>
            <w:tcW w:w="1272" w:type="dxa"/>
          </w:tcPr>
          <w:p>
            <w:pPr>
              <w:pStyle w:val="TableParagraph"/>
              <w:spacing w:before="13"/>
              <w:ind w:left="208"/>
              <w:jc w:val="left"/>
              <w:rPr>
                <w:sz w:val="24"/>
              </w:rPr>
            </w:pPr>
            <w:r>
              <w:rPr>
                <w:sz w:val="24"/>
              </w:rPr>
              <w:t>6040000</w:t>
            </w:r>
          </w:p>
        </w:tc>
        <w:tc>
          <w:tcPr>
            <w:tcW w:w="1471" w:type="dxa"/>
          </w:tcPr>
          <w:p>
            <w:pPr>
              <w:pStyle w:val="TableParagraph"/>
              <w:spacing w:before="13"/>
              <w:ind w:left="280" w:right="280"/>
              <w:rPr>
                <w:sz w:val="24"/>
              </w:rPr>
            </w:pPr>
            <w:r>
              <w:rPr>
                <w:sz w:val="24"/>
              </w:rPr>
              <w:t>-390 000</w:t>
            </w:r>
          </w:p>
        </w:tc>
        <w:tc>
          <w:tcPr>
            <w:tcW w:w="982" w:type="dxa"/>
          </w:tcPr>
          <w:p>
            <w:pPr>
              <w:pStyle w:val="TableParagraph"/>
              <w:spacing w:before="13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7" w:type="dxa"/>
          </w:tcPr>
          <w:p>
            <w:pPr>
              <w:pStyle w:val="TableParagraph"/>
              <w:spacing w:before="13"/>
              <w:ind w:left="67" w:right="69"/>
              <w:rPr>
                <w:sz w:val="24"/>
              </w:rPr>
            </w:pPr>
            <w:r>
              <w:rPr>
                <w:sz w:val="24"/>
              </w:rPr>
              <w:t>41,6832</w:t>
            </w:r>
          </w:p>
        </w:tc>
        <w:tc>
          <w:tcPr>
            <w:tcW w:w="1250" w:type="dxa"/>
            <w:vMerge w:val="restart"/>
          </w:tcPr>
          <w:p>
            <w:pPr>
              <w:pStyle w:val="TableParagraph"/>
              <w:jc w:val="left"/>
              <w:rPr>
                <w:sz w:val="24"/>
              </w:rPr>
            </w:pPr>
          </w:p>
          <w:p>
            <w:pPr>
              <w:pStyle w:val="TableParagraph"/>
              <w:jc w:val="left"/>
              <w:rPr>
                <w:sz w:val="24"/>
              </w:rPr>
            </w:pPr>
          </w:p>
          <w:p>
            <w:pPr>
              <w:pStyle w:val="TableParagraph"/>
              <w:spacing w:before="212"/>
              <w:ind w:left="16"/>
              <w:jc w:val="left"/>
              <w:rPr>
                <w:sz w:val="24"/>
              </w:rPr>
            </w:pPr>
            <w:r>
              <w:rPr>
                <w:sz w:val="24"/>
              </w:rPr>
              <w:t>180 000 000</w:t>
            </w:r>
          </w:p>
        </w:tc>
      </w:tr>
      <w:tr>
        <w:trPr>
          <w:trHeight w:val="254" w:hRule="exact"/>
        </w:trPr>
        <w:tc>
          <w:tcPr>
            <w:tcW w:w="1997" w:type="dxa"/>
          </w:tcPr>
          <w:p>
            <w:pPr>
              <w:pStyle w:val="TableParagraph"/>
              <w:spacing w:line="268" w:lineRule="exact"/>
              <w:ind w:left="4" w:right="76"/>
              <w:jc w:val="left"/>
              <w:rPr>
                <w:sz w:val="24"/>
              </w:rPr>
            </w:pPr>
            <w:r>
              <w:rPr>
                <w:sz w:val="24"/>
              </w:rPr>
              <w:t>Датская крона</w:t>
            </w:r>
          </w:p>
        </w:tc>
        <w:tc>
          <w:tcPr>
            <w:tcW w:w="655" w:type="dxa"/>
          </w:tcPr>
          <w:p>
            <w:pPr>
              <w:pStyle w:val="TableParagraph"/>
              <w:spacing w:line="268" w:lineRule="exact"/>
              <w:ind w:left="42" w:right="43"/>
              <w:rPr>
                <w:sz w:val="24"/>
              </w:rPr>
            </w:pPr>
            <w:r>
              <w:rPr>
                <w:sz w:val="24"/>
              </w:rPr>
              <w:t>DKK</w:t>
            </w:r>
          </w:p>
        </w:tc>
        <w:tc>
          <w:tcPr>
            <w:tcW w:w="1322" w:type="dxa"/>
          </w:tcPr>
          <w:p>
            <w:pPr>
              <w:pStyle w:val="TableParagraph"/>
              <w:spacing w:line="268" w:lineRule="exact"/>
              <w:ind w:left="215" w:right="215"/>
              <w:rPr>
                <w:sz w:val="24"/>
              </w:rPr>
            </w:pPr>
            <w:r>
              <w:rPr>
                <w:sz w:val="24"/>
              </w:rPr>
              <w:t>425000</w:t>
            </w:r>
          </w:p>
        </w:tc>
        <w:tc>
          <w:tcPr>
            <w:tcW w:w="1272" w:type="dxa"/>
          </w:tcPr>
          <w:p>
            <w:pPr>
              <w:pStyle w:val="TableParagraph"/>
              <w:spacing w:line="268" w:lineRule="exact"/>
              <w:ind w:left="268"/>
              <w:jc w:val="left"/>
              <w:rPr>
                <w:sz w:val="24"/>
              </w:rPr>
            </w:pPr>
            <w:r>
              <w:rPr>
                <w:sz w:val="24"/>
              </w:rPr>
              <w:t>518000</w:t>
            </w:r>
          </w:p>
        </w:tc>
        <w:tc>
          <w:tcPr>
            <w:tcW w:w="1471" w:type="dxa"/>
          </w:tcPr>
          <w:p>
            <w:pPr>
              <w:pStyle w:val="TableParagraph"/>
              <w:spacing w:line="268" w:lineRule="exact"/>
              <w:ind w:left="280" w:right="280"/>
              <w:rPr>
                <w:sz w:val="24"/>
              </w:rPr>
            </w:pPr>
            <w:r>
              <w:rPr>
                <w:sz w:val="24"/>
              </w:rPr>
              <w:t>-93 000</w:t>
            </w:r>
          </w:p>
        </w:tc>
        <w:tc>
          <w:tcPr>
            <w:tcW w:w="982" w:type="dxa"/>
          </w:tcPr>
          <w:p>
            <w:pPr>
              <w:pStyle w:val="TableParagraph"/>
              <w:spacing w:line="268" w:lineRule="exact"/>
              <w:ind w:right="36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67" w:type="dxa"/>
          </w:tcPr>
          <w:p>
            <w:pPr>
              <w:pStyle w:val="TableParagraph"/>
              <w:spacing w:line="268" w:lineRule="exact"/>
              <w:ind w:left="67" w:right="69"/>
              <w:rPr>
                <w:sz w:val="24"/>
              </w:rPr>
            </w:pPr>
            <w:r>
              <w:rPr>
                <w:sz w:val="24"/>
              </w:rPr>
              <w:t>58,5431</w:t>
            </w:r>
          </w:p>
        </w:tc>
        <w:tc>
          <w:tcPr>
            <w:tcW w:w="1250" w:type="dxa"/>
            <w:vMerge/>
          </w:tcPr>
          <w:p>
            <w:pPr/>
          </w:p>
        </w:tc>
      </w:tr>
      <w:tr>
        <w:trPr>
          <w:trHeight w:val="566" w:hRule="exact"/>
        </w:trPr>
        <w:tc>
          <w:tcPr>
            <w:tcW w:w="1997" w:type="dxa"/>
          </w:tcPr>
          <w:p>
            <w:pPr>
              <w:pStyle w:val="TableParagraph"/>
              <w:spacing w:before="131"/>
              <w:ind w:left="4" w:right="76"/>
              <w:jc w:val="left"/>
              <w:rPr>
                <w:sz w:val="24"/>
              </w:rPr>
            </w:pPr>
            <w:r>
              <w:rPr>
                <w:sz w:val="24"/>
              </w:rPr>
              <w:t>Турецкая лира</w:t>
            </w:r>
          </w:p>
        </w:tc>
        <w:tc>
          <w:tcPr>
            <w:tcW w:w="655" w:type="dxa"/>
          </w:tcPr>
          <w:p>
            <w:pPr>
              <w:pStyle w:val="TableParagraph"/>
              <w:spacing w:before="131"/>
              <w:ind w:left="42" w:right="43"/>
              <w:rPr>
                <w:sz w:val="24"/>
              </w:rPr>
            </w:pPr>
            <w:r>
              <w:rPr>
                <w:sz w:val="24"/>
              </w:rPr>
              <w:t>TRY</w:t>
            </w:r>
          </w:p>
        </w:tc>
        <w:tc>
          <w:tcPr>
            <w:tcW w:w="1322" w:type="dxa"/>
          </w:tcPr>
          <w:p>
            <w:pPr>
              <w:pStyle w:val="TableParagraph"/>
              <w:spacing w:before="131"/>
              <w:ind w:left="215" w:right="215"/>
              <w:rPr>
                <w:sz w:val="24"/>
              </w:rPr>
            </w:pPr>
            <w:r>
              <w:rPr>
                <w:sz w:val="24"/>
              </w:rPr>
              <w:t>750000</w:t>
            </w:r>
          </w:p>
        </w:tc>
        <w:tc>
          <w:tcPr>
            <w:tcW w:w="1272" w:type="dxa"/>
          </w:tcPr>
          <w:p>
            <w:pPr>
              <w:pStyle w:val="TableParagraph"/>
              <w:spacing w:before="131"/>
              <w:ind w:left="268"/>
              <w:jc w:val="left"/>
              <w:rPr>
                <w:sz w:val="24"/>
              </w:rPr>
            </w:pPr>
            <w:r>
              <w:rPr>
                <w:sz w:val="24"/>
              </w:rPr>
              <w:t>940000</w:t>
            </w:r>
          </w:p>
        </w:tc>
        <w:tc>
          <w:tcPr>
            <w:tcW w:w="1471" w:type="dxa"/>
          </w:tcPr>
          <w:p>
            <w:pPr>
              <w:pStyle w:val="TableParagraph"/>
              <w:spacing w:before="131"/>
              <w:ind w:left="280" w:right="280"/>
              <w:rPr>
                <w:sz w:val="24"/>
              </w:rPr>
            </w:pPr>
            <w:r>
              <w:rPr>
                <w:sz w:val="24"/>
              </w:rPr>
              <w:t>-190 000</w:t>
            </w:r>
          </w:p>
        </w:tc>
        <w:tc>
          <w:tcPr>
            <w:tcW w:w="982" w:type="dxa"/>
          </w:tcPr>
          <w:p>
            <w:pPr>
              <w:pStyle w:val="TableParagraph"/>
              <w:spacing w:before="13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7" w:type="dxa"/>
          </w:tcPr>
          <w:p>
            <w:pPr>
              <w:pStyle w:val="TableParagraph"/>
              <w:spacing w:before="131"/>
              <w:ind w:left="67" w:right="69"/>
              <w:rPr>
                <w:sz w:val="24"/>
              </w:rPr>
            </w:pPr>
            <w:r>
              <w:rPr>
                <w:sz w:val="24"/>
              </w:rPr>
              <w:t>17,0681</w:t>
            </w:r>
          </w:p>
        </w:tc>
        <w:tc>
          <w:tcPr>
            <w:tcW w:w="1250" w:type="dxa"/>
            <w:vMerge/>
          </w:tcPr>
          <w:p>
            <w:pPr/>
          </w:p>
        </w:tc>
      </w:tr>
      <w:tr>
        <w:trPr>
          <w:trHeight w:val="295" w:hRule="exact"/>
        </w:trPr>
        <w:tc>
          <w:tcPr>
            <w:tcW w:w="1997" w:type="dxa"/>
          </w:tcPr>
          <w:p>
            <w:pPr>
              <w:pStyle w:val="TableParagraph"/>
              <w:spacing w:line="268" w:lineRule="exact"/>
              <w:ind w:left="4" w:right="76"/>
              <w:jc w:val="left"/>
              <w:rPr>
                <w:sz w:val="24"/>
              </w:rPr>
            </w:pPr>
            <w:r>
              <w:rPr>
                <w:sz w:val="24"/>
              </w:rPr>
              <w:t>Швейцарский</w:t>
            </w:r>
          </w:p>
        </w:tc>
        <w:tc>
          <w:tcPr>
            <w:tcW w:w="655" w:type="dxa"/>
          </w:tcPr>
          <w:p>
            <w:pPr>
              <w:pStyle w:val="TableParagraph"/>
              <w:spacing w:line="273" w:lineRule="exact"/>
              <w:ind w:left="42" w:right="42"/>
              <w:rPr>
                <w:sz w:val="24"/>
              </w:rPr>
            </w:pPr>
            <w:r>
              <w:rPr>
                <w:sz w:val="24"/>
              </w:rPr>
              <w:t>CHF</w:t>
            </w:r>
          </w:p>
        </w:tc>
        <w:tc>
          <w:tcPr>
            <w:tcW w:w="1322" w:type="dxa"/>
          </w:tcPr>
          <w:p>
            <w:pPr>
              <w:pStyle w:val="TableParagraph"/>
              <w:spacing w:line="273" w:lineRule="exact"/>
              <w:ind w:left="215" w:right="215"/>
              <w:rPr>
                <w:sz w:val="24"/>
              </w:rPr>
            </w:pPr>
            <w:r>
              <w:rPr>
                <w:sz w:val="24"/>
              </w:rPr>
              <w:t>468000</w:t>
            </w:r>
          </w:p>
        </w:tc>
        <w:tc>
          <w:tcPr>
            <w:tcW w:w="1272" w:type="dxa"/>
          </w:tcPr>
          <w:p>
            <w:pPr>
              <w:pStyle w:val="TableParagraph"/>
              <w:spacing w:line="273" w:lineRule="exact"/>
              <w:ind w:left="268"/>
              <w:jc w:val="left"/>
              <w:rPr>
                <w:sz w:val="24"/>
              </w:rPr>
            </w:pPr>
            <w:r>
              <w:rPr>
                <w:sz w:val="24"/>
              </w:rPr>
              <w:t>760000</w:t>
            </w:r>
          </w:p>
        </w:tc>
        <w:tc>
          <w:tcPr>
            <w:tcW w:w="1471" w:type="dxa"/>
          </w:tcPr>
          <w:p>
            <w:pPr>
              <w:pStyle w:val="TableParagraph"/>
              <w:spacing w:line="273" w:lineRule="exact"/>
              <w:ind w:left="280" w:right="280"/>
              <w:rPr>
                <w:sz w:val="24"/>
              </w:rPr>
            </w:pPr>
            <w:r>
              <w:rPr>
                <w:sz w:val="24"/>
              </w:rPr>
              <w:t>-292 000</w:t>
            </w:r>
          </w:p>
        </w:tc>
        <w:tc>
          <w:tcPr>
            <w:tcW w:w="982" w:type="dxa"/>
          </w:tcPr>
          <w:p>
            <w:pPr>
              <w:pStyle w:val="TableParagraph"/>
              <w:spacing w:line="273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7" w:type="dxa"/>
          </w:tcPr>
          <w:p>
            <w:pPr>
              <w:pStyle w:val="TableParagraph"/>
              <w:spacing w:line="273" w:lineRule="exact"/>
              <w:ind w:left="67" w:right="69"/>
              <w:rPr>
                <w:sz w:val="24"/>
              </w:rPr>
            </w:pPr>
            <w:r>
              <w:rPr>
                <w:sz w:val="24"/>
              </w:rPr>
              <w:t>32,4506</w:t>
            </w:r>
          </w:p>
        </w:tc>
        <w:tc>
          <w:tcPr>
            <w:tcW w:w="1250" w:type="dxa"/>
            <w:vMerge/>
          </w:tcPr>
          <w:p>
            <w:pPr/>
          </w:p>
        </w:tc>
      </w:tr>
      <w:tr>
        <w:trPr>
          <w:trHeight w:val="391" w:hRule="exact"/>
        </w:trPr>
        <w:tc>
          <w:tcPr>
            <w:tcW w:w="1997" w:type="dxa"/>
          </w:tcPr>
          <w:p>
            <w:pPr>
              <w:pStyle w:val="TableParagraph"/>
              <w:spacing w:before="44"/>
              <w:ind w:left="4" w:right="76"/>
              <w:jc w:val="left"/>
              <w:rPr>
                <w:sz w:val="24"/>
              </w:rPr>
            </w:pPr>
            <w:r>
              <w:rPr>
                <w:sz w:val="24"/>
              </w:rPr>
              <w:t>Доллар США</w:t>
            </w:r>
          </w:p>
        </w:tc>
        <w:tc>
          <w:tcPr>
            <w:tcW w:w="655" w:type="dxa"/>
          </w:tcPr>
          <w:p>
            <w:pPr>
              <w:pStyle w:val="TableParagraph"/>
              <w:spacing w:before="44"/>
              <w:ind w:left="42" w:right="43"/>
              <w:rPr>
                <w:sz w:val="24"/>
              </w:rPr>
            </w:pPr>
            <w:r>
              <w:rPr>
                <w:sz w:val="24"/>
              </w:rPr>
              <w:t>USD</w:t>
            </w:r>
          </w:p>
        </w:tc>
        <w:tc>
          <w:tcPr>
            <w:tcW w:w="1322" w:type="dxa"/>
          </w:tcPr>
          <w:p>
            <w:pPr>
              <w:pStyle w:val="TableParagraph"/>
              <w:spacing w:before="44"/>
              <w:ind w:left="215" w:right="216"/>
              <w:rPr>
                <w:sz w:val="24"/>
              </w:rPr>
            </w:pPr>
            <w:r>
              <w:rPr>
                <w:sz w:val="24"/>
              </w:rPr>
              <w:t>7006000</w:t>
            </w:r>
          </w:p>
        </w:tc>
        <w:tc>
          <w:tcPr>
            <w:tcW w:w="1272" w:type="dxa"/>
          </w:tcPr>
          <w:p>
            <w:pPr>
              <w:pStyle w:val="TableParagraph"/>
              <w:spacing w:before="44"/>
              <w:ind w:left="208"/>
              <w:jc w:val="left"/>
              <w:rPr>
                <w:sz w:val="24"/>
              </w:rPr>
            </w:pPr>
            <w:r>
              <w:rPr>
                <w:sz w:val="24"/>
              </w:rPr>
              <w:t>6260000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280" w:right="278"/>
              <w:rPr>
                <w:sz w:val="24"/>
              </w:rPr>
            </w:pPr>
            <w:r>
              <w:rPr>
                <w:sz w:val="24"/>
              </w:rPr>
              <w:t>746 000</w:t>
            </w:r>
          </w:p>
        </w:tc>
        <w:tc>
          <w:tcPr>
            <w:tcW w:w="982" w:type="dxa"/>
          </w:tcPr>
          <w:p>
            <w:pPr>
              <w:pStyle w:val="TableParagraph"/>
              <w:spacing w:before="44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7" w:type="dxa"/>
          </w:tcPr>
          <w:p>
            <w:pPr>
              <w:pStyle w:val="TableParagraph"/>
              <w:spacing w:before="44"/>
              <w:ind w:left="67" w:right="69"/>
              <w:rPr>
                <w:sz w:val="24"/>
              </w:rPr>
            </w:pPr>
            <w:r>
              <w:rPr>
                <w:sz w:val="24"/>
              </w:rPr>
              <w:t>30,1536</w:t>
            </w:r>
          </w:p>
        </w:tc>
        <w:tc>
          <w:tcPr>
            <w:tcW w:w="1250" w:type="dxa"/>
            <w:vMerge/>
          </w:tcPr>
          <w:p>
            <w:pPr/>
          </w:p>
        </w:tc>
      </w:tr>
    </w:tbl>
    <w:p>
      <w:pPr>
        <w:spacing w:after="0"/>
        <w:sectPr>
          <w:pgSz w:w="11900" w:h="16840"/>
          <w:pgMar w:header="0" w:footer="621" w:top="1080" w:bottom="820" w:left="1300" w:right="220"/>
        </w:sect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9"/>
        <w:gridCol w:w="866"/>
        <w:gridCol w:w="1445"/>
        <w:gridCol w:w="1267"/>
        <w:gridCol w:w="1349"/>
        <w:gridCol w:w="1682"/>
        <w:gridCol w:w="1682"/>
      </w:tblGrid>
      <w:tr>
        <w:trPr>
          <w:trHeight w:val="1721" w:hRule="exact"/>
        </w:trPr>
        <w:tc>
          <w:tcPr>
            <w:tcW w:w="1649" w:type="dxa"/>
          </w:tcPr>
          <w:p>
            <w:pPr>
              <w:pStyle w:val="TableParagraph"/>
              <w:jc w:val="left"/>
              <w:rPr>
                <w:sz w:val="20"/>
              </w:rPr>
            </w:pPr>
          </w:p>
          <w:p>
            <w:pPr>
              <w:pStyle w:val="TableParagraph"/>
              <w:jc w:val="left"/>
              <w:rPr>
                <w:sz w:val="20"/>
              </w:rPr>
            </w:pPr>
          </w:p>
          <w:p>
            <w:pPr>
              <w:pStyle w:val="TableParagraph"/>
              <w:spacing w:before="152"/>
              <w:ind w:left="499" w:hanging="252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Иностранная </w:t>
            </w:r>
            <w:r>
              <w:rPr>
                <w:sz w:val="20"/>
              </w:rPr>
              <w:t>валюта</w:t>
            </w:r>
          </w:p>
        </w:tc>
        <w:tc>
          <w:tcPr>
            <w:tcW w:w="866" w:type="dxa"/>
          </w:tcPr>
          <w:p>
            <w:pPr>
              <w:pStyle w:val="TableParagraph"/>
              <w:jc w:val="left"/>
              <w:rPr>
                <w:sz w:val="20"/>
              </w:rPr>
            </w:pPr>
          </w:p>
          <w:p>
            <w:pPr>
              <w:pStyle w:val="TableParagraph"/>
              <w:jc w:val="left"/>
              <w:rPr>
                <w:sz w:val="20"/>
              </w:rPr>
            </w:pPr>
          </w:p>
          <w:p>
            <w:pPr>
              <w:pStyle w:val="TableParagraph"/>
              <w:spacing w:before="152"/>
              <w:ind w:left="165" w:right="178" w:firstLine="36"/>
              <w:jc w:val="left"/>
              <w:rPr>
                <w:sz w:val="20"/>
              </w:rPr>
            </w:pPr>
            <w:r>
              <w:rPr>
                <w:sz w:val="20"/>
              </w:rPr>
              <w:t>Курс рубля</w:t>
            </w:r>
          </w:p>
        </w:tc>
        <w:tc>
          <w:tcPr>
            <w:tcW w:w="1445" w:type="dxa"/>
          </w:tcPr>
          <w:p>
            <w:pPr>
              <w:pStyle w:val="TableParagraph"/>
              <w:ind w:left="170" w:right="200" w:hanging="1"/>
              <w:rPr>
                <w:sz w:val="20"/>
              </w:rPr>
            </w:pPr>
            <w:r>
              <w:rPr>
                <w:sz w:val="20"/>
              </w:rPr>
              <w:t>Открытая валютная позиция по каждой ино- странной валюте</w:t>
            </w:r>
          </w:p>
        </w:tc>
        <w:tc>
          <w:tcPr>
            <w:tcW w:w="1267" w:type="dxa"/>
          </w:tcPr>
          <w:p>
            <w:pPr>
              <w:pStyle w:val="TableParagraph"/>
              <w:jc w:val="left"/>
              <w:rPr>
                <w:sz w:val="20"/>
              </w:rPr>
            </w:pPr>
          </w:p>
          <w:p>
            <w:pPr>
              <w:pStyle w:val="TableParagraph"/>
              <w:spacing w:before="152"/>
              <w:ind w:left="208" w:right="239" w:firstLine="36"/>
              <w:jc w:val="both"/>
              <w:rPr>
                <w:sz w:val="20"/>
              </w:rPr>
            </w:pPr>
            <w:r>
              <w:rPr>
                <w:sz w:val="20"/>
              </w:rPr>
              <w:t>Длинная открытая валютная позиция</w:t>
            </w:r>
          </w:p>
        </w:tc>
        <w:tc>
          <w:tcPr>
            <w:tcW w:w="1349" w:type="dxa"/>
          </w:tcPr>
          <w:p>
            <w:pPr>
              <w:pStyle w:val="TableParagraph"/>
              <w:jc w:val="left"/>
              <w:rPr>
                <w:sz w:val="20"/>
              </w:rPr>
            </w:pPr>
          </w:p>
          <w:p>
            <w:pPr>
              <w:pStyle w:val="TableParagraph"/>
              <w:spacing w:before="152"/>
              <w:ind w:left="249" w:right="280" w:firstLine="4"/>
              <w:jc w:val="both"/>
              <w:rPr>
                <w:sz w:val="20"/>
              </w:rPr>
            </w:pPr>
            <w:r>
              <w:rPr>
                <w:sz w:val="20"/>
              </w:rPr>
              <w:t>Короткая открытая валютная позиция</w:t>
            </w:r>
          </w:p>
        </w:tc>
        <w:tc>
          <w:tcPr>
            <w:tcW w:w="1682" w:type="dxa"/>
          </w:tcPr>
          <w:p>
            <w:pPr>
              <w:pStyle w:val="TableParagraph"/>
              <w:spacing w:before="151"/>
              <w:ind w:left="167" w:right="200" w:firstLine="4"/>
              <w:rPr>
                <w:sz w:val="20"/>
              </w:rPr>
            </w:pPr>
            <w:r>
              <w:rPr>
                <w:sz w:val="20"/>
              </w:rPr>
              <w:t>Доля длинной открытой ва- лютной пози- ции в соб- ственных сред- ствах банка</w:t>
            </w:r>
          </w:p>
        </w:tc>
        <w:tc>
          <w:tcPr>
            <w:tcW w:w="1682" w:type="dxa"/>
          </w:tcPr>
          <w:p>
            <w:pPr>
              <w:pStyle w:val="TableParagraph"/>
              <w:spacing w:before="151"/>
              <w:ind w:left="167" w:right="200" w:firstLine="2"/>
              <w:rPr>
                <w:sz w:val="20"/>
              </w:rPr>
            </w:pPr>
            <w:r>
              <w:rPr>
                <w:sz w:val="20"/>
              </w:rPr>
              <w:t>Доля короткой открытой ва- лютной пози- ции в соб- ственных сред- ствах банка</w:t>
            </w:r>
          </w:p>
        </w:tc>
      </w:tr>
      <w:tr>
        <w:trPr>
          <w:trHeight w:val="701" w:hRule="exact"/>
        </w:trPr>
        <w:tc>
          <w:tcPr>
            <w:tcW w:w="1649" w:type="dxa"/>
          </w:tcPr>
          <w:p>
            <w:pPr>
              <w:pStyle w:val="TableParagraph"/>
              <w:spacing w:before="9"/>
              <w:jc w:val="left"/>
              <w:rPr>
                <w:sz w:val="18"/>
              </w:rPr>
            </w:pPr>
          </w:p>
          <w:p>
            <w:pPr>
              <w:pStyle w:val="TableParagraph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66" w:type="dxa"/>
          </w:tcPr>
          <w:p>
            <w:pPr>
              <w:pStyle w:val="TableParagraph"/>
              <w:spacing w:before="9"/>
              <w:jc w:val="left"/>
              <w:rPr>
                <w:sz w:val="18"/>
              </w:rPr>
            </w:pPr>
          </w:p>
          <w:p>
            <w:pPr>
              <w:pStyle w:val="TableParagraph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45" w:type="dxa"/>
          </w:tcPr>
          <w:p>
            <w:pPr>
              <w:pStyle w:val="TableParagraph"/>
              <w:spacing w:before="9"/>
              <w:jc w:val="left"/>
              <w:rPr>
                <w:sz w:val="18"/>
              </w:rPr>
            </w:pPr>
          </w:p>
          <w:p>
            <w:pPr>
              <w:pStyle w:val="TableParagraph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267" w:type="dxa"/>
          </w:tcPr>
          <w:p>
            <w:pPr>
              <w:pStyle w:val="TableParagraph"/>
              <w:spacing w:before="9"/>
              <w:jc w:val="left"/>
              <w:rPr>
                <w:sz w:val="18"/>
              </w:rPr>
            </w:pPr>
          </w:p>
          <w:p>
            <w:pPr>
              <w:pStyle w:val="TableParagraph"/>
              <w:ind w:left="82" w:right="83"/>
              <w:rPr>
                <w:sz w:val="20"/>
              </w:rPr>
            </w:pPr>
            <w:r>
              <w:rPr>
                <w:sz w:val="20"/>
              </w:rPr>
              <w:t>4 = 2*3</w:t>
            </w:r>
          </w:p>
        </w:tc>
        <w:tc>
          <w:tcPr>
            <w:tcW w:w="1349" w:type="dxa"/>
          </w:tcPr>
          <w:p>
            <w:pPr>
              <w:pStyle w:val="TableParagraph"/>
              <w:spacing w:before="9"/>
              <w:jc w:val="left"/>
              <w:rPr>
                <w:sz w:val="18"/>
              </w:rPr>
            </w:pPr>
          </w:p>
          <w:p>
            <w:pPr>
              <w:pStyle w:val="TableParagraph"/>
              <w:ind w:left="90" w:right="91"/>
              <w:rPr>
                <w:sz w:val="20"/>
              </w:rPr>
            </w:pPr>
            <w:r>
              <w:rPr>
                <w:sz w:val="20"/>
              </w:rPr>
              <w:t>5 = 2*3</w:t>
            </w:r>
          </w:p>
        </w:tc>
        <w:tc>
          <w:tcPr>
            <w:tcW w:w="1682" w:type="dxa"/>
          </w:tcPr>
          <w:p>
            <w:pPr>
              <w:pStyle w:val="TableParagraph"/>
              <w:spacing w:before="101"/>
              <w:ind w:left="82" w:right="82"/>
              <w:rPr>
                <w:sz w:val="20"/>
              </w:rPr>
            </w:pPr>
            <w:r>
              <w:rPr>
                <w:sz w:val="20"/>
              </w:rPr>
              <w:t>6 = 4 /</w:t>
            </w:r>
          </w:p>
          <w:p>
            <w:pPr>
              <w:pStyle w:val="TableParagraph"/>
              <w:ind w:left="83" w:right="82"/>
              <w:rPr>
                <w:sz w:val="20"/>
              </w:rPr>
            </w:pPr>
            <w:r>
              <w:rPr>
                <w:sz w:val="20"/>
              </w:rPr>
              <w:t>180000000*100%</w:t>
            </w:r>
          </w:p>
        </w:tc>
        <w:tc>
          <w:tcPr>
            <w:tcW w:w="1682" w:type="dxa"/>
          </w:tcPr>
          <w:p>
            <w:pPr>
              <w:pStyle w:val="TableParagraph"/>
              <w:spacing w:line="216" w:lineRule="exact"/>
              <w:ind w:left="80" w:right="82"/>
              <w:rPr>
                <w:sz w:val="20"/>
              </w:rPr>
            </w:pPr>
            <w:r>
              <w:rPr>
                <w:sz w:val="20"/>
              </w:rPr>
              <w:t>7 = 5 /</w:t>
            </w:r>
          </w:p>
          <w:p>
            <w:pPr>
              <w:pStyle w:val="TableParagraph"/>
              <w:ind w:left="82" w:right="82"/>
              <w:rPr>
                <w:sz w:val="20"/>
              </w:rPr>
            </w:pPr>
            <w:r>
              <w:rPr>
                <w:sz w:val="20"/>
              </w:rPr>
              <w:t>180000000*100</w:t>
            </w:r>
          </w:p>
          <w:p>
            <w:pPr>
              <w:pStyle w:val="TableParagraph"/>
              <w:ind w:right="2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</w:tr>
      <w:tr>
        <w:trPr>
          <w:trHeight w:val="310" w:hRule="exact"/>
        </w:trPr>
        <w:tc>
          <w:tcPr>
            <w:tcW w:w="1649" w:type="dxa"/>
          </w:tcPr>
          <w:p>
            <w:pPr>
              <w:pStyle w:val="TableParagraph"/>
              <w:spacing w:before="19"/>
              <w:ind w:left="103"/>
              <w:jc w:val="left"/>
              <w:rPr>
                <w:sz w:val="20"/>
              </w:rPr>
            </w:pPr>
            <w:r>
              <w:rPr>
                <w:sz w:val="20"/>
              </w:rPr>
              <w:t>Евро</w:t>
            </w:r>
          </w:p>
        </w:tc>
        <w:tc>
          <w:tcPr>
            <w:tcW w:w="866" w:type="dxa"/>
          </w:tcPr>
          <w:p>
            <w:pPr>
              <w:pStyle w:val="TableParagraph"/>
              <w:spacing w:before="19"/>
              <w:ind w:left="83" w:right="82"/>
              <w:rPr>
                <w:sz w:val="20"/>
              </w:rPr>
            </w:pPr>
            <w:r>
              <w:rPr>
                <w:sz w:val="20"/>
              </w:rPr>
              <w:t>41,6832</w:t>
            </w:r>
          </w:p>
        </w:tc>
        <w:tc>
          <w:tcPr>
            <w:tcW w:w="1445" w:type="dxa"/>
          </w:tcPr>
          <w:p>
            <w:pPr>
              <w:pStyle w:val="TableParagraph"/>
              <w:spacing w:before="19"/>
              <w:ind w:left="338" w:right="338"/>
              <w:rPr>
                <w:sz w:val="20"/>
              </w:rPr>
            </w:pPr>
            <w:r>
              <w:rPr>
                <w:sz w:val="20"/>
              </w:rPr>
              <w:t>-390 000</w:t>
            </w:r>
          </w:p>
        </w:tc>
        <w:tc>
          <w:tcPr>
            <w:tcW w:w="1267" w:type="dxa"/>
          </w:tcPr>
          <w:p>
            <w:pPr>
              <w:pStyle w:val="TableParagraph"/>
              <w:spacing w:before="19"/>
              <w:rPr>
                <w:sz w:val="20"/>
              </w:rPr>
            </w:pPr>
            <w:r>
              <w:rPr>
                <w:color w:val="4F4F4F"/>
                <w:w w:val="99"/>
                <w:sz w:val="20"/>
              </w:rPr>
              <w:t>-</w:t>
            </w:r>
          </w:p>
        </w:tc>
        <w:tc>
          <w:tcPr>
            <w:tcW w:w="1349" w:type="dxa"/>
          </w:tcPr>
          <w:p>
            <w:pPr>
              <w:pStyle w:val="TableParagraph"/>
              <w:spacing w:before="19"/>
              <w:ind w:left="91" w:right="91"/>
              <w:rPr>
                <w:sz w:val="20"/>
              </w:rPr>
            </w:pPr>
            <w:r>
              <w:rPr>
                <w:color w:val="4F4F4F"/>
                <w:sz w:val="20"/>
              </w:rPr>
              <w:t>-16256448</w:t>
            </w:r>
          </w:p>
        </w:tc>
        <w:tc>
          <w:tcPr>
            <w:tcW w:w="1682" w:type="dxa"/>
          </w:tcPr>
          <w:p>
            <w:pPr>
              <w:pStyle w:val="TableParagraph"/>
              <w:spacing w:before="19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682" w:type="dxa"/>
          </w:tcPr>
          <w:p>
            <w:pPr>
              <w:pStyle w:val="TableParagraph"/>
              <w:spacing w:before="19"/>
              <w:ind w:right="708"/>
              <w:jc w:val="right"/>
              <w:rPr>
                <w:sz w:val="20"/>
              </w:rPr>
            </w:pPr>
            <w:r>
              <w:rPr>
                <w:sz w:val="20"/>
              </w:rPr>
              <w:t>9,0</w:t>
            </w:r>
          </w:p>
        </w:tc>
      </w:tr>
      <w:tr>
        <w:trPr>
          <w:trHeight w:val="269" w:hRule="exact"/>
        </w:trPr>
        <w:tc>
          <w:tcPr>
            <w:tcW w:w="1649" w:type="dxa"/>
          </w:tcPr>
          <w:p>
            <w:pPr>
              <w:pStyle w:val="TableParagraph"/>
              <w:ind w:left="103"/>
              <w:jc w:val="left"/>
              <w:rPr>
                <w:sz w:val="20"/>
              </w:rPr>
            </w:pPr>
            <w:r>
              <w:rPr>
                <w:sz w:val="20"/>
              </w:rPr>
              <w:t>Датская крона</w:t>
            </w:r>
          </w:p>
        </w:tc>
        <w:tc>
          <w:tcPr>
            <w:tcW w:w="866" w:type="dxa"/>
          </w:tcPr>
          <w:p>
            <w:pPr>
              <w:pStyle w:val="TableParagraph"/>
              <w:ind w:left="83" w:right="82"/>
              <w:rPr>
                <w:sz w:val="20"/>
              </w:rPr>
            </w:pPr>
            <w:r>
              <w:rPr>
                <w:sz w:val="20"/>
              </w:rPr>
              <w:t>58,5431</w:t>
            </w:r>
          </w:p>
        </w:tc>
        <w:tc>
          <w:tcPr>
            <w:tcW w:w="1445" w:type="dxa"/>
          </w:tcPr>
          <w:p>
            <w:pPr>
              <w:pStyle w:val="TableParagraph"/>
              <w:ind w:left="338" w:right="338"/>
              <w:rPr>
                <w:sz w:val="20"/>
              </w:rPr>
            </w:pPr>
            <w:r>
              <w:rPr>
                <w:sz w:val="20"/>
              </w:rPr>
              <w:t>-93 000</w:t>
            </w:r>
          </w:p>
        </w:tc>
        <w:tc>
          <w:tcPr>
            <w:tcW w:w="1267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color w:val="4F4F4F"/>
                <w:w w:val="99"/>
                <w:sz w:val="20"/>
              </w:rPr>
              <w:t>-</w:t>
            </w:r>
          </w:p>
        </w:tc>
        <w:tc>
          <w:tcPr>
            <w:tcW w:w="1349" w:type="dxa"/>
          </w:tcPr>
          <w:p>
            <w:pPr>
              <w:pStyle w:val="TableParagraph"/>
              <w:ind w:left="91" w:right="90"/>
              <w:rPr>
                <w:sz w:val="20"/>
              </w:rPr>
            </w:pPr>
            <w:r>
              <w:rPr>
                <w:color w:val="4F4F4F"/>
                <w:sz w:val="20"/>
              </w:rPr>
              <w:t>-544450,83</w:t>
            </w:r>
          </w:p>
        </w:tc>
        <w:tc>
          <w:tcPr>
            <w:tcW w:w="1682" w:type="dxa"/>
          </w:tcPr>
          <w:p>
            <w:pPr>
              <w:pStyle w:val="TableParagraph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682" w:type="dxa"/>
          </w:tcPr>
          <w:p>
            <w:pPr>
              <w:pStyle w:val="TableParagraph"/>
              <w:ind w:right="708"/>
              <w:jc w:val="right"/>
              <w:rPr>
                <w:sz w:val="20"/>
              </w:rPr>
            </w:pPr>
            <w:r>
              <w:rPr>
                <w:sz w:val="20"/>
              </w:rPr>
              <w:t>0,3</w:t>
            </w:r>
          </w:p>
        </w:tc>
      </w:tr>
      <w:tr>
        <w:trPr>
          <w:trHeight w:val="302" w:hRule="exact"/>
        </w:trPr>
        <w:tc>
          <w:tcPr>
            <w:tcW w:w="1649" w:type="dxa"/>
          </w:tcPr>
          <w:p>
            <w:pPr>
              <w:pStyle w:val="TableParagraph"/>
              <w:spacing w:before="17"/>
              <w:ind w:left="103"/>
              <w:jc w:val="left"/>
              <w:rPr>
                <w:sz w:val="20"/>
              </w:rPr>
            </w:pPr>
            <w:r>
              <w:rPr>
                <w:sz w:val="20"/>
              </w:rPr>
              <w:t>Турецкая лира</w:t>
            </w:r>
          </w:p>
        </w:tc>
        <w:tc>
          <w:tcPr>
            <w:tcW w:w="866" w:type="dxa"/>
          </w:tcPr>
          <w:p>
            <w:pPr>
              <w:pStyle w:val="TableParagraph"/>
              <w:spacing w:before="17"/>
              <w:ind w:left="83" w:right="81"/>
              <w:rPr>
                <w:sz w:val="20"/>
              </w:rPr>
            </w:pPr>
            <w:r>
              <w:rPr>
                <w:sz w:val="20"/>
              </w:rPr>
              <w:t>17,0681</w:t>
            </w:r>
          </w:p>
        </w:tc>
        <w:tc>
          <w:tcPr>
            <w:tcW w:w="1445" w:type="dxa"/>
          </w:tcPr>
          <w:p>
            <w:pPr>
              <w:pStyle w:val="TableParagraph"/>
              <w:spacing w:before="17"/>
              <w:ind w:left="339" w:right="338"/>
              <w:rPr>
                <w:sz w:val="20"/>
              </w:rPr>
            </w:pPr>
            <w:r>
              <w:rPr>
                <w:sz w:val="20"/>
              </w:rPr>
              <w:t>-190 000</w:t>
            </w:r>
          </w:p>
        </w:tc>
        <w:tc>
          <w:tcPr>
            <w:tcW w:w="1267" w:type="dxa"/>
          </w:tcPr>
          <w:p>
            <w:pPr>
              <w:pStyle w:val="TableParagraph"/>
              <w:spacing w:before="17"/>
              <w:rPr>
                <w:sz w:val="20"/>
              </w:rPr>
            </w:pPr>
            <w:r>
              <w:rPr>
                <w:color w:val="4F4F4F"/>
                <w:w w:val="99"/>
                <w:sz w:val="20"/>
              </w:rPr>
              <w:t>-</w:t>
            </w:r>
          </w:p>
        </w:tc>
        <w:tc>
          <w:tcPr>
            <w:tcW w:w="1349" w:type="dxa"/>
          </w:tcPr>
          <w:p>
            <w:pPr>
              <w:pStyle w:val="TableParagraph"/>
              <w:spacing w:before="17"/>
              <w:ind w:left="91" w:right="91"/>
              <w:rPr>
                <w:sz w:val="20"/>
              </w:rPr>
            </w:pPr>
            <w:r>
              <w:rPr>
                <w:color w:val="4F4F4F"/>
                <w:sz w:val="20"/>
              </w:rPr>
              <w:t>-3242939</w:t>
            </w:r>
          </w:p>
        </w:tc>
        <w:tc>
          <w:tcPr>
            <w:tcW w:w="1682" w:type="dxa"/>
          </w:tcPr>
          <w:p>
            <w:pPr>
              <w:pStyle w:val="TableParagraph"/>
              <w:spacing w:before="17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682" w:type="dxa"/>
          </w:tcPr>
          <w:p>
            <w:pPr>
              <w:pStyle w:val="TableParagraph"/>
              <w:spacing w:before="17"/>
              <w:ind w:right="708"/>
              <w:jc w:val="right"/>
              <w:rPr>
                <w:sz w:val="20"/>
              </w:rPr>
            </w:pPr>
            <w:r>
              <w:rPr>
                <w:sz w:val="20"/>
              </w:rPr>
              <w:t>1,8</w:t>
            </w:r>
          </w:p>
        </w:tc>
      </w:tr>
      <w:tr>
        <w:trPr>
          <w:trHeight w:val="538" w:hRule="exact"/>
        </w:trPr>
        <w:tc>
          <w:tcPr>
            <w:tcW w:w="1649" w:type="dxa"/>
          </w:tcPr>
          <w:p>
            <w:pPr>
              <w:pStyle w:val="TableParagraph"/>
              <w:spacing w:before="19"/>
              <w:ind w:left="103" w:right="328"/>
              <w:jc w:val="left"/>
              <w:rPr>
                <w:sz w:val="20"/>
              </w:rPr>
            </w:pPr>
            <w:r>
              <w:rPr>
                <w:sz w:val="20"/>
              </w:rPr>
              <w:t>Швейцарский франк</w:t>
            </w:r>
          </w:p>
        </w:tc>
        <w:tc>
          <w:tcPr>
            <w:tcW w:w="866" w:type="dxa"/>
          </w:tcPr>
          <w:p>
            <w:pPr>
              <w:pStyle w:val="TableParagraph"/>
              <w:spacing w:before="135"/>
              <w:ind w:left="83" w:right="82"/>
              <w:rPr>
                <w:sz w:val="20"/>
              </w:rPr>
            </w:pPr>
            <w:r>
              <w:rPr>
                <w:sz w:val="20"/>
              </w:rPr>
              <w:t>32,4506</w:t>
            </w:r>
          </w:p>
        </w:tc>
        <w:tc>
          <w:tcPr>
            <w:tcW w:w="1445" w:type="dxa"/>
          </w:tcPr>
          <w:p>
            <w:pPr>
              <w:pStyle w:val="TableParagraph"/>
              <w:spacing w:before="135"/>
              <w:ind w:left="338" w:right="338"/>
              <w:rPr>
                <w:sz w:val="20"/>
              </w:rPr>
            </w:pPr>
            <w:r>
              <w:rPr>
                <w:sz w:val="20"/>
              </w:rPr>
              <w:t>-292 000</w:t>
            </w:r>
          </w:p>
        </w:tc>
        <w:tc>
          <w:tcPr>
            <w:tcW w:w="1267" w:type="dxa"/>
          </w:tcPr>
          <w:p>
            <w:pPr>
              <w:pStyle w:val="TableParagraph"/>
              <w:spacing w:before="135"/>
              <w:rPr>
                <w:sz w:val="20"/>
              </w:rPr>
            </w:pPr>
            <w:r>
              <w:rPr>
                <w:color w:val="4F4F4F"/>
                <w:w w:val="99"/>
                <w:sz w:val="20"/>
              </w:rPr>
              <w:t>-</w:t>
            </w:r>
          </w:p>
        </w:tc>
        <w:tc>
          <w:tcPr>
            <w:tcW w:w="1349" w:type="dxa"/>
          </w:tcPr>
          <w:p>
            <w:pPr>
              <w:pStyle w:val="TableParagraph"/>
              <w:spacing w:before="135"/>
              <w:ind w:left="91" w:right="90"/>
              <w:rPr>
                <w:sz w:val="20"/>
              </w:rPr>
            </w:pPr>
            <w:r>
              <w:rPr>
                <w:color w:val="4F4F4F"/>
                <w:sz w:val="20"/>
              </w:rPr>
              <w:t>-9475575,2</w:t>
            </w:r>
          </w:p>
        </w:tc>
        <w:tc>
          <w:tcPr>
            <w:tcW w:w="1682" w:type="dxa"/>
          </w:tcPr>
          <w:p>
            <w:pPr>
              <w:pStyle w:val="TableParagraph"/>
              <w:spacing w:before="135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682" w:type="dxa"/>
          </w:tcPr>
          <w:p>
            <w:pPr>
              <w:pStyle w:val="TableParagraph"/>
              <w:spacing w:before="135"/>
              <w:ind w:right="708"/>
              <w:jc w:val="right"/>
              <w:rPr>
                <w:sz w:val="20"/>
              </w:rPr>
            </w:pPr>
            <w:r>
              <w:rPr>
                <w:sz w:val="20"/>
              </w:rPr>
              <w:t>5,3</w:t>
            </w:r>
          </w:p>
        </w:tc>
      </w:tr>
      <w:tr>
        <w:trPr>
          <w:trHeight w:val="314" w:hRule="exact"/>
        </w:trPr>
        <w:tc>
          <w:tcPr>
            <w:tcW w:w="1649" w:type="dxa"/>
          </w:tcPr>
          <w:p>
            <w:pPr>
              <w:pStyle w:val="TableParagraph"/>
              <w:spacing w:before="24"/>
              <w:ind w:left="103"/>
              <w:jc w:val="left"/>
              <w:rPr>
                <w:sz w:val="20"/>
              </w:rPr>
            </w:pPr>
            <w:r>
              <w:rPr>
                <w:sz w:val="20"/>
              </w:rPr>
              <w:t>Доллар США</w:t>
            </w:r>
          </w:p>
        </w:tc>
        <w:tc>
          <w:tcPr>
            <w:tcW w:w="866" w:type="dxa"/>
          </w:tcPr>
          <w:p>
            <w:pPr>
              <w:pStyle w:val="TableParagraph"/>
              <w:spacing w:before="24"/>
              <w:ind w:left="83" w:right="82"/>
              <w:rPr>
                <w:sz w:val="20"/>
              </w:rPr>
            </w:pPr>
            <w:r>
              <w:rPr>
                <w:sz w:val="20"/>
              </w:rPr>
              <w:t>30,1536</w:t>
            </w:r>
          </w:p>
        </w:tc>
        <w:tc>
          <w:tcPr>
            <w:tcW w:w="1445" w:type="dxa"/>
          </w:tcPr>
          <w:p>
            <w:pPr>
              <w:pStyle w:val="TableParagraph"/>
              <w:spacing w:before="24"/>
              <w:ind w:left="338" w:right="338"/>
              <w:rPr>
                <w:sz w:val="20"/>
              </w:rPr>
            </w:pPr>
            <w:r>
              <w:rPr>
                <w:sz w:val="20"/>
              </w:rPr>
              <w:t>746 000</w:t>
            </w:r>
          </w:p>
        </w:tc>
        <w:tc>
          <w:tcPr>
            <w:tcW w:w="1267" w:type="dxa"/>
          </w:tcPr>
          <w:p>
            <w:pPr>
              <w:pStyle w:val="TableParagraph"/>
              <w:spacing w:before="24"/>
              <w:ind w:left="84" w:right="83"/>
              <w:rPr>
                <w:sz w:val="20"/>
              </w:rPr>
            </w:pPr>
            <w:r>
              <w:rPr>
                <w:color w:val="4F4F4F"/>
                <w:sz w:val="20"/>
              </w:rPr>
              <w:t>22494585,6</w:t>
            </w:r>
          </w:p>
        </w:tc>
        <w:tc>
          <w:tcPr>
            <w:tcW w:w="1349" w:type="dxa"/>
          </w:tcPr>
          <w:p>
            <w:pPr/>
          </w:p>
        </w:tc>
        <w:tc>
          <w:tcPr>
            <w:tcW w:w="1682" w:type="dxa"/>
          </w:tcPr>
          <w:p>
            <w:pPr>
              <w:pStyle w:val="TableParagraph"/>
              <w:spacing w:before="24"/>
              <w:ind w:right="659"/>
              <w:jc w:val="right"/>
              <w:rPr>
                <w:sz w:val="20"/>
              </w:rPr>
            </w:pPr>
            <w:r>
              <w:rPr>
                <w:sz w:val="20"/>
              </w:rPr>
              <w:t>12,5</w:t>
            </w:r>
          </w:p>
        </w:tc>
        <w:tc>
          <w:tcPr>
            <w:tcW w:w="1682" w:type="dxa"/>
          </w:tcPr>
          <w:p>
            <w:pPr>
              <w:pStyle w:val="TableParagraph"/>
              <w:spacing w:before="24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310" w:hRule="exact"/>
        </w:trPr>
        <w:tc>
          <w:tcPr>
            <w:tcW w:w="1649" w:type="dxa"/>
          </w:tcPr>
          <w:p>
            <w:pPr>
              <w:pStyle w:val="TableParagraph"/>
              <w:spacing w:line="216" w:lineRule="exact"/>
              <w:ind w:left="103"/>
              <w:jc w:val="left"/>
              <w:rPr>
                <w:sz w:val="20"/>
              </w:rPr>
            </w:pPr>
            <w:r>
              <w:rPr>
                <w:sz w:val="20"/>
              </w:rPr>
              <w:t>Итого:</w:t>
            </w:r>
          </w:p>
        </w:tc>
        <w:tc>
          <w:tcPr>
            <w:tcW w:w="866" w:type="dxa"/>
          </w:tcPr>
          <w:p>
            <w:pPr/>
          </w:p>
        </w:tc>
        <w:tc>
          <w:tcPr>
            <w:tcW w:w="1445" w:type="dxa"/>
          </w:tcPr>
          <w:p>
            <w:pPr/>
          </w:p>
        </w:tc>
        <w:tc>
          <w:tcPr>
            <w:tcW w:w="1267" w:type="dxa"/>
          </w:tcPr>
          <w:p>
            <w:pPr>
              <w:pStyle w:val="TableParagraph"/>
              <w:spacing w:before="22"/>
              <w:ind w:left="84" w:right="83"/>
              <w:rPr>
                <w:sz w:val="20"/>
              </w:rPr>
            </w:pPr>
            <w:r>
              <w:rPr>
                <w:color w:val="4F4F4F"/>
                <w:sz w:val="20"/>
              </w:rPr>
              <w:t>22494585,6</w:t>
            </w:r>
          </w:p>
        </w:tc>
        <w:tc>
          <w:tcPr>
            <w:tcW w:w="1349" w:type="dxa"/>
          </w:tcPr>
          <w:p>
            <w:pPr>
              <w:pStyle w:val="TableParagraph"/>
              <w:spacing w:before="22"/>
              <w:ind w:left="91" w:right="91"/>
              <w:rPr>
                <w:sz w:val="20"/>
              </w:rPr>
            </w:pPr>
            <w:r>
              <w:rPr>
                <w:color w:val="4F4F4F"/>
                <w:sz w:val="20"/>
              </w:rPr>
              <w:t>-29519413,03</w:t>
            </w:r>
          </w:p>
        </w:tc>
        <w:tc>
          <w:tcPr>
            <w:tcW w:w="1682" w:type="dxa"/>
          </w:tcPr>
          <w:p>
            <w:pPr>
              <w:pStyle w:val="TableParagraph"/>
              <w:spacing w:before="22"/>
              <w:ind w:right="659"/>
              <w:jc w:val="right"/>
              <w:rPr>
                <w:sz w:val="20"/>
              </w:rPr>
            </w:pPr>
            <w:r>
              <w:rPr>
                <w:sz w:val="20"/>
              </w:rPr>
              <w:t>12,5</w:t>
            </w:r>
          </w:p>
        </w:tc>
        <w:tc>
          <w:tcPr>
            <w:tcW w:w="1682" w:type="dxa"/>
          </w:tcPr>
          <w:p>
            <w:pPr>
              <w:pStyle w:val="TableParagraph"/>
              <w:spacing w:before="22"/>
              <w:ind w:right="658"/>
              <w:jc w:val="right"/>
              <w:rPr>
                <w:sz w:val="20"/>
              </w:rPr>
            </w:pPr>
            <w:r>
              <w:rPr>
                <w:sz w:val="20"/>
              </w:rPr>
              <w:t>16,4</w:t>
            </w:r>
          </w:p>
        </w:tc>
      </w:tr>
      <w:tr>
        <w:trPr>
          <w:trHeight w:val="1162" w:hRule="exact"/>
        </w:trPr>
        <w:tc>
          <w:tcPr>
            <w:tcW w:w="1649" w:type="dxa"/>
          </w:tcPr>
          <w:p>
            <w:pPr>
              <w:pStyle w:val="TableParagraph"/>
              <w:ind w:left="103"/>
              <w:jc w:val="left"/>
              <w:rPr>
                <w:sz w:val="20"/>
              </w:rPr>
            </w:pPr>
            <w:r>
              <w:rPr>
                <w:sz w:val="20"/>
              </w:rPr>
              <w:t>Позиция, от- крытая в рос- сийских рублях </w:t>
            </w:r>
            <w:r>
              <w:rPr>
                <w:w w:val="95"/>
                <w:sz w:val="20"/>
              </w:rPr>
              <w:t>(балансирующая </w:t>
            </w:r>
            <w:r>
              <w:rPr>
                <w:sz w:val="20"/>
              </w:rPr>
              <w:t>статья)</w:t>
            </w:r>
          </w:p>
        </w:tc>
        <w:tc>
          <w:tcPr>
            <w:tcW w:w="866" w:type="dxa"/>
          </w:tcPr>
          <w:p>
            <w:pPr/>
          </w:p>
        </w:tc>
        <w:tc>
          <w:tcPr>
            <w:tcW w:w="1445" w:type="dxa"/>
          </w:tcPr>
          <w:p>
            <w:pPr/>
          </w:p>
        </w:tc>
        <w:tc>
          <w:tcPr>
            <w:tcW w:w="1267" w:type="dxa"/>
          </w:tcPr>
          <w:p>
            <w:pPr>
              <w:pStyle w:val="TableParagraph"/>
              <w:jc w:val="left"/>
              <w:rPr>
                <w:sz w:val="20"/>
              </w:rPr>
            </w:pPr>
          </w:p>
          <w:p>
            <w:pPr>
              <w:pStyle w:val="TableParagraph"/>
              <w:spacing w:before="9"/>
              <w:jc w:val="left"/>
              <w:rPr>
                <w:sz w:val="18"/>
              </w:rPr>
            </w:pPr>
          </w:p>
          <w:p>
            <w:pPr>
              <w:pStyle w:val="TableParagraph"/>
              <w:spacing w:before="1"/>
              <w:ind w:left="84" w:right="83"/>
              <w:rPr>
                <w:sz w:val="20"/>
              </w:rPr>
            </w:pPr>
            <w:r>
              <w:rPr>
                <w:color w:val="4F4F4F"/>
                <w:sz w:val="20"/>
              </w:rPr>
              <w:t>7024827,43</w:t>
            </w:r>
          </w:p>
        </w:tc>
        <w:tc>
          <w:tcPr>
            <w:tcW w:w="1349" w:type="dxa"/>
          </w:tcPr>
          <w:p>
            <w:pPr/>
          </w:p>
        </w:tc>
        <w:tc>
          <w:tcPr>
            <w:tcW w:w="1682" w:type="dxa"/>
          </w:tcPr>
          <w:p>
            <w:pPr>
              <w:pStyle w:val="TableParagraph"/>
              <w:jc w:val="left"/>
              <w:rPr>
                <w:sz w:val="20"/>
              </w:rPr>
            </w:pPr>
          </w:p>
          <w:p>
            <w:pPr>
              <w:pStyle w:val="TableParagraph"/>
              <w:spacing w:before="9"/>
              <w:jc w:val="left"/>
              <w:rPr>
                <w:sz w:val="18"/>
              </w:rPr>
            </w:pPr>
          </w:p>
          <w:p>
            <w:pPr>
              <w:pStyle w:val="TableParagraph"/>
              <w:spacing w:before="1"/>
              <w:ind w:right="709"/>
              <w:jc w:val="right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1682" w:type="dxa"/>
          </w:tcPr>
          <w:p>
            <w:pPr>
              <w:pStyle w:val="TableParagraph"/>
              <w:jc w:val="left"/>
              <w:rPr>
                <w:sz w:val="20"/>
              </w:rPr>
            </w:pPr>
          </w:p>
          <w:p>
            <w:pPr>
              <w:pStyle w:val="TableParagraph"/>
              <w:spacing w:before="9"/>
              <w:jc w:val="left"/>
              <w:rPr>
                <w:sz w:val="18"/>
              </w:rPr>
            </w:pPr>
          </w:p>
          <w:p>
            <w:pPr>
              <w:pStyle w:val="TableParagraph"/>
              <w:spacing w:before="1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929" w:hRule="exact"/>
        </w:trPr>
        <w:tc>
          <w:tcPr>
            <w:tcW w:w="1649" w:type="dxa"/>
          </w:tcPr>
          <w:p>
            <w:pPr>
              <w:pStyle w:val="TableParagraph"/>
              <w:spacing w:line="216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Суммарная ве-</w:t>
            </w:r>
          </w:p>
          <w:p>
            <w:pPr>
              <w:pStyle w:val="TableParagraph"/>
              <w:ind w:left="103" w:right="289"/>
              <w:jc w:val="both"/>
              <w:rPr>
                <w:sz w:val="20"/>
              </w:rPr>
            </w:pPr>
            <w:r>
              <w:rPr>
                <w:sz w:val="20"/>
              </w:rPr>
              <w:t>личина откры- тых валютных позиций</w:t>
            </w:r>
          </w:p>
        </w:tc>
        <w:tc>
          <w:tcPr>
            <w:tcW w:w="866" w:type="dxa"/>
          </w:tcPr>
          <w:p>
            <w:pPr/>
          </w:p>
        </w:tc>
        <w:tc>
          <w:tcPr>
            <w:tcW w:w="1445" w:type="dxa"/>
          </w:tcPr>
          <w:p>
            <w:pPr/>
          </w:p>
        </w:tc>
        <w:tc>
          <w:tcPr>
            <w:tcW w:w="1267" w:type="dxa"/>
          </w:tcPr>
          <w:p>
            <w:pPr>
              <w:pStyle w:val="TableParagraph"/>
              <w:spacing w:before="9"/>
              <w:jc w:val="left"/>
              <w:rPr>
                <w:sz w:val="28"/>
              </w:rPr>
            </w:pPr>
          </w:p>
          <w:p>
            <w:pPr>
              <w:pStyle w:val="TableParagraph"/>
              <w:ind w:left="84" w:right="83"/>
              <w:rPr>
                <w:sz w:val="20"/>
              </w:rPr>
            </w:pPr>
            <w:r>
              <w:rPr>
                <w:color w:val="4F4F4F"/>
                <w:sz w:val="20"/>
              </w:rPr>
              <w:t>29519413,03</w:t>
            </w:r>
          </w:p>
        </w:tc>
        <w:tc>
          <w:tcPr>
            <w:tcW w:w="1349" w:type="dxa"/>
          </w:tcPr>
          <w:p>
            <w:pPr>
              <w:pStyle w:val="TableParagraph"/>
              <w:spacing w:before="9"/>
              <w:jc w:val="left"/>
              <w:rPr>
                <w:sz w:val="28"/>
              </w:rPr>
            </w:pPr>
          </w:p>
          <w:p>
            <w:pPr>
              <w:pStyle w:val="TableParagraph"/>
              <w:ind w:left="91" w:right="91"/>
              <w:rPr>
                <w:sz w:val="20"/>
              </w:rPr>
            </w:pPr>
            <w:r>
              <w:rPr>
                <w:color w:val="4F4F4F"/>
                <w:sz w:val="20"/>
              </w:rPr>
              <w:t>-29519413,03</w:t>
            </w:r>
          </w:p>
        </w:tc>
        <w:tc>
          <w:tcPr>
            <w:tcW w:w="1682" w:type="dxa"/>
          </w:tcPr>
          <w:p>
            <w:pPr>
              <w:pStyle w:val="TableParagraph"/>
              <w:spacing w:before="9"/>
              <w:jc w:val="left"/>
              <w:rPr>
                <w:sz w:val="28"/>
              </w:rPr>
            </w:pPr>
          </w:p>
          <w:p>
            <w:pPr>
              <w:pStyle w:val="TableParagraph"/>
              <w:ind w:right="659"/>
              <w:jc w:val="right"/>
              <w:rPr>
                <w:sz w:val="20"/>
              </w:rPr>
            </w:pPr>
            <w:r>
              <w:rPr>
                <w:sz w:val="20"/>
              </w:rPr>
              <w:t>16,4</w:t>
            </w:r>
          </w:p>
        </w:tc>
        <w:tc>
          <w:tcPr>
            <w:tcW w:w="1682" w:type="dxa"/>
          </w:tcPr>
          <w:p>
            <w:pPr>
              <w:pStyle w:val="TableParagraph"/>
              <w:spacing w:before="9"/>
              <w:jc w:val="left"/>
              <w:rPr>
                <w:sz w:val="28"/>
              </w:rPr>
            </w:pPr>
          </w:p>
          <w:p>
            <w:pPr>
              <w:pStyle w:val="TableParagraph"/>
              <w:ind w:right="658"/>
              <w:jc w:val="right"/>
              <w:rPr>
                <w:sz w:val="20"/>
              </w:rPr>
            </w:pPr>
            <w:r>
              <w:rPr>
                <w:sz w:val="20"/>
              </w:rPr>
              <w:t>16,4</w:t>
            </w:r>
          </w:p>
        </w:tc>
      </w:tr>
    </w:tbl>
    <w:p>
      <w:pPr>
        <w:pStyle w:val="BodyText"/>
        <w:spacing w:before="9"/>
        <w:ind w:left="0"/>
        <w:rPr>
          <w:sz w:val="9"/>
        </w:rPr>
      </w:pPr>
    </w:p>
    <w:p>
      <w:pPr>
        <w:pStyle w:val="BodyText"/>
        <w:spacing w:line="336" w:lineRule="auto" w:before="65"/>
        <w:ind w:left="221" w:right="598" w:firstLine="708"/>
        <w:jc w:val="both"/>
      </w:pPr>
      <w:r>
        <w:rPr/>
        <w:t>Для того чтобы избежать рисков, потерь при валютных операциях, а также рисков получения спекулятивных доходов, ЦБ устанавливает норма- тивы открытой валютной позиции:</w:t>
      </w:r>
    </w:p>
    <w:p>
      <w:pPr>
        <w:pStyle w:val="ListParagraph"/>
        <w:numPr>
          <w:ilvl w:val="0"/>
          <w:numId w:val="1"/>
        </w:numPr>
        <w:tabs>
          <w:tab w:pos="1141" w:val="left" w:leader="none"/>
        </w:tabs>
        <w:spacing w:line="336" w:lineRule="auto" w:before="2" w:after="0"/>
        <w:ind w:left="221" w:right="599" w:firstLine="708"/>
        <w:jc w:val="both"/>
        <w:rPr>
          <w:sz w:val="28"/>
        </w:rPr>
      </w:pPr>
      <w:r>
        <w:rPr>
          <w:sz w:val="28"/>
        </w:rPr>
        <w:t>любая длинная (короткая) открытая валютная позиция в отдельных иностранных валютах, а также балансирующая позиция в рублях ежедневно не должна превышать 10% собственных средств</w:t>
      </w:r>
      <w:r>
        <w:rPr>
          <w:spacing w:val="-17"/>
          <w:sz w:val="28"/>
        </w:rPr>
        <w:t> </w:t>
      </w:r>
      <w:r>
        <w:rPr>
          <w:sz w:val="28"/>
        </w:rPr>
        <w:t>банка;</w:t>
      </w:r>
    </w:p>
    <w:p>
      <w:pPr>
        <w:pStyle w:val="ListParagraph"/>
        <w:numPr>
          <w:ilvl w:val="0"/>
          <w:numId w:val="1"/>
        </w:numPr>
        <w:tabs>
          <w:tab w:pos="1141" w:val="left" w:leader="none"/>
        </w:tabs>
        <w:spacing w:line="336" w:lineRule="auto" w:before="5" w:after="0"/>
        <w:ind w:left="221" w:right="598" w:firstLine="708"/>
        <w:jc w:val="both"/>
        <w:rPr>
          <w:sz w:val="28"/>
        </w:rPr>
      </w:pPr>
      <w:r>
        <w:rPr>
          <w:sz w:val="28"/>
        </w:rPr>
        <w:t>сумма всех длинных (коротких) открытых валютных позиций в от- дельных иностранных валютах ежедневно не должна превышать 20% от соб- ственных средств</w:t>
      </w:r>
      <w:r>
        <w:rPr>
          <w:spacing w:val="-5"/>
          <w:sz w:val="28"/>
        </w:rPr>
        <w:t> </w:t>
      </w:r>
      <w:r>
        <w:rPr>
          <w:sz w:val="28"/>
        </w:rPr>
        <w:t>банка.</w:t>
      </w:r>
    </w:p>
    <w:p>
      <w:pPr>
        <w:pStyle w:val="BodyText"/>
        <w:spacing w:line="336" w:lineRule="auto"/>
        <w:ind w:left="221" w:right="596" w:firstLine="708"/>
        <w:jc w:val="both"/>
      </w:pPr>
      <w:r>
        <w:rPr/>
        <w:t>Проверка соответствия лимитам показывает, что из столбца 6 и 7 вид- но, что по Доллару США длинная позиция превышает лимит в 10%, поэтому ее нужно сократить, по коротким позициям - позиции банка в доле собствен- ных средств соответствуют нормативу, т.е. меньше 10%.</w:t>
      </w:r>
    </w:p>
    <w:p>
      <w:pPr>
        <w:pStyle w:val="BodyText"/>
        <w:spacing w:line="336" w:lineRule="auto"/>
        <w:ind w:left="221" w:right="599" w:firstLine="708"/>
        <w:jc w:val="both"/>
      </w:pPr>
      <w:r>
        <w:rPr/>
        <w:t>При этом в целом же сумма всех длинных (коротких) открытых валют- ных позиций в отдельных иностранных валютах ежедневно не должна пре- вышать 20% от собственных средств банка, у банка она составляет всего 16,4%, т.е. в пределах нормы.</w:t>
      </w:r>
    </w:p>
    <w:p>
      <w:pPr>
        <w:spacing w:after="0" w:line="336" w:lineRule="auto"/>
        <w:jc w:val="both"/>
        <w:sectPr>
          <w:pgSz w:w="11900" w:h="16840"/>
          <w:pgMar w:header="0" w:footer="621" w:top="1140" w:bottom="820" w:left="1480" w:right="240"/>
        </w:sectPr>
      </w:pPr>
    </w:p>
    <w:p>
      <w:pPr>
        <w:pStyle w:val="Heading1"/>
        <w:ind w:left="2359"/>
      </w:pPr>
      <w:bookmarkStart w:name="_TOC_250000" w:id="3"/>
      <w:bookmarkEnd w:id="3"/>
      <w:r>
        <w:rPr/>
        <w:t>Список использованной литературы</w:t>
      </w:r>
    </w:p>
    <w:p>
      <w:pPr>
        <w:pStyle w:val="BodyText"/>
        <w:spacing w:before="8"/>
        <w:ind w:left="0"/>
        <w:rPr>
          <w:b/>
          <w:sz w:val="41"/>
        </w:rPr>
      </w:pPr>
    </w:p>
    <w:p>
      <w:pPr>
        <w:pStyle w:val="ListParagraph"/>
        <w:numPr>
          <w:ilvl w:val="0"/>
          <w:numId w:val="2"/>
        </w:numPr>
        <w:tabs>
          <w:tab w:pos="588" w:val="left" w:leader="none"/>
        </w:tabs>
        <w:spacing w:line="360" w:lineRule="auto" w:before="0" w:after="0"/>
        <w:ind w:left="588" w:right="98" w:hanging="425"/>
        <w:jc w:val="both"/>
        <w:rPr>
          <w:sz w:val="28"/>
        </w:rPr>
      </w:pPr>
      <w:r>
        <w:rPr>
          <w:sz w:val="28"/>
        </w:rPr>
        <w:t>Международные валютно-кредитные и финансовые отношения: Учеб- ник для вузов. - 4-е изд., пер. и доп. - Отв. ред. Красавина Л.Н. - М.:Издательство Юрайт  2015. – 543</w:t>
      </w:r>
      <w:r>
        <w:rPr>
          <w:spacing w:val="-10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2"/>
        </w:numPr>
        <w:tabs>
          <w:tab w:pos="588" w:val="left" w:leader="none"/>
        </w:tabs>
        <w:spacing w:line="360" w:lineRule="auto" w:before="7" w:after="0"/>
        <w:ind w:left="588" w:right="103" w:hanging="425"/>
        <w:jc w:val="both"/>
        <w:rPr>
          <w:sz w:val="28"/>
        </w:rPr>
      </w:pPr>
      <w:r>
        <w:rPr>
          <w:sz w:val="28"/>
        </w:rPr>
        <w:t>Международные валютно-кредитные отношения: Учебник / Н.П. Гуса- ков, И.Н. Белова, М.А. Стренина. - М.: НИЦ Инфра-М, 2013 - 314</w:t>
      </w:r>
      <w:r>
        <w:rPr>
          <w:spacing w:val="-24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2"/>
        </w:numPr>
        <w:tabs>
          <w:tab w:pos="588" w:val="left" w:leader="none"/>
        </w:tabs>
        <w:spacing w:line="360" w:lineRule="auto" w:before="5" w:after="0"/>
        <w:ind w:left="588" w:right="100" w:hanging="425"/>
        <w:jc w:val="both"/>
        <w:rPr>
          <w:sz w:val="28"/>
        </w:rPr>
      </w:pPr>
      <w:r>
        <w:rPr>
          <w:sz w:val="28"/>
        </w:rPr>
        <w:t>Международные валютно-кредитные отношения: Учебник/Авагян Г. Л., Вешкин Ю. Г., 2-е изд., перераб. и доп. - М.: Магистр, </w:t>
      </w:r>
      <w:r>
        <w:rPr>
          <w:spacing w:val="-2"/>
          <w:sz w:val="28"/>
        </w:rPr>
        <w:t>НИЦ </w:t>
      </w:r>
      <w:r>
        <w:rPr>
          <w:sz w:val="28"/>
        </w:rPr>
        <w:t>ИНФРА-М, 2016. - 704</w:t>
      </w:r>
      <w:r>
        <w:rPr>
          <w:spacing w:val="-2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2"/>
        </w:numPr>
        <w:tabs>
          <w:tab w:pos="588" w:val="left" w:leader="none"/>
        </w:tabs>
        <w:spacing w:line="360" w:lineRule="auto" w:before="5" w:after="0"/>
        <w:ind w:left="588" w:right="98" w:hanging="425"/>
        <w:jc w:val="both"/>
        <w:rPr>
          <w:sz w:val="28"/>
        </w:rPr>
      </w:pPr>
      <w:r>
        <w:rPr>
          <w:sz w:val="28"/>
        </w:rPr>
        <w:t>Алексеева Д.Г. Валютное право: учебное пособие для магистрантов. -3-е изд., перераб. и доп. – М.: Норма: ИНФРА-М, 2013. – 256</w:t>
      </w:r>
      <w:r>
        <w:rPr>
          <w:spacing w:val="-24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2"/>
        </w:numPr>
        <w:tabs>
          <w:tab w:pos="588" w:val="left" w:leader="none"/>
        </w:tabs>
        <w:spacing w:line="360" w:lineRule="auto" w:before="5" w:after="0"/>
        <w:ind w:left="588" w:right="98" w:hanging="425"/>
        <w:jc w:val="both"/>
        <w:rPr>
          <w:sz w:val="28"/>
        </w:rPr>
      </w:pPr>
      <w:r>
        <w:rPr>
          <w:sz w:val="28"/>
        </w:rPr>
        <w:t>Гурнович, Т.Г. Валютные и международные операции банка: учебное пособие / Т.Г. Гурнович, Ю.М. Склярова, Л.А. Латышева; под общ. ред. д. э. н., проф. Т.Г. Гурнович. – М.: МИРАКЛЬ, 2014. – 248</w:t>
      </w:r>
      <w:r>
        <w:rPr>
          <w:spacing w:val="-19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2"/>
        </w:numPr>
        <w:tabs>
          <w:tab w:pos="588" w:val="left" w:leader="none"/>
        </w:tabs>
        <w:spacing w:line="360" w:lineRule="auto" w:before="5" w:after="0"/>
        <w:ind w:left="588" w:right="99" w:hanging="425"/>
        <w:jc w:val="both"/>
        <w:rPr>
          <w:sz w:val="28"/>
        </w:rPr>
      </w:pPr>
      <w:r>
        <w:rPr>
          <w:sz w:val="28"/>
        </w:rPr>
        <w:t>Международные финансы: Учебник / С.В. Котелкин. - М.: Магистр: НИЦ ИНФРА-М, 2015. - 688</w:t>
      </w:r>
      <w:r>
        <w:rPr>
          <w:spacing w:val="-8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2"/>
        </w:numPr>
        <w:tabs>
          <w:tab w:pos="588" w:val="left" w:leader="none"/>
        </w:tabs>
        <w:spacing w:line="360" w:lineRule="auto" w:before="5" w:after="0"/>
        <w:ind w:left="588" w:right="98" w:hanging="425"/>
        <w:jc w:val="both"/>
        <w:rPr>
          <w:sz w:val="28"/>
        </w:rPr>
      </w:pPr>
      <w:r>
        <w:rPr>
          <w:sz w:val="28"/>
        </w:rPr>
        <w:t>Международные финансы: Учебное пособие / В.С. Золотарев, О.М. Ко- чановская, Е.Н. Карпова, А.Я. Черенков. - 3-e изд., доп. и перераб. - М.: Альфа-М: НИЦ ИНФРА-М, 2014. - 224</w:t>
      </w:r>
      <w:r>
        <w:rPr>
          <w:spacing w:val="-13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2"/>
        </w:numPr>
        <w:tabs>
          <w:tab w:pos="588" w:val="left" w:leader="none"/>
        </w:tabs>
        <w:spacing w:line="360" w:lineRule="auto" w:before="5" w:after="0"/>
        <w:ind w:left="588" w:right="99" w:hanging="425"/>
        <w:jc w:val="both"/>
        <w:rPr>
          <w:sz w:val="28"/>
        </w:rPr>
      </w:pPr>
      <w:r>
        <w:rPr>
          <w:sz w:val="28"/>
        </w:rPr>
        <w:t>Международные экономические организации: Учебное пособие / Л.П. Бородулина, И.А. Кудряшова, В.А. Юрга. - 2-e изд., перераб. и доп. - М.: Магистр:  НИЦ ИНФРА-М, 2013. - 368</w:t>
      </w:r>
      <w:r>
        <w:rPr>
          <w:spacing w:val="-12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2"/>
        </w:numPr>
        <w:tabs>
          <w:tab w:pos="588" w:val="left" w:leader="none"/>
        </w:tabs>
        <w:spacing w:line="360" w:lineRule="auto" w:before="5" w:after="0"/>
        <w:ind w:left="588" w:right="103" w:hanging="425"/>
        <w:jc w:val="both"/>
        <w:rPr>
          <w:sz w:val="28"/>
        </w:rPr>
      </w:pPr>
      <w:r>
        <w:rPr>
          <w:sz w:val="28"/>
        </w:rPr>
        <w:t>Регулирование мирового финансового рынка: Теория, практика, инстру- менты/Гришина О. А., Звонова Е. А. - М.: НИЦ ИНФРА-М, 2016. - 410</w:t>
      </w:r>
      <w:r>
        <w:rPr>
          <w:spacing w:val="-22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2"/>
        </w:numPr>
        <w:tabs>
          <w:tab w:pos="588" w:val="left" w:leader="none"/>
        </w:tabs>
        <w:spacing w:line="360" w:lineRule="auto" w:before="5" w:after="0"/>
        <w:ind w:left="588" w:right="100" w:hanging="425"/>
        <w:jc w:val="both"/>
        <w:rPr>
          <w:sz w:val="28"/>
        </w:rPr>
      </w:pPr>
      <w:r>
        <w:rPr>
          <w:sz w:val="28"/>
        </w:rPr>
        <w:t>Техника валютных операций: Учебное пособие / Г.Н. Бурлак, О.И. Куз- нецова. - 4-e изд., перераб. и доп. - М.: Вузовский учебник: ИНФРА-М, 2012. - 320</w:t>
      </w:r>
      <w:r>
        <w:rPr>
          <w:spacing w:val="-2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2"/>
        </w:numPr>
        <w:tabs>
          <w:tab w:pos="588" w:val="left" w:leader="none"/>
        </w:tabs>
        <w:spacing w:line="360" w:lineRule="auto" w:before="5" w:after="0"/>
        <w:ind w:left="588" w:right="99" w:hanging="425"/>
        <w:jc w:val="both"/>
        <w:rPr>
          <w:sz w:val="28"/>
        </w:rPr>
      </w:pPr>
      <w:r>
        <w:rPr>
          <w:sz w:val="28"/>
        </w:rPr>
        <w:t>Щеголева, Н. Г. Валютные операции: Учебник / Н. Г. Щеголева. - М.: МФПУ Синергия, 2012. - 336</w:t>
      </w:r>
      <w:r>
        <w:rPr>
          <w:spacing w:val="-10"/>
          <w:sz w:val="28"/>
        </w:rPr>
        <w:t> </w:t>
      </w:r>
      <w:r>
        <w:rPr>
          <w:sz w:val="28"/>
        </w:rPr>
        <w:t>с.</w:t>
      </w:r>
    </w:p>
    <w:sectPr>
      <w:pgSz w:w="11900" w:h="16840"/>
      <w:pgMar w:header="0" w:footer="621" w:top="1080" w:bottom="820" w:left="168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44.839783pt;margin-top:799.943726pt;width:10pt;height:14pt;mso-position-horizontal-relative:page;mso-position-vertical-relative:page;z-index:-22552" type="#_x0000_t202" filled="false" stroked="false">
          <v:textbox inset="0,0,0,0">
            <w:txbxContent>
              <w:p>
                <w:pPr>
                  <w:spacing w:line="265" w:lineRule="exact" w:before="0"/>
                  <w:ind w:left="4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588" w:hanging="425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</w:rPr>
    </w:lvl>
    <w:lvl w:ilvl="1">
      <w:start w:val="0"/>
      <w:numFmt w:val="bullet"/>
      <w:lvlText w:val="•"/>
      <w:lvlJc w:val="left"/>
      <w:pPr>
        <w:ind w:left="1470" w:hanging="42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360" w:hanging="42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50" w:hanging="42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140" w:hanging="42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030" w:hanging="42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920" w:hanging="42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10" w:hanging="42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700" w:hanging="425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221" w:hanging="212"/>
      </w:pPr>
      <w:rPr>
        <w:rFonts w:hint="default" w:ascii="Times New Roman" w:hAnsi="Times New Roman" w:eastAsia="Times New Roman" w:cs="Times New Roman"/>
        <w:w w:val="100"/>
        <w:sz w:val="28"/>
        <w:szCs w:val="28"/>
      </w:rPr>
    </w:lvl>
    <w:lvl w:ilvl="1">
      <w:start w:val="0"/>
      <w:numFmt w:val="bullet"/>
      <w:lvlText w:val="•"/>
      <w:lvlJc w:val="left"/>
      <w:pPr>
        <w:ind w:left="1216" w:hanging="212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12" w:hanging="21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08" w:hanging="21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04" w:hanging="21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200" w:hanging="21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96" w:hanging="21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92" w:hanging="21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88" w:hanging="212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TOC1" w:type="paragraph">
    <w:name w:val="TOC 1"/>
    <w:basedOn w:val="Normal"/>
    <w:uiPriority w:val="1"/>
    <w:qFormat/>
    <w:pPr>
      <w:spacing w:before="160"/>
      <w:ind w:left="101"/>
    </w:pPr>
    <w:rPr>
      <w:rFonts w:ascii="Times New Roman" w:hAnsi="Times New Roman" w:eastAsia="Times New Roman" w:cs="Times New Roman"/>
      <w:sz w:val="28"/>
      <w:szCs w:val="28"/>
    </w:rPr>
  </w:style>
  <w:style w:styleId="BodyText" w:type="paragraph">
    <w:name w:val="Body Text"/>
    <w:basedOn w:val="Normal"/>
    <w:uiPriority w:val="1"/>
    <w:qFormat/>
    <w:pPr>
      <w:spacing w:before="5"/>
      <w:ind w:left="588"/>
    </w:pPr>
    <w:rPr>
      <w:rFonts w:ascii="Times New Roman" w:hAnsi="Times New Roman" w:eastAsia="Times New Roman" w:cs="Times New Roman"/>
      <w:sz w:val="28"/>
      <w:szCs w:val="28"/>
    </w:rPr>
  </w:style>
  <w:style w:styleId="Heading1" w:type="paragraph">
    <w:name w:val="Heading 1"/>
    <w:basedOn w:val="Normal"/>
    <w:uiPriority w:val="1"/>
    <w:qFormat/>
    <w:pPr>
      <w:spacing w:before="50"/>
      <w:ind w:left="1109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styleId="ListParagraph" w:type="paragraph">
    <w:name w:val="List Paragraph"/>
    <w:basedOn w:val="Normal"/>
    <w:uiPriority w:val="1"/>
    <w:qFormat/>
    <w:pPr>
      <w:spacing w:before="5"/>
      <w:ind w:left="588" w:right="98" w:hanging="425"/>
      <w:jc w:val="both"/>
    </w:pPr>
    <w:rPr>
      <w:rFonts w:ascii="Times New Roman" w:hAnsi="Times New Roman" w:eastAsia="Times New Roman" w:cs="Times New Roman"/>
    </w:rPr>
  </w:style>
  <w:style w:styleId="TableParagraph" w:type="paragraph">
    <w:name w:val="Table Paragraph"/>
    <w:basedOn w:val="Normal"/>
    <w:uiPriority w:val="1"/>
    <w:qFormat/>
    <w:pPr>
      <w:jc w:val="center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()</dc:title>
  <cp:keywords>()</cp:keywords>
  <dcterms:created xsi:type="dcterms:W3CDTF">2017-01-22T14:38:37Z</dcterms:created>
  <dcterms:modified xsi:type="dcterms:W3CDTF">2017-01-22T14:38:37Z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2017-01-19T00:00:00Z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2017-01-22T00:00:00Z</vt:filetime>
  </property>
</Properties>
</file>