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7EF" w:rsidRDefault="00C917EF" w:rsidP="00BF3E8A">
      <w:pPr>
        <w:jc w:val="center"/>
      </w:pPr>
      <w:r>
        <w:t>Вариант № 4</w:t>
      </w:r>
    </w:p>
    <w:p w:rsidR="00BF3E8A" w:rsidRDefault="00BF3E8A" w:rsidP="00BF3E8A">
      <w:pPr>
        <w:jc w:val="center"/>
      </w:pPr>
    </w:p>
    <w:p w:rsidR="00BF3E8A" w:rsidRPr="00BF3E8A" w:rsidRDefault="00BF3E8A" w:rsidP="00BF3E8A">
      <w:pPr>
        <w:jc w:val="center"/>
        <w:rPr>
          <w:b/>
        </w:rPr>
      </w:pPr>
      <w:r w:rsidRPr="00BF3E8A">
        <w:rPr>
          <w:b/>
        </w:rPr>
        <w:t>Содержание</w:t>
      </w:r>
    </w:p>
    <w:p w:rsidR="00BF3E8A" w:rsidRDefault="00BF3E8A" w:rsidP="00BF3E8A">
      <w:pPr>
        <w:jc w:val="center"/>
      </w:pPr>
    </w:p>
    <w:sdt>
      <w:sdtPr>
        <w:id w:val="1254784190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 w:cstheme="minorBidi"/>
          <w:b/>
          <w:bCs/>
          <w:color w:val="auto"/>
          <w:sz w:val="28"/>
          <w:szCs w:val="22"/>
          <w:lang w:eastAsia="en-US"/>
        </w:rPr>
      </w:sdtEndPr>
      <w:sdtContent>
        <w:p w:rsidR="00BF3E8A" w:rsidRDefault="00BF3E8A" w:rsidP="00BF3E8A">
          <w:pPr>
            <w:pStyle w:val="a7"/>
            <w:spacing w:before="0" w:line="360" w:lineRule="auto"/>
            <w:jc w:val="both"/>
          </w:pPr>
        </w:p>
        <w:p w:rsidR="00BF3E8A" w:rsidRDefault="00BF3E8A" w:rsidP="00BF3E8A">
          <w:pPr>
            <w:pStyle w:val="11"/>
            <w:tabs>
              <w:tab w:val="right" w:leader="dot" w:pos="9345"/>
            </w:tabs>
            <w:spacing w:after="0"/>
            <w:ind w:firstLine="0"/>
            <w:jc w:val="both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70180902" w:history="1">
            <w:r w:rsidRPr="00F34B83">
              <w:rPr>
                <w:rStyle w:val="a6"/>
                <w:noProof/>
              </w:rPr>
              <w:t>Задание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_Toc470180902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F3E8A" w:rsidRDefault="00BF3E8A" w:rsidP="00BF3E8A">
          <w:pPr>
            <w:pStyle w:val="11"/>
            <w:tabs>
              <w:tab w:val="right" w:leader="dot" w:pos="9345"/>
            </w:tabs>
            <w:spacing w:after="0"/>
            <w:ind w:firstLine="0"/>
            <w:jc w:val="both"/>
            <w:rPr>
              <w:noProof/>
            </w:rPr>
          </w:pPr>
          <w:hyperlink w:anchor="_Toc470180903" w:history="1">
            <w:r w:rsidRPr="00F34B83">
              <w:rPr>
                <w:rStyle w:val="a6"/>
                <w:noProof/>
              </w:rPr>
              <w:t>Задание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_Toc470180903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F3E8A" w:rsidRDefault="00BF3E8A" w:rsidP="00BF3E8A">
          <w:pPr>
            <w:pStyle w:val="11"/>
            <w:tabs>
              <w:tab w:val="right" w:leader="dot" w:pos="9345"/>
            </w:tabs>
            <w:spacing w:after="0"/>
            <w:ind w:firstLine="0"/>
            <w:jc w:val="both"/>
            <w:rPr>
              <w:noProof/>
            </w:rPr>
          </w:pPr>
          <w:hyperlink w:anchor="_Toc470180904" w:history="1">
            <w:r w:rsidRPr="00F34B83">
              <w:rPr>
                <w:rStyle w:val="a6"/>
                <w:rFonts w:cs="Times New Roman"/>
                <w:noProof/>
              </w:rPr>
              <w:t>Список использованной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_Toc470180904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F3E8A" w:rsidRDefault="00BF3E8A" w:rsidP="00BF3E8A">
          <w:pPr>
            <w:ind w:firstLine="0"/>
            <w:jc w:val="both"/>
          </w:pPr>
          <w:r>
            <w:rPr>
              <w:b/>
              <w:bCs/>
            </w:rPr>
            <w:fldChar w:fldCharType="end"/>
          </w:r>
        </w:p>
      </w:sdtContent>
    </w:sdt>
    <w:p w:rsidR="00BF3E8A" w:rsidRDefault="00BF3E8A" w:rsidP="00BF3E8A">
      <w:pPr>
        <w:jc w:val="center"/>
      </w:pPr>
    </w:p>
    <w:p w:rsidR="00BF3E8A" w:rsidRDefault="00BF3E8A">
      <w:pPr>
        <w:spacing w:after="160" w:line="259" w:lineRule="auto"/>
        <w:ind w:firstLine="0"/>
        <w:rPr>
          <w:rStyle w:val="10"/>
        </w:rPr>
      </w:pPr>
      <w:bookmarkStart w:id="0" w:name="_Toc470180902"/>
      <w:r>
        <w:rPr>
          <w:rStyle w:val="10"/>
        </w:rPr>
        <w:br w:type="page"/>
      </w:r>
      <w:bookmarkStart w:id="1" w:name="_GoBack"/>
      <w:bookmarkEnd w:id="1"/>
    </w:p>
    <w:p w:rsidR="00385819" w:rsidRDefault="00C917EF" w:rsidP="00C917EF">
      <w:pPr>
        <w:jc w:val="both"/>
      </w:pPr>
      <w:r w:rsidRPr="00BF3E8A">
        <w:rPr>
          <w:rStyle w:val="10"/>
        </w:rPr>
        <w:lastRenderedPageBreak/>
        <w:t>Задание 1</w:t>
      </w:r>
      <w:bookmarkEnd w:id="0"/>
      <w:r>
        <w:t>. Группы финансовых показателей характеризующих уровень</w:t>
      </w:r>
      <w:r>
        <w:t xml:space="preserve"> </w:t>
      </w:r>
      <w:r>
        <w:t>зависимости компании от заемных средств. Показатели финансовой</w:t>
      </w:r>
      <w:r>
        <w:t xml:space="preserve"> </w:t>
      </w:r>
      <w:r>
        <w:t>устойчивости и кредитоспособности: коэффициент автономии, финансовый</w:t>
      </w:r>
      <w:r>
        <w:t xml:space="preserve"> </w:t>
      </w:r>
      <w:r>
        <w:t>рычаг, индекс постоянного актива, коэффициент покрытия процентов,</w:t>
      </w:r>
      <w:r>
        <w:t xml:space="preserve"> </w:t>
      </w:r>
      <w:r>
        <w:t>коэффициент обслуживания всего долга.</w:t>
      </w:r>
    </w:p>
    <w:p w:rsidR="00BF3E8A" w:rsidRDefault="00BF3E8A" w:rsidP="00C917EF">
      <w:pPr>
        <w:jc w:val="both"/>
      </w:pP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Финансовая устойчивость предприятия является одной из ключевых характеристик финансового состояния, представляя собой наиболее емкий, концентрированный показатель, отражающий степень безопасности вложения средств в это предприятие.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В связи с эти необходимо рассмотреть экономическую сущность финансовой устойчивости предприятия.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 рисунке 1</w:t>
      </w:r>
      <w:r w:rsidRPr="00AB1933">
        <w:rPr>
          <w:rFonts w:eastAsia="Times New Roman" w:cs="Times New Roman"/>
          <w:szCs w:val="28"/>
          <w:lang w:eastAsia="ru-RU"/>
        </w:rPr>
        <w:t xml:space="preserve"> представлены основные составляющие финансовой устойчивости предприятия.</w:t>
      </w:r>
    </w:p>
    <w:p w:rsidR="00BF3E8A" w:rsidRPr="00AB1933" w:rsidRDefault="00BF3E8A" w:rsidP="00BF3E8A">
      <w:pPr>
        <w:suppressAutoHyphens/>
        <w:jc w:val="center"/>
        <w:rPr>
          <w:rFonts w:eastAsia="Times New Roman" w:cs="Times New Roman"/>
          <w:i/>
          <w:szCs w:val="28"/>
          <w:lang w:eastAsia="ru-RU"/>
        </w:rPr>
      </w:pPr>
      <w:r w:rsidRPr="00AB1933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63257E2" wp14:editId="14624EE6">
            <wp:extent cx="6115050" cy="1990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933">
        <w:rPr>
          <w:rFonts w:eastAsia="Times New Roman" w:cs="Times New Roman"/>
          <w:iCs/>
          <w:szCs w:val="28"/>
          <w:lang w:eastAsia="ru-RU"/>
        </w:rPr>
        <w:t>Рис. 1. Составляющие финансовой устойчивости предприятия</w:t>
      </w:r>
      <w:r w:rsidRPr="00AB1933">
        <w:rPr>
          <w:rFonts w:eastAsia="Times New Roman" w:cs="Times New Roman"/>
          <w:iCs/>
          <w:szCs w:val="28"/>
          <w:vertAlign w:val="superscript"/>
          <w:lang w:eastAsia="ru-RU"/>
        </w:rPr>
        <w:footnoteReference w:id="1"/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Из рисунка 1 видно, что финансовая устойчивость предприятия определяется исходя из трех основных видов устойчивости: обеспеченность финансовыми ресурсами, кредитоспособности и платежеспособности.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Большинство ученых определяют финансовую устойчивость, либо как долгосрочную платежеспособность предприятия, либо как высокую степень независимости от кредиторов (минимизация риска банкротства). 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lastRenderedPageBreak/>
        <w:t>В настоящее время в научных изданиях существует множество определений понятия «финансовая устойчивость» предприятия. Рассмотрим некоторые из них.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Авторы О.А. Лакшина и Е.Н. 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Чекмарева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 xml:space="preserve"> приводят несколько трактовок</w:t>
      </w:r>
      <w:r w:rsidRPr="00AB1933">
        <w:rPr>
          <w:rFonts w:eastAsia="Times New Roman" w:cs="Times New Roman"/>
          <w:szCs w:val="28"/>
          <w:lang w:eastAsia="ru-RU"/>
        </w:rPr>
        <w:br/>
        <w:t>понятия «финансовая устойчивость»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2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Во-первых, авторы видят, что некоторыми учеными определяется финансовая устойчивость как состояние финансовой системы, при котором не возникают дестабилизирующие ситуации, несущие в себе угрозу системного финансового кризиса. 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Во-вторых, используют определение данного понятия, предложенное известным финансистом Жан-Клодом 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Трише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>: «финансовая устойчивость - ситуация, при которой финансовая система способна хорошо выполнять все закрепленные за ней функции и при которой в ближайшем будущем не ожидается изменений в характере работы финансовой системы»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3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В-третьих, авторы предлагают определять это понятие как поэлементную характеристику состояния финансовой устойчивости, а именно, как сбалансированную систему надежных финансовых институтов, а также бесперебойно функционирующую инфраструктуру клиринговых- расчетных и платежных систем и. наконец, как достаточный уровень ликвидности ключевых финансовых рынков.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Устойчивое финансовое состояние предприятия, В.В. 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Хрестинин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AB1933">
        <w:rPr>
          <w:rFonts w:eastAsia="Times New Roman" w:cs="Times New Roman"/>
          <w:szCs w:val="28"/>
          <w:lang w:eastAsia="ru-RU"/>
        </w:rPr>
        <w:t>определяет</w:t>
      </w:r>
      <w:proofErr w:type="gramEnd"/>
      <w:r w:rsidRPr="00AB1933">
        <w:rPr>
          <w:rFonts w:eastAsia="Times New Roman" w:cs="Times New Roman"/>
          <w:szCs w:val="28"/>
          <w:lang w:eastAsia="ru-RU"/>
        </w:rPr>
        <w:t xml:space="preserve"> как характеристику его финансовой конкурентоспособности, использования финансовых ресурсов и капитала, выполнение обязательств перед государством и другими хозяйствующими субъектами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4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А.В. Грачев считает, что под финансовой устойчивостью предприятия, следует понимать платежеспособность предприятия во времени с </w:t>
      </w:r>
      <w:r w:rsidRPr="00AB1933">
        <w:rPr>
          <w:rFonts w:eastAsia="Times New Roman" w:cs="Times New Roman"/>
          <w:szCs w:val="28"/>
          <w:lang w:eastAsia="ru-RU"/>
        </w:rPr>
        <w:lastRenderedPageBreak/>
        <w:t>соблюдением условия финансового равновесия между собственными и заемными финансовыми средствами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5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А.В. Севостьянов полагает, что финансовая устойчивость предприятия - такое его финансовое состояние, при котором хозяйственная деятельность данного предприятия обеспечивает в нормальных условиях выполнение всех его обязательств перед работниками, другими организациями, государством, благодаря достаточным доходам и соответствию доходов расходам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6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Л.Г. 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Скамай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 xml:space="preserve"> также считает, что финансовая устойчивость является отражением стабильного превышения доходов над расходами, обеспечивает свободное маневрирование денежными средствами предприятия и путем эффективного их использования способствует бесперебойному процессу производства и реализации продукции. Иными словами, финансовая устойчивость предприятия – это такое состояние ее финансовых ресурсов, их распределения и использования, которое обеспечивает развитие предприятия на основе роста прибыли и капитала при сохранении платежеспособности в условиях допустимого уровня риска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7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Авторы 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Анущенкова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 xml:space="preserve"> К. А., 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Анущенкова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 xml:space="preserve"> В. Ю. рассматривают понятие «финансовая устойчивость» с точки зрения влияния на неё совокупности факторов, то есть применяют комплексный подход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8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М.Г. 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Лапуста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 xml:space="preserve"> отмечает, что «финансовая устойчивость фирмы – это состояние ее финансовых ресурсов, их распределение и использование, которые обеспечивают развитие фирмы на основе роста прибыли и капитала при сохранении платежеспособности и кредитоспособности в условиях допустимого уровня риска. Поэтому финансовая устойчивость формируется в </w:t>
      </w:r>
      <w:r w:rsidRPr="00AB1933">
        <w:rPr>
          <w:rFonts w:eastAsia="Times New Roman" w:cs="Times New Roman"/>
          <w:szCs w:val="28"/>
          <w:lang w:eastAsia="ru-RU"/>
        </w:rPr>
        <w:lastRenderedPageBreak/>
        <w:t>процессе всей производственно-хозяйственной деятельности и является главным компонентом обшей устойчивости предприятия»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9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Вахрушина М.А. под финансовой устойчивостью </w:t>
      </w:r>
      <w:proofErr w:type="gramStart"/>
      <w:r w:rsidRPr="00AB1933">
        <w:rPr>
          <w:rFonts w:eastAsia="Times New Roman" w:cs="Times New Roman"/>
          <w:szCs w:val="28"/>
          <w:lang w:eastAsia="ru-RU"/>
        </w:rPr>
        <w:t>понимает  способность</w:t>
      </w:r>
      <w:proofErr w:type="gramEnd"/>
      <w:r w:rsidRPr="00AB1933">
        <w:rPr>
          <w:rFonts w:eastAsia="Times New Roman" w:cs="Times New Roman"/>
          <w:szCs w:val="28"/>
          <w:lang w:eastAsia="ru-RU"/>
        </w:rPr>
        <w:t xml:space="preserve"> наращивать достигнутый уровень деловой активности и эффективности бизнеса, гарантируя при этом платежеспособность, повышая инвестиционную привлекательность в границах допустимого уровня риска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10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Большое внимание количественным составляющим финансовой устойчивости уделяет Н.В. Балабанова. Она утверждает, что «обеспечение финансовой устойчивости предприятия во многом зависит от возможности получить подходящие количественные характеристики вероятных финансовых рисков»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11"/>
      </w:r>
      <w:r w:rsidRPr="00AB1933">
        <w:rPr>
          <w:rFonts w:eastAsia="Times New Roman" w:cs="Times New Roman"/>
          <w:szCs w:val="28"/>
          <w:lang w:eastAsia="ru-RU"/>
        </w:rPr>
        <w:t>. Для оценки таких рисков она предлагает использовать три группы показателей: финансовой независимости, ликвидности и рентабельности.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AB1933">
        <w:rPr>
          <w:rFonts w:eastAsia="Times New Roman" w:cs="Times New Roman"/>
          <w:szCs w:val="28"/>
          <w:lang w:eastAsia="ru-RU"/>
        </w:rPr>
        <w:t>Крейнина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 xml:space="preserve"> М.Н. рассматривает финансовую устойчивость как «стабильность финансового положения предприятия, обеспечиваемую достаточной долей собственного капитала в составе источников финансирования»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12"/>
      </w:r>
      <w:r w:rsidRPr="00AB1933">
        <w:rPr>
          <w:rFonts w:eastAsia="Times New Roman" w:cs="Times New Roman"/>
          <w:szCs w:val="28"/>
          <w:lang w:eastAsia="ru-RU"/>
        </w:rPr>
        <w:t xml:space="preserve">. Таким образом, основным критерием, позволяющим считать предприятие финансово устойчивым, по мнению 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Крейниной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AB1933">
        <w:rPr>
          <w:rFonts w:eastAsia="Times New Roman" w:cs="Times New Roman"/>
          <w:szCs w:val="28"/>
          <w:lang w:eastAsia="ru-RU"/>
        </w:rPr>
        <w:t>М.Н..</w:t>
      </w:r>
      <w:proofErr w:type="gramEnd"/>
      <w:r w:rsidRPr="00AB1933">
        <w:rPr>
          <w:rFonts w:eastAsia="Times New Roman" w:cs="Times New Roman"/>
          <w:szCs w:val="28"/>
          <w:lang w:eastAsia="ru-RU"/>
        </w:rPr>
        <w:t xml:space="preserve"> является оптимальная структура бухгалтерского баланса.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Однако, автор не дает четкого определения оптимальности структуры баланса. В то же время, принимая во внимание уникальность каждого хозяйствующего субъекта, нельзя применять одни и те же характеристики оптимальности структуры баланса к различным предприятиям. Более того, оптимальность такой структуры может быть различна у одного и того же </w:t>
      </w:r>
      <w:r w:rsidRPr="00AB1933">
        <w:rPr>
          <w:rFonts w:eastAsia="Times New Roman" w:cs="Times New Roman"/>
          <w:szCs w:val="28"/>
          <w:lang w:eastAsia="ru-RU"/>
        </w:rPr>
        <w:lastRenderedPageBreak/>
        <w:t>предприятия, но на разных этапах его развития, и определяться такая структура будет различными, воздействующими на него, факторами, в том числе, и фактором времени.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М. Павленков и Н. Смирнова также рассматривают финансовую устойчивость предприятия как степень его конкурентоспособности. Они считают, что «финансовая устойчивость является одной из главнейших характеристик финансового состояния предприятия, которое, в свою очередь, определяет его конкурентоспособность во внешней среде и потенциал в деловом сотрудничестве»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13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Эти же авторы считают, что финансовая устойчивость определяется, исходя из соотношения разных видов источников финансирования и его соответствия составу активов.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Аналогичной точки зрения придерживаются И.Д. Кузнецова и О.А. Кукушкина. Они считают, что «финансовая устойчивость занимает доминирующее положение в обшей устойчивости предприятия и определяет стабильное положение предприятия на рынке, его конкурентоспособность. Утрата финансовой устойчивости может привести к банкротству и ликвидации предприятия»</w:t>
      </w:r>
      <w:r w:rsidRPr="00AB1933">
        <w:rPr>
          <w:rFonts w:eastAsia="Times New Roman" w:cs="Times New Roman"/>
          <w:szCs w:val="28"/>
          <w:vertAlign w:val="superscript"/>
          <w:lang w:eastAsia="ru-RU"/>
        </w:rPr>
        <w:footnoteReference w:id="14"/>
      </w:r>
      <w:r w:rsidRPr="00AB1933">
        <w:rPr>
          <w:rFonts w:eastAsia="Times New Roman" w:cs="Times New Roman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 xml:space="preserve">Изучив представленные определения, мы пришли к выводу, что те или иные авторы, рассматривают понятие «финансовая устойчивость», выделяя различные аспекты данного понятия без их взаимосвязи. 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Можно сделать вывод, что в настоящий момент не существует единого универсального определения понятия финансовой устойчивости. С нашей точки зрения, на современном этапе развития науки такое определение должно отвечать следующим требованиям: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lastRenderedPageBreak/>
        <w:t>– во-первых, в определении финансовой устойчивости должен присутствовать комплексный подход, то есть должны учитываться как качественные, так и количественные факторы,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– во-вторых, нельзя рассматривать финансовую устойчивость как единовременный показатель, должен быть учтен динамизм изменения экономического субъекта в окружающей среде, в которой действует хозяйствующий субъект,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– в-третьих, в условиях уникальности каждого хозяйствующего субъекта, логичнее оценивать финансовую устойчивость относительно самого субъекта, а не сравнивать его с другими, даже с конкурентами в отрасли. Каждый хозяйствующий субъект индивидуален и невозможно найти два абсолютно одинаковых предприятия,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– в-четвертых, финансовая устойчивость предприятия должна обеспечивать не только его стабильность, но и иметь потенциал развития,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AB1933">
        <w:rPr>
          <w:rFonts w:eastAsia="Times New Roman" w:cs="Times New Roman"/>
          <w:szCs w:val="28"/>
          <w:lang w:eastAsia="ru-RU"/>
        </w:rPr>
        <w:t>– в-пятых, финансовой устойчивости должна соответствовать оптимальная структура «</w:t>
      </w:r>
      <w:proofErr w:type="spellStart"/>
      <w:r w:rsidRPr="00AB1933">
        <w:rPr>
          <w:rFonts w:eastAsia="Times New Roman" w:cs="Times New Roman"/>
          <w:szCs w:val="28"/>
          <w:lang w:eastAsia="ru-RU"/>
        </w:rPr>
        <w:t>устойчивообразующих</w:t>
      </w:r>
      <w:proofErr w:type="spellEnd"/>
      <w:r w:rsidRPr="00AB1933">
        <w:rPr>
          <w:rFonts w:eastAsia="Times New Roman" w:cs="Times New Roman"/>
          <w:szCs w:val="28"/>
          <w:lang w:eastAsia="ru-RU"/>
        </w:rPr>
        <w:t>» факторов, то есть факторов, позволяющих предприятию обеспечить соответствие вышеперечисленным условиям.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</w:rPr>
      </w:pPr>
      <w:r w:rsidRPr="00AB1933">
        <w:rPr>
          <w:rFonts w:eastAsia="Calibri" w:cs="Times New Roman"/>
          <w:szCs w:val="28"/>
        </w:rPr>
        <w:t>Для анализа финансовой устойчивости традиционно применяется целый ряд коэффициентов. Они в определенной степени показывают уровень финансовой устойчивости, но не отвечают на вопрос, достаточен ли такой уровень. Их расчет производится по показателям планового или фактического баланса активов и пассивов. Уровень коэффициентов может служить отправной точкой для оценки финансовой устойчивости, однако</w:t>
      </w:r>
      <w:r w:rsidRPr="00AB1933">
        <w:rPr>
          <w:rFonts w:eastAsia="Calibri" w:cs="Times New Roman"/>
          <w:szCs w:val="28"/>
          <w:lang w:val="en-US"/>
        </w:rPr>
        <w:t>c</w:t>
      </w:r>
      <w:r w:rsidRPr="00AB1933">
        <w:rPr>
          <w:rFonts w:eastAsia="Calibri" w:cs="Times New Roman"/>
          <w:szCs w:val="28"/>
        </w:rPr>
        <w:t>некоторыми оговорками и уточнениями</w:t>
      </w:r>
      <w:r w:rsidRPr="00AB1933">
        <w:rPr>
          <w:rFonts w:eastAsia="Calibri" w:cs="Times New Roman"/>
          <w:szCs w:val="28"/>
          <w:vertAlign w:val="superscript"/>
        </w:rPr>
        <w:footnoteReference w:id="15"/>
      </w:r>
      <w:r w:rsidRPr="00AB1933">
        <w:rPr>
          <w:rFonts w:eastAsia="Calibri" w:cs="Times New Roman"/>
          <w:szCs w:val="28"/>
        </w:rPr>
        <w:t>.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</w:rPr>
      </w:pPr>
      <w:r w:rsidRPr="00AB1933">
        <w:rPr>
          <w:rFonts w:eastAsia="Calibri" w:cs="Times New Roman"/>
          <w:szCs w:val="28"/>
        </w:rPr>
        <w:t>Под финансовой устойчивостью предприятия понимается определенное состояние ее имущества и источников средств, гарантирующее постоянную платежеспособность.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eastAsia="ru-RU"/>
        </w:rPr>
        <w:lastRenderedPageBreak/>
        <w:t>Для анализа финансовой устойчивости рассмотрим основные коэффициенты, предложенная В.В. Ковалевым. Полный перечень показателей и порядок расчета коэффициентов принятых в работе представлен в приложении 1.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eastAsia="ru-RU"/>
        </w:rPr>
        <w:t>Первый коэффициент, это коэффициент концентрации собственного капитала, который характеризует долю собственности владельцев предприятия в общей сумме средств, авансированных в его деятельности: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</w:p>
    <w:p w:rsidR="00BF3E8A" w:rsidRPr="00AB1933" w:rsidRDefault="00BF3E8A" w:rsidP="00BF3E8A">
      <w:pPr>
        <w:widowControl w:val="0"/>
        <w:jc w:val="right"/>
        <w:rPr>
          <w:rFonts w:eastAsia="Calibri" w:cs="Times New Roman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Ker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собственный капитал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всего источников средств</m:t>
            </m:r>
          </m:den>
        </m:f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E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FR</m:t>
            </m:r>
          </m:den>
        </m:f>
      </m:oMath>
      <w:r>
        <w:rPr>
          <w:rFonts w:eastAsia="Calibri" w:cs="Times New Roman"/>
          <w:szCs w:val="28"/>
          <w:lang w:eastAsia="ru-RU"/>
        </w:rPr>
        <w:t>, где</w:t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  <w:t xml:space="preserve">        </w:t>
      </w:r>
      <w:r w:rsidRPr="00AB1933">
        <w:rPr>
          <w:rFonts w:eastAsia="Calibri" w:cs="Times New Roman"/>
          <w:szCs w:val="28"/>
          <w:lang w:eastAsia="ru-RU"/>
        </w:rPr>
        <w:t xml:space="preserve">                                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eastAsia="ru-RU"/>
        </w:rPr>
        <w:t>Е – собственный капитал (стр. 1400);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val="en-US" w:eastAsia="ru-RU"/>
        </w:rPr>
        <w:t>FR</w:t>
      </w:r>
      <w:r w:rsidRPr="00AB1933">
        <w:rPr>
          <w:rFonts w:eastAsia="Calibri" w:cs="Times New Roman"/>
          <w:szCs w:val="28"/>
          <w:lang w:eastAsia="ru-RU"/>
        </w:rPr>
        <w:t xml:space="preserve"> – всего источников средств (стр. 1700).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eastAsia="ru-RU"/>
        </w:rPr>
        <w:t>Чем выше значение этого коэффициента, тем более финансово устойчиво, стабильно и независимо от внешних кредиторов предприятие. Дополнением к этому показателю является коэффициент концентрации привлеченных средств (</w:t>
      </w:r>
      <w:r w:rsidRPr="00AB1933">
        <w:rPr>
          <w:rFonts w:eastAsia="Calibri" w:cs="Times New Roman"/>
          <w:noProof/>
          <w:position w:val="-12"/>
          <w:szCs w:val="28"/>
          <w:lang w:eastAsia="ru-RU"/>
        </w:rPr>
        <w:drawing>
          <wp:inline distT="0" distB="0" distL="0" distR="0" wp14:anchorId="018D608A" wp14:editId="27BD33D3">
            <wp:extent cx="166370" cy="213995"/>
            <wp:effectExtent l="0" t="0" r="5080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933">
        <w:rPr>
          <w:rFonts w:eastAsia="Calibri" w:cs="Times New Roman"/>
          <w:szCs w:val="28"/>
          <w:lang w:eastAsia="ru-RU"/>
        </w:rPr>
        <w:t>) – их сумма равна 1 (или 100%):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</w:p>
    <w:p w:rsidR="00BF3E8A" w:rsidRPr="00AB1933" w:rsidRDefault="00BF3E8A" w:rsidP="00BF3E8A">
      <w:pPr>
        <w:widowControl w:val="0"/>
        <w:jc w:val="right"/>
        <w:rPr>
          <w:rFonts w:eastAsia="Calibri" w:cs="Times New Roman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Kdr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привлеченные средства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всего источников средств</m:t>
            </m:r>
          </m:den>
        </m:f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LTD</m:t>
            </m:r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+CL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FR</m:t>
            </m:r>
          </m:den>
        </m:f>
      </m:oMath>
      <w:r>
        <w:rPr>
          <w:rFonts w:eastAsia="Calibri" w:cs="Times New Roman"/>
          <w:szCs w:val="28"/>
          <w:lang w:eastAsia="ru-RU"/>
        </w:rPr>
        <w:t>, где</w:t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  <w:t xml:space="preserve">       </w:t>
      </w:r>
      <w:r w:rsidRPr="00AB1933">
        <w:rPr>
          <w:rFonts w:eastAsia="Calibri" w:cs="Times New Roman"/>
          <w:szCs w:val="28"/>
          <w:lang w:eastAsia="ru-RU"/>
        </w:rPr>
        <w:t xml:space="preserve">                                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val="en-US" w:eastAsia="ru-RU"/>
        </w:rPr>
        <w:t>LTD</w:t>
      </w:r>
      <w:r w:rsidRPr="00AB1933">
        <w:rPr>
          <w:rFonts w:eastAsia="Calibri" w:cs="Times New Roman"/>
          <w:szCs w:val="28"/>
          <w:lang w:eastAsia="ru-RU"/>
        </w:rPr>
        <w:t xml:space="preserve"> – долгосрочные заемные средства (стр. 1500);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val="en-US" w:eastAsia="ru-RU"/>
        </w:rPr>
        <w:t>CL</w:t>
      </w:r>
      <w:r w:rsidRPr="00AB1933">
        <w:rPr>
          <w:rFonts w:eastAsia="Calibri" w:cs="Times New Roman"/>
          <w:szCs w:val="28"/>
          <w:lang w:eastAsia="ru-RU"/>
        </w:rPr>
        <w:t xml:space="preserve"> – краткосрочные пассивы (стр. 1600).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eastAsia="ru-RU"/>
        </w:rPr>
        <w:t>Коэффициент финансовой зависимости является обратным к коэффициенту концентрации собственного капитала. Увеличение этого показателя в динамике означает рост доли заемных средств в финансировании предприятия. Если его значение снижается до 1 (или 100%), это означает, что владельцы полностью финансируют свое предприятие: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</w:p>
    <w:p w:rsidR="00BF3E8A" w:rsidRPr="00AB1933" w:rsidRDefault="00BF3E8A" w:rsidP="00BF3E8A">
      <w:pPr>
        <w:widowControl w:val="0"/>
        <w:jc w:val="right"/>
        <w:rPr>
          <w:rFonts w:eastAsia="Calibri" w:cs="Times New Roman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Ke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всего источников средств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собственный капитал</m:t>
            </m:r>
          </m:den>
        </m:f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FR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E</m:t>
            </m:r>
          </m:den>
        </m:f>
      </m:oMath>
      <w:r w:rsidRPr="00AB1933">
        <w:rPr>
          <w:rFonts w:eastAsia="Calibri" w:cs="Times New Roman"/>
          <w:szCs w:val="28"/>
          <w:lang w:eastAsia="ru-RU"/>
        </w:rPr>
        <w:t>.</w:t>
      </w:r>
      <w:r w:rsidRPr="00AB1933">
        <w:rPr>
          <w:rFonts w:eastAsia="Calibri" w:cs="Times New Roman"/>
          <w:szCs w:val="28"/>
          <w:lang w:eastAsia="ru-RU"/>
        </w:rPr>
        <w:tab/>
      </w:r>
      <w:r w:rsidRPr="00AB1933">
        <w:rPr>
          <w:rFonts w:eastAsia="Calibri" w:cs="Times New Roman"/>
          <w:szCs w:val="28"/>
          <w:lang w:eastAsia="ru-RU"/>
        </w:rPr>
        <w:tab/>
      </w:r>
      <w:r w:rsidRPr="00AB1933">
        <w:rPr>
          <w:rFonts w:eastAsia="Calibri" w:cs="Times New Roman"/>
          <w:szCs w:val="28"/>
          <w:lang w:eastAsia="ru-RU"/>
        </w:rPr>
        <w:tab/>
      </w:r>
      <w:r w:rsidRPr="00AB1933">
        <w:rPr>
          <w:rFonts w:eastAsia="Calibri" w:cs="Times New Roman"/>
          <w:szCs w:val="28"/>
          <w:lang w:eastAsia="ru-RU"/>
        </w:rPr>
        <w:tab/>
        <w:t xml:space="preserve">                                        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eastAsia="ru-RU"/>
        </w:rPr>
        <w:t xml:space="preserve">Коэффициенты структуры долгосрочных источников финансирования рассчитываются исходя из равенства баланса, т.е. в данном случае в расчет принимают лишь долгосрочные источники средств (капитализированные </w:t>
      </w:r>
      <w:r w:rsidRPr="00AB1933">
        <w:rPr>
          <w:rFonts w:eastAsia="Calibri" w:cs="Times New Roman"/>
          <w:szCs w:val="28"/>
          <w:lang w:eastAsia="ru-RU"/>
        </w:rPr>
        <w:lastRenderedPageBreak/>
        <w:t>источники). Сюда входят два взаимодополняющих показателя: коэффициент финансовой зависимости капитализированных источников (</w:t>
      </w:r>
      <w:r w:rsidRPr="00AB1933">
        <w:rPr>
          <w:rFonts w:eastAsia="Calibri" w:cs="Times New Roman"/>
          <w:noProof/>
          <w:position w:val="-12"/>
          <w:szCs w:val="28"/>
          <w:lang w:eastAsia="ru-RU"/>
        </w:rPr>
        <w:drawing>
          <wp:inline distT="0" distB="0" distL="0" distR="0" wp14:anchorId="2079E725" wp14:editId="7FA52BF9">
            <wp:extent cx="166370" cy="213995"/>
            <wp:effectExtent l="0" t="0" r="5080" b="0"/>
            <wp:docPr id="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933">
        <w:rPr>
          <w:rFonts w:eastAsia="Calibri" w:cs="Times New Roman"/>
          <w:szCs w:val="28"/>
          <w:lang w:eastAsia="ru-RU"/>
        </w:rPr>
        <w:t>) и коэффициент финансовой независимости капитализированных источников (</w:t>
      </w:r>
      <w:r w:rsidRPr="00AB1933">
        <w:rPr>
          <w:rFonts w:eastAsia="Calibri" w:cs="Times New Roman"/>
          <w:noProof/>
          <w:position w:val="-12"/>
          <w:szCs w:val="28"/>
          <w:lang w:eastAsia="ru-RU"/>
        </w:rPr>
        <w:drawing>
          <wp:inline distT="0" distB="0" distL="0" distR="0" wp14:anchorId="7E94FA7C" wp14:editId="345A556B">
            <wp:extent cx="166370" cy="213995"/>
            <wp:effectExtent l="0" t="0" r="5080" b="0"/>
            <wp:docPr id="9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933">
        <w:rPr>
          <w:rFonts w:eastAsia="Calibri" w:cs="Times New Roman"/>
          <w:szCs w:val="28"/>
          <w:lang w:eastAsia="ru-RU"/>
        </w:rPr>
        <w:t>), исчисляемые соответственно по формулам</w:t>
      </w:r>
      <w:r w:rsidRPr="00AB1933">
        <w:rPr>
          <w:rFonts w:eastAsia="Calibri" w:cs="Times New Roman"/>
          <w:szCs w:val="28"/>
          <w:vertAlign w:val="superscript"/>
          <w:lang w:eastAsia="ru-RU"/>
        </w:rPr>
        <w:footnoteReference w:id="16"/>
      </w:r>
      <w:r w:rsidRPr="00AB1933">
        <w:rPr>
          <w:rFonts w:eastAsia="Calibri" w:cs="Times New Roman"/>
          <w:szCs w:val="28"/>
          <w:lang w:eastAsia="ru-RU"/>
        </w:rPr>
        <w:t>: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</w:p>
    <w:p w:rsidR="00BF3E8A" w:rsidRPr="00AB1933" w:rsidRDefault="00BF3E8A" w:rsidP="00BF3E8A">
      <w:pPr>
        <w:widowControl w:val="0"/>
        <w:jc w:val="right"/>
        <w:rPr>
          <w:rFonts w:eastAsia="Calibri" w:cs="Times New Roman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Kdc=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долгосточные обязательства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 xml:space="preserve">собственный капитал+долгосрочные обязательства </m:t>
            </m:r>
          </m:den>
        </m:f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LTD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E+LTD</m:t>
            </m:r>
          </m:den>
        </m:f>
      </m:oMath>
      <w:r>
        <w:rPr>
          <w:rFonts w:eastAsia="Calibri" w:cs="Times New Roman"/>
          <w:szCs w:val="28"/>
          <w:lang w:eastAsia="ru-RU"/>
        </w:rPr>
        <w:t>;</w:t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  <w:t xml:space="preserve">        </w:t>
      </w:r>
      <w:r w:rsidRPr="00AB1933">
        <w:rPr>
          <w:rFonts w:eastAsia="Calibri" w:cs="Times New Roman"/>
          <w:szCs w:val="28"/>
          <w:lang w:eastAsia="ru-RU"/>
        </w:rPr>
        <w:t xml:space="preserve">                                </w:t>
      </w:r>
    </w:p>
    <w:p w:rsidR="00BF3E8A" w:rsidRPr="00AB1933" w:rsidRDefault="00BF3E8A" w:rsidP="00BF3E8A">
      <w:pPr>
        <w:widowControl w:val="0"/>
        <w:jc w:val="right"/>
        <w:rPr>
          <w:rFonts w:eastAsia="Calibri" w:cs="Times New Roman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Kec=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собственный капитал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собственный капитал+долгосрочные обязательства</m:t>
            </m:r>
          </m:den>
        </m:f>
        <m:r>
          <w:rPr>
            <w:rFonts w:ascii="Cambria Math" w:eastAsia="Times New Roman" w:hAnsi="Cambria Math" w:cs="Times New Roman"/>
            <w:szCs w:val="28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Cs w:val="28"/>
                <w:lang w:val="en-US" w:eastAsia="ru-RU"/>
              </w:rPr>
              <m:t>E</m:t>
            </m:r>
          </m:num>
          <m:den>
            <m:r>
              <w:rPr>
                <w:rFonts w:ascii="Cambria Math" w:eastAsia="Times New Roman" w:hAnsi="Cambria Math" w:cs="Times New Roman"/>
                <w:szCs w:val="28"/>
                <w:lang w:eastAsia="ru-RU"/>
              </w:rPr>
              <m:t>E+LTD</m:t>
            </m:r>
          </m:den>
        </m:f>
      </m:oMath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</w:r>
      <w:r>
        <w:rPr>
          <w:rFonts w:eastAsia="Calibri" w:cs="Times New Roman"/>
          <w:szCs w:val="28"/>
          <w:lang w:eastAsia="ru-RU"/>
        </w:rPr>
        <w:tab/>
        <w:t xml:space="preserve">        </w:t>
      </w:r>
      <w:r w:rsidRPr="00AB1933">
        <w:rPr>
          <w:rFonts w:eastAsia="Calibri" w:cs="Times New Roman"/>
          <w:szCs w:val="28"/>
          <w:lang w:eastAsia="ru-RU"/>
        </w:rPr>
        <w:t xml:space="preserve"> </w:t>
      </w:r>
    </w:p>
    <w:p w:rsidR="00BF3E8A" w:rsidRPr="00AB1933" w:rsidRDefault="00BF3E8A" w:rsidP="00BF3E8A">
      <w:pPr>
        <w:widowControl w:val="0"/>
        <w:jc w:val="both"/>
        <w:rPr>
          <w:rFonts w:eastAsia="Calibri" w:cs="Times New Roman"/>
          <w:szCs w:val="28"/>
          <w:lang w:eastAsia="ru-RU"/>
        </w:rPr>
      </w:pPr>
      <w:r w:rsidRPr="00AB1933">
        <w:rPr>
          <w:rFonts w:eastAsia="Calibri" w:cs="Times New Roman"/>
          <w:szCs w:val="28"/>
          <w:lang w:eastAsia="ru-RU"/>
        </w:rPr>
        <w:t xml:space="preserve">Очевидно, что сумма этих показателей равна единице. Рост </w:t>
      </w:r>
      <w:proofErr w:type="gramStart"/>
      <w:r w:rsidRPr="00AB1933">
        <w:rPr>
          <w:rFonts w:eastAsia="Calibri" w:cs="Times New Roman"/>
          <w:szCs w:val="28"/>
          <w:lang w:eastAsia="ru-RU"/>
        </w:rPr>
        <w:t xml:space="preserve">коэффициента </w:t>
      </w:r>
      <w:r w:rsidRPr="00AB1933">
        <w:rPr>
          <w:rFonts w:eastAsia="Calibri" w:cs="Times New Roman"/>
          <w:noProof/>
          <w:position w:val="-12"/>
          <w:szCs w:val="28"/>
          <w:lang w:eastAsia="ru-RU"/>
        </w:rPr>
        <w:drawing>
          <wp:inline distT="0" distB="0" distL="0" distR="0" wp14:anchorId="088BB2C8" wp14:editId="72564C04">
            <wp:extent cx="166370" cy="213995"/>
            <wp:effectExtent l="0" t="0" r="5080" b="0"/>
            <wp:docPr id="1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933">
        <w:rPr>
          <w:rFonts w:eastAsia="Calibri" w:cs="Times New Roman"/>
          <w:szCs w:val="28"/>
          <w:lang w:eastAsia="ru-RU"/>
        </w:rPr>
        <w:t xml:space="preserve"> в</w:t>
      </w:r>
      <w:proofErr w:type="gramEnd"/>
      <w:r w:rsidRPr="00AB1933">
        <w:rPr>
          <w:rFonts w:eastAsia="Calibri" w:cs="Times New Roman"/>
          <w:szCs w:val="28"/>
          <w:lang w:eastAsia="ru-RU"/>
        </w:rPr>
        <w:t xml:space="preserve"> динамике является в определенном смысле негативной тенденцией, означая, что с позиции долгосрочной перспективы предприятие все сильнее и сильнее зависит от внешних источников. Наиболее распространено мнение, что доля собственного капитала в общей сумме долгосрочных источников финансирования (</w:t>
      </w:r>
      <w:r w:rsidRPr="00AB1933">
        <w:rPr>
          <w:rFonts w:eastAsia="Calibri" w:cs="Times New Roman"/>
          <w:noProof/>
          <w:position w:val="-12"/>
          <w:szCs w:val="28"/>
          <w:lang w:eastAsia="ru-RU"/>
        </w:rPr>
        <w:drawing>
          <wp:inline distT="0" distB="0" distL="0" distR="0" wp14:anchorId="73AF197B" wp14:editId="1F717068">
            <wp:extent cx="166370" cy="213995"/>
            <wp:effectExtent l="0" t="0" r="5080" b="0"/>
            <wp:docPr id="1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1933">
        <w:rPr>
          <w:rFonts w:eastAsia="Calibri" w:cs="Times New Roman"/>
          <w:szCs w:val="28"/>
          <w:lang w:eastAsia="ru-RU"/>
        </w:rPr>
        <w:t>) должна быть достаточна велика. Указывают и нижний предел этого показателя – 0,6 или 60%.</w:t>
      </w:r>
    </w:p>
    <w:p w:rsidR="00BF3E8A" w:rsidRPr="00AB1933" w:rsidRDefault="00BF3E8A" w:rsidP="00BF3E8A">
      <w:pPr>
        <w:ind w:firstLine="708"/>
        <w:jc w:val="both"/>
        <w:rPr>
          <w:rFonts w:eastAsia="Calibri" w:cs="Times New Roman"/>
          <w:color w:val="000000"/>
          <w:szCs w:val="28"/>
          <w:lang w:eastAsia="ru-RU"/>
        </w:rPr>
      </w:pPr>
      <w:r w:rsidRPr="00AB1933">
        <w:rPr>
          <w:rFonts w:eastAsia="Calibri" w:cs="Times New Roman"/>
          <w:color w:val="000000"/>
          <w:szCs w:val="28"/>
          <w:lang w:eastAsia="ru-RU"/>
        </w:rPr>
        <w:t>Таким образом, анализ основных факторов финансово-хозяйственной деятельности инициирует необходимость проведения внутреннего анализа формирования запасов и затрат, а оценка ликвидности баланса производится при помощи элементов внутреннего исследования состояния дебиторской и кредиторской задолженности предприятия</w:t>
      </w:r>
      <w:r w:rsidRPr="00AB1933">
        <w:rPr>
          <w:rFonts w:eastAsia="Calibri" w:cs="Times New Roman"/>
          <w:color w:val="000000"/>
          <w:szCs w:val="28"/>
          <w:vertAlign w:val="superscript"/>
          <w:lang w:eastAsia="ru-RU"/>
        </w:rPr>
        <w:footnoteReference w:id="17"/>
      </w:r>
      <w:r w:rsidRPr="00AB1933">
        <w:rPr>
          <w:rFonts w:eastAsia="Calibri" w:cs="Times New Roman"/>
          <w:color w:val="000000"/>
          <w:szCs w:val="28"/>
          <w:lang w:eastAsia="ru-RU"/>
        </w:rPr>
        <w:t>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4"/>
          <w:lang w:eastAsia="ar-SA"/>
        </w:rPr>
      </w:pPr>
      <w:r w:rsidRPr="00AB1933">
        <w:rPr>
          <w:rFonts w:eastAsia="Times New Roman" w:cs="Times New Roman"/>
          <w:szCs w:val="24"/>
          <w:lang w:eastAsia="ar-SA"/>
        </w:rPr>
        <w:t xml:space="preserve">Итак, финансовая устойчивость оказывает серьезное влияние на положение фирмы на рынке и зависит от множества факторов, среди основных можно выделить следующие: структура ассортимента продукции / услуг, уровень их рентабельности, уровень зависимости от внешних источников </w:t>
      </w:r>
      <w:r w:rsidRPr="00AB1933">
        <w:rPr>
          <w:rFonts w:eastAsia="Times New Roman" w:cs="Times New Roman"/>
          <w:szCs w:val="24"/>
          <w:lang w:eastAsia="ar-SA"/>
        </w:rPr>
        <w:lastRenderedPageBreak/>
        <w:t>финансирования и степень финансового риска, объем дебиторской задолженности.</w:t>
      </w:r>
    </w:p>
    <w:p w:rsidR="00BF3E8A" w:rsidRPr="00AB1933" w:rsidRDefault="00BF3E8A" w:rsidP="00BF3E8A">
      <w:pPr>
        <w:suppressAutoHyphens/>
        <w:ind w:firstLine="720"/>
        <w:jc w:val="both"/>
        <w:rPr>
          <w:rFonts w:eastAsia="Times New Roman" w:cs="Times New Roman"/>
          <w:szCs w:val="24"/>
          <w:lang w:eastAsia="ar-SA"/>
        </w:rPr>
      </w:pPr>
      <w:r w:rsidRPr="00AB1933">
        <w:rPr>
          <w:rFonts w:eastAsia="Times New Roman" w:cs="Times New Roman"/>
          <w:szCs w:val="24"/>
          <w:lang w:eastAsia="ar-SA"/>
        </w:rPr>
        <w:t>Финансовая устойчивость рассчитывается как в абсолютных, так и в относительных показателях, причем первые характеризуют степень свободного маневрирования денежными средствами, а последние – структуру имущества предприятия и уровень финансового риска.</w:t>
      </w:r>
    </w:p>
    <w:p w:rsidR="00BF3E8A" w:rsidRPr="00AB1933" w:rsidRDefault="00BF3E8A" w:rsidP="00BF3E8A">
      <w:pPr>
        <w:widowControl w:val="0"/>
        <w:suppressAutoHyphens/>
        <w:ind w:firstLine="720"/>
        <w:jc w:val="both"/>
        <w:rPr>
          <w:rFonts w:eastAsia="Times New Roman" w:cs="Times New Roman"/>
          <w:szCs w:val="24"/>
          <w:lang w:eastAsia="ar-SA"/>
        </w:rPr>
      </w:pPr>
      <w:r w:rsidRPr="00AB1933">
        <w:rPr>
          <w:rFonts w:eastAsia="Times New Roman" w:cs="Times New Roman"/>
          <w:szCs w:val="24"/>
          <w:lang w:eastAsia="ar-SA"/>
        </w:rPr>
        <w:t>Финансовая устойчивость связана с определением платежеспособности и ликвидности, так как в случае дефицита свободных денежных средств будет расти потребность во внешних источниках финансирования, а при наличии положительной динамики свободных оборотных средствах устойчивость будет укрепляться.</w:t>
      </w:r>
    </w:p>
    <w:p w:rsidR="00BF3E8A" w:rsidRDefault="00BF3E8A" w:rsidP="00C917EF">
      <w:pPr>
        <w:jc w:val="both"/>
      </w:pPr>
    </w:p>
    <w:p w:rsidR="00C917EF" w:rsidRDefault="00C917EF" w:rsidP="00C917EF">
      <w:pPr>
        <w:jc w:val="both"/>
      </w:pPr>
      <w:bookmarkStart w:id="2" w:name="_Toc470180903"/>
      <w:r w:rsidRPr="00BF3E8A">
        <w:rPr>
          <w:rStyle w:val="10"/>
        </w:rPr>
        <w:t>Задание 2</w:t>
      </w:r>
      <w:bookmarkEnd w:id="2"/>
      <w:r>
        <w:t>.</w:t>
      </w:r>
    </w:p>
    <w:p w:rsidR="00C917EF" w:rsidRDefault="00C917EF" w:rsidP="00C917EF">
      <w:pPr>
        <w:jc w:val="both"/>
      </w:pPr>
      <w:r>
        <w:t>На начало текущего года стоимость основных средств на предприятии -</w:t>
      </w:r>
      <w:r>
        <w:t xml:space="preserve"> </w:t>
      </w:r>
      <w:r>
        <w:t>69 400 тыс. руб. В течение года вводятся новые основные средства: с 1</w:t>
      </w:r>
      <w:r>
        <w:t xml:space="preserve"> </w:t>
      </w:r>
      <w:r>
        <w:t>апреля на 8 300 тыс. руб., а в августе - на 5 700 тыс. руб.</w:t>
      </w:r>
      <w:r>
        <w:t xml:space="preserve"> </w:t>
      </w:r>
    </w:p>
    <w:p w:rsidR="00C917EF" w:rsidRDefault="00C917EF" w:rsidP="00C917EF">
      <w:pPr>
        <w:jc w:val="both"/>
      </w:pPr>
      <w:r>
        <w:t>В сентябре выбывают основные средства на 9 600 тыс. руб. В плановом</w:t>
      </w:r>
      <w:r>
        <w:t xml:space="preserve"> </w:t>
      </w:r>
      <w:r>
        <w:t>году предполагается увеличить среднегодовую стоимость основных средств</w:t>
      </w:r>
      <w:r>
        <w:t xml:space="preserve"> </w:t>
      </w:r>
      <w:r>
        <w:t>на 3 400 тыс. руб.</w:t>
      </w:r>
    </w:p>
    <w:p w:rsidR="00C917EF" w:rsidRDefault="00C917EF" w:rsidP="00C917EF">
      <w:pPr>
        <w:jc w:val="both"/>
      </w:pPr>
      <w:r>
        <w:t>Выручка от реализации продукции в текущем году 210 300 тыс. руб., в</w:t>
      </w:r>
      <w:r>
        <w:t xml:space="preserve"> </w:t>
      </w:r>
      <w:r>
        <w:t>плановом году - 250 600 тыс. руб.</w:t>
      </w:r>
    </w:p>
    <w:p w:rsidR="00C917EF" w:rsidRDefault="00C917EF" w:rsidP="00C917EF">
      <w:pPr>
        <w:jc w:val="both"/>
      </w:pPr>
      <w:r>
        <w:t>Рассчитать показатели эффективности использования основных средств</w:t>
      </w:r>
      <w:r>
        <w:t xml:space="preserve"> </w:t>
      </w:r>
      <w:r>
        <w:t>в текущем и плановом годах.</w:t>
      </w:r>
    </w:p>
    <w:p w:rsidR="00C917EF" w:rsidRDefault="00C917EF" w:rsidP="00C917EF">
      <w:pPr>
        <w:jc w:val="both"/>
      </w:pPr>
      <w:r>
        <w:t>Решение:</w:t>
      </w:r>
    </w:p>
    <w:p w:rsidR="00C917EF" w:rsidRDefault="00C917EF" w:rsidP="00C917EF">
      <w:pPr>
        <w:jc w:val="both"/>
      </w:pPr>
      <w:r>
        <w:t>Определим фондоотдачу</w:t>
      </w:r>
      <w:r w:rsidR="00C62FD8">
        <w:t xml:space="preserve"> (</w:t>
      </w:r>
      <w:proofErr w:type="spellStart"/>
      <w:r w:rsidR="00C62FD8">
        <w:t>Фо</w:t>
      </w:r>
      <w:proofErr w:type="spellEnd"/>
      <w:r w:rsidR="00C62FD8">
        <w:t>)</w:t>
      </w:r>
      <w:r>
        <w:t xml:space="preserve"> и </w:t>
      </w:r>
      <w:proofErr w:type="spellStart"/>
      <w:r>
        <w:t>фондоемкость</w:t>
      </w:r>
      <w:proofErr w:type="spellEnd"/>
      <w:r>
        <w:t xml:space="preserve"> </w:t>
      </w:r>
      <w:r w:rsidR="00C62FD8">
        <w:t xml:space="preserve">(Фе) </w:t>
      </w:r>
      <w:r>
        <w:t>по формулам:</w:t>
      </w:r>
    </w:p>
    <w:p w:rsidR="00C62FD8" w:rsidRDefault="00C62FD8" w:rsidP="00C917EF">
      <w:pPr>
        <w:jc w:val="both"/>
      </w:pPr>
      <w:proofErr w:type="spellStart"/>
      <w:r>
        <w:t>Фо</w:t>
      </w:r>
      <w:proofErr w:type="spellEnd"/>
      <w:r>
        <w:t xml:space="preserve">=В/ОФ, </w:t>
      </w:r>
    </w:p>
    <w:p w:rsidR="00C62FD8" w:rsidRDefault="00C62FD8" w:rsidP="00C917EF">
      <w:pPr>
        <w:jc w:val="both"/>
      </w:pPr>
      <w:r>
        <w:t xml:space="preserve">Фе=ОФ/В, где В – выручка; </w:t>
      </w:r>
      <w:proofErr w:type="spellStart"/>
      <w:r>
        <w:t>ОФср</w:t>
      </w:r>
      <w:proofErr w:type="spellEnd"/>
      <w:r>
        <w:t xml:space="preserve"> – среднегодовая стоимость основных фондов, которую определим по формуле:</w:t>
      </w:r>
    </w:p>
    <w:p w:rsidR="00C62FD8" w:rsidRDefault="00C62FD8" w:rsidP="00C917EF">
      <w:pPr>
        <w:jc w:val="both"/>
      </w:pPr>
      <w:r w:rsidRPr="00C62FD8">
        <w:rPr>
          <w:position w:val="-24"/>
        </w:rPr>
        <w:object w:dxaOrig="315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34.35pt" o:ole="">
            <v:imagedata r:id="rId11" o:title=""/>
          </v:shape>
          <o:OLEObject Type="Embed" ProgID="Equation.DSMT4" ShapeID="_x0000_i1025" DrawAspect="Content" ObjectID="_1543923740" r:id="rId12"/>
        </w:object>
      </w:r>
      <w:r>
        <w:t xml:space="preserve">, где П – поступило фондов; В – выбыло; </w:t>
      </w:r>
      <w:proofErr w:type="spellStart"/>
      <w:r>
        <w:t>ОФнг</w:t>
      </w:r>
      <w:proofErr w:type="spellEnd"/>
      <w:r>
        <w:t xml:space="preserve"> – стоимость на начало года; </w:t>
      </w:r>
      <w:r>
        <w:rPr>
          <w:lang w:val="en-US"/>
        </w:rPr>
        <w:t>n</w:t>
      </w:r>
      <w:r w:rsidRPr="00C62FD8">
        <w:t xml:space="preserve"> </w:t>
      </w:r>
      <w:r>
        <w:t xml:space="preserve">и </w:t>
      </w:r>
      <w:r>
        <w:rPr>
          <w:lang w:val="en-US"/>
        </w:rPr>
        <w:t>m</w:t>
      </w:r>
      <w:r>
        <w:t xml:space="preserve"> – число месяцев с момента ввода и выбытия фондов.</w:t>
      </w:r>
    </w:p>
    <w:p w:rsidR="00C62FD8" w:rsidRDefault="00C62FD8" w:rsidP="00C917EF">
      <w:pPr>
        <w:jc w:val="both"/>
      </w:pPr>
      <w:r>
        <w:t>Получаем:</w:t>
      </w:r>
    </w:p>
    <w:p w:rsidR="00C62FD8" w:rsidRDefault="00C62FD8" w:rsidP="00C917EF">
      <w:pPr>
        <w:jc w:val="both"/>
      </w:pPr>
      <w:r>
        <w:t>- в текущем году:</w:t>
      </w:r>
    </w:p>
    <w:p w:rsidR="00C62FD8" w:rsidRDefault="00C62FD8" w:rsidP="00C917EF">
      <w:pPr>
        <w:jc w:val="both"/>
      </w:pPr>
      <w:r w:rsidRPr="00C62FD8">
        <w:rPr>
          <w:position w:val="-24"/>
        </w:rPr>
        <w:object w:dxaOrig="4920" w:dyaOrig="620">
          <v:shape id="_x0000_i1026" type="#_x0000_t75" style="width:246.15pt;height:31pt" o:ole="">
            <v:imagedata r:id="rId13" o:title=""/>
          </v:shape>
          <o:OLEObject Type="Embed" ProgID="Equation.DSMT4" ShapeID="_x0000_i1026" DrawAspect="Content" ObjectID="_1543923741" r:id="rId14"/>
        </w:object>
      </w:r>
      <w:r w:rsidRPr="00C62FD8">
        <w:t xml:space="preserve"> </w:t>
      </w:r>
      <w:r>
        <w:t>тыс. руб.</w:t>
      </w:r>
    </w:p>
    <w:p w:rsidR="00C62FD8" w:rsidRDefault="00C62FD8" w:rsidP="00C917EF">
      <w:pPr>
        <w:jc w:val="both"/>
      </w:pPr>
      <w:r>
        <w:t xml:space="preserve">- в </w:t>
      </w:r>
      <w:proofErr w:type="gramStart"/>
      <w:r>
        <w:t xml:space="preserve">плановом: </w:t>
      </w:r>
      <w:r w:rsidRPr="00C62FD8">
        <w:rPr>
          <w:position w:val="-6"/>
        </w:rPr>
        <w:object w:dxaOrig="2799" w:dyaOrig="279">
          <v:shape id="_x0000_i1027" type="#_x0000_t75" style="width:139.8pt;height:14.25pt" o:ole="">
            <v:imagedata r:id="rId15" o:title=""/>
          </v:shape>
          <o:OLEObject Type="Embed" ProgID="Equation.DSMT4" ShapeID="_x0000_i1027" DrawAspect="Content" ObjectID="_1543923742" r:id="rId16"/>
        </w:object>
      </w:r>
      <w:r w:rsidRPr="00C62FD8">
        <w:t xml:space="preserve"> </w:t>
      </w:r>
      <w:r>
        <w:t>тыс.</w:t>
      </w:r>
      <w:proofErr w:type="gramEnd"/>
      <w:r>
        <w:t xml:space="preserve"> руб.</w:t>
      </w:r>
    </w:p>
    <w:p w:rsidR="00C62FD8" w:rsidRDefault="00C62FD8" w:rsidP="00C917EF">
      <w:pPr>
        <w:jc w:val="both"/>
      </w:pPr>
      <w:r>
        <w:t>Тогда:</w:t>
      </w:r>
    </w:p>
    <w:p w:rsidR="00C62FD8" w:rsidRDefault="00C62FD8" w:rsidP="00C62FD8">
      <w:pPr>
        <w:jc w:val="both"/>
      </w:pPr>
      <w:r>
        <w:t>- в текущем году:</w:t>
      </w:r>
    </w:p>
    <w:p w:rsidR="00C62FD8" w:rsidRDefault="00C62FD8" w:rsidP="00C917EF">
      <w:pPr>
        <w:jc w:val="both"/>
      </w:pPr>
      <w:proofErr w:type="spellStart"/>
      <w:r>
        <w:t>Фо</w:t>
      </w:r>
      <w:proofErr w:type="spellEnd"/>
      <w:r>
        <w:t>=210300/74800=2,81 руб./руб.; Фе=74800/210300=0,36 руб./руб.</w:t>
      </w:r>
    </w:p>
    <w:p w:rsidR="00C62FD8" w:rsidRDefault="00C62FD8" w:rsidP="00C62FD8">
      <w:pPr>
        <w:jc w:val="both"/>
      </w:pPr>
      <w:r>
        <w:t xml:space="preserve">- в </w:t>
      </w:r>
      <w:r>
        <w:t>плановом</w:t>
      </w:r>
      <w:r>
        <w:t xml:space="preserve"> году:</w:t>
      </w:r>
    </w:p>
    <w:p w:rsidR="00C62FD8" w:rsidRDefault="00C62FD8" w:rsidP="00C62FD8">
      <w:pPr>
        <w:jc w:val="both"/>
      </w:pPr>
      <w:proofErr w:type="spellStart"/>
      <w:r>
        <w:t>Фо</w:t>
      </w:r>
      <w:proofErr w:type="spellEnd"/>
      <w:r>
        <w:t>=</w:t>
      </w:r>
      <w:r>
        <w:t>250600</w:t>
      </w:r>
      <w:r>
        <w:t>/</w:t>
      </w:r>
      <w:r>
        <w:t>78200</w:t>
      </w:r>
      <w:r>
        <w:t>=</w:t>
      </w:r>
      <w:r>
        <w:t>3,20</w:t>
      </w:r>
      <w:r>
        <w:t xml:space="preserve"> руб./руб.; Фе=78</w:t>
      </w:r>
      <w:r>
        <w:t>2</w:t>
      </w:r>
      <w:r>
        <w:t>00/</w:t>
      </w:r>
      <w:r>
        <w:t>250600</w:t>
      </w:r>
      <w:r>
        <w:t>=0,3</w:t>
      </w:r>
      <w:r>
        <w:t>1</w:t>
      </w:r>
      <w:r>
        <w:t xml:space="preserve"> руб./руб.</w:t>
      </w:r>
    </w:p>
    <w:p w:rsidR="00C62FD8" w:rsidRDefault="00C62FD8" w:rsidP="00C62FD8">
      <w:pPr>
        <w:jc w:val="both"/>
      </w:pPr>
      <w:r>
        <w:t xml:space="preserve">Таким образом, </w:t>
      </w:r>
      <w:proofErr w:type="gramStart"/>
      <w:r>
        <w:t>на  1</w:t>
      </w:r>
      <w:proofErr w:type="gramEnd"/>
      <w:r>
        <w:t xml:space="preserve"> руб. фондов в текущем году приходилось 2,81 руб. выручки, а в плановом – 3,2 руб., т.е. эффективность использования основных фондов выросла.</w:t>
      </w:r>
    </w:p>
    <w:p w:rsidR="00C62FD8" w:rsidRPr="00C62FD8" w:rsidRDefault="00C62FD8" w:rsidP="00C917EF">
      <w:pPr>
        <w:jc w:val="both"/>
      </w:pPr>
    </w:p>
    <w:p w:rsidR="00BF3E8A" w:rsidRDefault="00BF3E8A">
      <w:pPr>
        <w:spacing w:after="160" w:line="259" w:lineRule="auto"/>
        <w:ind w:firstLine="0"/>
        <w:rPr>
          <w:rFonts w:eastAsiaTheme="majorEastAsia" w:cs="Times New Roman"/>
          <w:b/>
          <w:szCs w:val="28"/>
        </w:rPr>
      </w:pPr>
      <w:bookmarkStart w:id="3" w:name="_Toc461796876"/>
      <w:r>
        <w:rPr>
          <w:rFonts w:cs="Times New Roman"/>
          <w:szCs w:val="28"/>
        </w:rPr>
        <w:br w:type="page"/>
      </w:r>
    </w:p>
    <w:p w:rsidR="00BF3E8A" w:rsidRDefault="00BF3E8A" w:rsidP="00BF3E8A">
      <w:pPr>
        <w:pStyle w:val="1"/>
        <w:rPr>
          <w:rFonts w:cs="Times New Roman"/>
          <w:b w:val="0"/>
          <w:szCs w:val="28"/>
        </w:rPr>
      </w:pPr>
      <w:bookmarkStart w:id="4" w:name="_Toc470180904"/>
      <w:r w:rsidRPr="00AB1933">
        <w:rPr>
          <w:rFonts w:cs="Times New Roman"/>
          <w:szCs w:val="28"/>
        </w:rPr>
        <w:lastRenderedPageBreak/>
        <w:t>С</w:t>
      </w:r>
      <w:r>
        <w:rPr>
          <w:rFonts w:cs="Times New Roman"/>
          <w:szCs w:val="28"/>
        </w:rPr>
        <w:t>писок использованной литературы</w:t>
      </w:r>
      <w:bookmarkEnd w:id="3"/>
      <w:bookmarkEnd w:id="4"/>
    </w:p>
    <w:p w:rsidR="00BF3E8A" w:rsidRDefault="00BF3E8A" w:rsidP="00BF3E8A"/>
    <w:p w:rsidR="00BF3E8A" w:rsidRPr="008D6C51" w:rsidRDefault="00BF3E8A" w:rsidP="00BF3E8A">
      <w:pPr>
        <w:numPr>
          <w:ilvl w:val="0"/>
          <w:numId w:val="1"/>
        </w:numPr>
        <w:shd w:val="clear" w:color="auto" w:fill="FFFFFF"/>
        <w:tabs>
          <w:tab w:val="left" w:pos="567"/>
        </w:tabs>
        <w:suppressAutoHyphens/>
        <w:autoSpaceDE w:val="0"/>
        <w:autoSpaceDN w:val="0"/>
        <w:ind w:left="0" w:firstLine="709"/>
        <w:jc w:val="both"/>
        <w:rPr>
          <w:iCs/>
          <w:color w:val="000000"/>
          <w:szCs w:val="28"/>
        </w:rPr>
      </w:pPr>
      <w:r w:rsidRPr="008D6C51">
        <w:rPr>
          <w:iCs/>
          <w:color w:val="000000"/>
          <w:szCs w:val="28"/>
        </w:rPr>
        <w:t xml:space="preserve">Гражданский кодекс Российской Федерации. Части первая, вторая, третья, офиц. текст принят Гос. Думой 21 окт. 1994 г. с последними изм. и доп. по состоянию на 1 апр. 2012 г. - М.: </w:t>
      </w:r>
      <w:proofErr w:type="spellStart"/>
      <w:r w:rsidRPr="008D6C51">
        <w:rPr>
          <w:iCs/>
          <w:color w:val="000000"/>
          <w:szCs w:val="28"/>
        </w:rPr>
        <w:t>Эксмо</w:t>
      </w:r>
      <w:proofErr w:type="spellEnd"/>
      <w:r w:rsidRPr="008D6C51">
        <w:rPr>
          <w:iCs/>
          <w:color w:val="000000"/>
          <w:szCs w:val="28"/>
        </w:rPr>
        <w:t>, 2012.</w:t>
      </w:r>
    </w:p>
    <w:p w:rsidR="00BF3E8A" w:rsidRPr="008D6C51" w:rsidRDefault="00BF3E8A" w:rsidP="00BF3E8A">
      <w:pPr>
        <w:numPr>
          <w:ilvl w:val="0"/>
          <w:numId w:val="1"/>
        </w:numPr>
        <w:shd w:val="clear" w:color="auto" w:fill="FFFFFF"/>
        <w:tabs>
          <w:tab w:val="left" w:pos="567"/>
        </w:tabs>
        <w:suppressAutoHyphens/>
        <w:autoSpaceDE w:val="0"/>
        <w:autoSpaceDN w:val="0"/>
        <w:ind w:left="0" w:firstLine="709"/>
        <w:jc w:val="both"/>
        <w:rPr>
          <w:iCs/>
          <w:color w:val="000000"/>
          <w:szCs w:val="28"/>
        </w:rPr>
      </w:pPr>
      <w:r w:rsidRPr="008D6C51">
        <w:rPr>
          <w:iCs/>
          <w:color w:val="000000"/>
          <w:szCs w:val="28"/>
        </w:rPr>
        <w:t>Налоговый кодекс Российской Федерации: (в 2 ч.). — М.: Ось-89, 2012.</w:t>
      </w:r>
    </w:p>
    <w:p w:rsidR="00BF3E8A" w:rsidRPr="008D6C51" w:rsidRDefault="00BF3E8A" w:rsidP="00BF3E8A">
      <w:pPr>
        <w:numPr>
          <w:ilvl w:val="0"/>
          <w:numId w:val="1"/>
        </w:numPr>
        <w:shd w:val="clear" w:color="auto" w:fill="FFFFFF"/>
        <w:tabs>
          <w:tab w:val="left" w:pos="567"/>
        </w:tabs>
        <w:suppressAutoHyphens/>
        <w:autoSpaceDE w:val="0"/>
        <w:autoSpaceDN w:val="0"/>
        <w:ind w:left="0" w:firstLine="709"/>
        <w:jc w:val="both"/>
        <w:rPr>
          <w:iCs/>
          <w:color w:val="000000"/>
          <w:szCs w:val="28"/>
        </w:rPr>
      </w:pPr>
      <w:r w:rsidRPr="008D6C51">
        <w:rPr>
          <w:iCs/>
          <w:color w:val="000000"/>
          <w:szCs w:val="28"/>
        </w:rPr>
        <w:t xml:space="preserve">Конституция РФ. - М.: </w:t>
      </w:r>
      <w:proofErr w:type="spellStart"/>
      <w:r w:rsidRPr="008D6C51">
        <w:rPr>
          <w:iCs/>
          <w:color w:val="000000"/>
          <w:szCs w:val="28"/>
        </w:rPr>
        <w:t>Юрид</w:t>
      </w:r>
      <w:proofErr w:type="spellEnd"/>
      <w:r w:rsidRPr="008D6C51">
        <w:rPr>
          <w:iCs/>
          <w:color w:val="000000"/>
          <w:szCs w:val="28"/>
        </w:rPr>
        <w:t xml:space="preserve">. </w:t>
      </w:r>
      <w:proofErr w:type="gramStart"/>
      <w:r w:rsidRPr="008D6C51">
        <w:rPr>
          <w:iCs/>
          <w:color w:val="000000"/>
          <w:szCs w:val="28"/>
        </w:rPr>
        <w:t>Лит.,</w:t>
      </w:r>
      <w:proofErr w:type="gramEnd"/>
      <w:r w:rsidRPr="008D6C51">
        <w:rPr>
          <w:iCs/>
          <w:color w:val="000000"/>
          <w:szCs w:val="28"/>
        </w:rPr>
        <w:t xml:space="preserve"> 2013.</w:t>
      </w:r>
    </w:p>
    <w:p w:rsidR="00BF3E8A" w:rsidRPr="008D6C51" w:rsidRDefault="00BF3E8A" w:rsidP="00BF3E8A">
      <w:pPr>
        <w:numPr>
          <w:ilvl w:val="0"/>
          <w:numId w:val="1"/>
        </w:numPr>
        <w:shd w:val="clear" w:color="auto" w:fill="FFFFFF"/>
        <w:tabs>
          <w:tab w:val="left" w:pos="567"/>
        </w:tabs>
        <w:suppressAutoHyphens/>
        <w:autoSpaceDE w:val="0"/>
        <w:autoSpaceDN w:val="0"/>
        <w:ind w:left="0" w:firstLine="709"/>
        <w:jc w:val="both"/>
        <w:rPr>
          <w:iCs/>
          <w:color w:val="000000"/>
          <w:szCs w:val="28"/>
        </w:rPr>
      </w:pPr>
      <w:r w:rsidRPr="008D6C51">
        <w:rPr>
          <w:iCs/>
          <w:color w:val="000000"/>
          <w:szCs w:val="28"/>
        </w:rPr>
        <w:t>Федеральный закон РФ от 3.11.06г. О бухгалтерском учете. № 183 ФЗ</w:t>
      </w:r>
      <w:r w:rsidRPr="008D6C51">
        <w:rPr>
          <w:szCs w:val="28"/>
        </w:rPr>
        <w:t xml:space="preserve">//Информационно-правовая </w:t>
      </w:r>
      <w:proofErr w:type="gramStart"/>
      <w:r w:rsidRPr="008D6C51">
        <w:rPr>
          <w:szCs w:val="28"/>
        </w:rPr>
        <w:t>система  «</w:t>
      </w:r>
      <w:proofErr w:type="gramEnd"/>
      <w:r w:rsidRPr="008D6C51">
        <w:rPr>
          <w:szCs w:val="28"/>
        </w:rPr>
        <w:t>Консультант +»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ind w:left="0" w:firstLine="709"/>
        <w:jc w:val="both"/>
        <w:rPr>
          <w:szCs w:val="28"/>
        </w:rPr>
      </w:pPr>
      <w:r w:rsidRPr="008D6C51">
        <w:rPr>
          <w:szCs w:val="28"/>
        </w:rPr>
        <w:t xml:space="preserve">Федеральный Закон РФ от 26.10.2002г. О несостоятельности (банкротстве). № 127-ФЗ//Информационно-правовая </w:t>
      </w:r>
      <w:proofErr w:type="gramStart"/>
      <w:r w:rsidRPr="008D6C51">
        <w:rPr>
          <w:szCs w:val="28"/>
        </w:rPr>
        <w:t>система  «</w:t>
      </w:r>
      <w:proofErr w:type="gramEnd"/>
      <w:r w:rsidRPr="008D6C51">
        <w:rPr>
          <w:szCs w:val="28"/>
        </w:rPr>
        <w:t>Консультант +»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proofErr w:type="spellStart"/>
      <w:r w:rsidRPr="008D6C51">
        <w:rPr>
          <w:rFonts w:eastAsia="TimesNewRomanPSMT"/>
          <w:szCs w:val="28"/>
        </w:rPr>
        <w:t>Басовский</w:t>
      </w:r>
      <w:proofErr w:type="spellEnd"/>
      <w:r w:rsidRPr="008D6C51">
        <w:rPr>
          <w:rFonts w:eastAsia="TimesNewRomanPSMT"/>
          <w:szCs w:val="28"/>
        </w:rPr>
        <w:t xml:space="preserve"> Л.Е., </w:t>
      </w:r>
      <w:proofErr w:type="spellStart"/>
      <w:r w:rsidRPr="008D6C51">
        <w:rPr>
          <w:rFonts w:eastAsia="TimesNewRomanPSMT"/>
          <w:szCs w:val="28"/>
        </w:rPr>
        <w:t>ФиКарасева</w:t>
      </w:r>
      <w:proofErr w:type="spellEnd"/>
      <w:r w:rsidRPr="008D6C51">
        <w:rPr>
          <w:rFonts w:eastAsia="TimesNewRomanPSMT"/>
          <w:szCs w:val="28"/>
        </w:rPr>
        <w:t xml:space="preserve"> И.М., Ревякина М.А., Финансовый менеджмент.   М.: Омега-Л, 20</w:t>
      </w:r>
      <w:r>
        <w:rPr>
          <w:rFonts w:eastAsia="TimesNewRomanPSMT"/>
          <w:szCs w:val="28"/>
        </w:rPr>
        <w:t>11</w:t>
      </w:r>
      <w:r w:rsidRPr="008D6C51">
        <w:rPr>
          <w:rFonts w:eastAsia="TimesNewRomanPSMT"/>
          <w:szCs w:val="28"/>
        </w:rPr>
        <w:t>. — 335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Кириченко, Т. В. Финансовый менеджмент: учебное пособие / Т. В. Кириченко. – Москва: Дашков и </w:t>
      </w:r>
      <w:proofErr w:type="gramStart"/>
      <w:r w:rsidRPr="008D6C51">
        <w:rPr>
          <w:rFonts w:eastAsia="TimesNewRomanPSMT"/>
          <w:szCs w:val="28"/>
        </w:rPr>
        <w:t>К</w:t>
      </w:r>
      <w:proofErr w:type="gramEnd"/>
      <w:r w:rsidRPr="008D6C51">
        <w:rPr>
          <w:rFonts w:eastAsia="TimesNewRomanPSMT"/>
          <w:szCs w:val="28"/>
        </w:rPr>
        <w:t>°, 20</w:t>
      </w:r>
      <w:r>
        <w:rPr>
          <w:rFonts w:eastAsia="TimesNewRomanPSMT"/>
          <w:szCs w:val="28"/>
        </w:rPr>
        <w:t>14</w:t>
      </w:r>
      <w:r w:rsidRPr="008D6C51">
        <w:rPr>
          <w:rFonts w:eastAsia="TimesNewRomanPSMT"/>
          <w:szCs w:val="28"/>
        </w:rPr>
        <w:t>. – 625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Колчина Н.В., О. В. </w:t>
      </w:r>
      <w:proofErr w:type="spellStart"/>
      <w:r w:rsidRPr="008D6C51">
        <w:rPr>
          <w:rFonts w:eastAsia="TimesNewRomanPSMT"/>
          <w:szCs w:val="28"/>
        </w:rPr>
        <w:t>Португалова</w:t>
      </w:r>
      <w:proofErr w:type="spellEnd"/>
      <w:r w:rsidRPr="008D6C51">
        <w:rPr>
          <w:rFonts w:eastAsia="TimesNewRomanPSMT"/>
          <w:szCs w:val="28"/>
        </w:rPr>
        <w:t xml:space="preserve">, Е. Ю. </w:t>
      </w:r>
      <w:proofErr w:type="gramStart"/>
      <w:r w:rsidRPr="008D6C51">
        <w:rPr>
          <w:rFonts w:eastAsia="TimesNewRomanPSMT"/>
          <w:szCs w:val="28"/>
        </w:rPr>
        <w:t>Макеева.,</w:t>
      </w:r>
      <w:proofErr w:type="gramEnd"/>
      <w:r w:rsidRPr="008D6C51">
        <w:rPr>
          <w:rFonts w:eastAsia="TimesNewRomanPSMT"/>
          <w:szCs w:val="28"/>
        </w:rPr>
        <w:t xml:space="preserve"> Финансовый менеджмент: учебное п</w:t>
      </w:r>
      <w:r>
        <w:rPr>
          <w:rFonts w:eastAsia="TimesNewRomanPSMT"/>
          <w:szCs w:val="28"/>
        </w:rPr>
        <w:t>особие – Москва: ЮНИТИ–ДАНА, 2010</w:t>
      </w:r>
      <w:r w:rsidRPr="008D6C51">
        <w:rPr>
          <w:rFonts w:eastAsia="TimesNewRomanPSMT"/>
          <w:szCs w:val="28"/>
        </w:rPr>
        <w:t>. – 464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Ковалев </w:t>
      </w:r>
      <w:proofErr w:type="gramStart"/>
      <w:r w:rsidRPr="008D6C51">
        <w:rPr>
          <w:rFonts w:eastAsia="TimesNewRomanPSMT"/>
          <w:szCs w:val="28"/>
        </w:rPr>
        <w:t>В.В. ,</w:t>
      </w:r>
      <w:proofErr w:type="gramEnd"/>
      <w:r w:rsidRPr="008D6C51">
        <w:rPr>
          <w:rFonts w:eastAsia="TimesNewRomanPSMT"/>
          <w:szCs w:val="28"/>
        </w:rPr>
        <w:t xml:space="preserve"> Финансовый менеджмент: теория и практика. 2-е изд., </w:t>
      </w:r>
      <w:proofErr w:type="spellStart"/>
      <w:r w:rsidRPr="008D6C51">
        <w:rPr>
          <w:rFonts w:eastAsia="TimesNewRomanPSMT"/>
          <w:szCs w:val="28"/>
        </w:rPr>
        <w:t>перераб</w:t>
      </w:r>
      <w:proofErr w:type="spellEnd"/>
      <w:proofErr w:type="gramStart"/>
      <w:r w:rsidRPr="008D6C51">
        <w:rPr>
          <w:rFonts w:eastAsia="TimesNewRomanPSMT"/>
          <w:szCs w:val="28"/>
        </w:rPr>
        <w:t>. и</w:t>
      </w:r>
      <w:proofErr w:type="gramEnd"/>
      <w:r w:rsidRPr="008D6C51">
        <w:rPr>
          <w:rFonts w:eastAsia="TimesNewRomanPSMT"/>
          <w:szCs w:val="28"/>
        </w:rPr>
        <w:t xml:space="preserve"> до</w:t>
      </w:r>
      <w:r>
        <w:rPr>
          <w:rFonts w:eastAsia="TimesNewRomanPSMT"/>
          <w:szCs w:val="28"/>
        </w:rPr>
        <w:t xml:space="preserve">п. - М.: ТК </w:t>
      </w:r>
      <w:proofErr w:type="spellStart"/>
      <w:r>
        <w:rPr>
          <w:rFonts w:eastAsia="TimesNewRomanPSMT"/>
          <w:szCs w:val="28"/>
        </w:rPr>
        <w:t>Велби</w:t>
      </w:r>
      <w:proofErr w:type="spellEnd"/>
      <w:r>
        <w:rPr>
          <w:rFonts w:eastAsia="TimesNewRomanPSMT"/>
          <w:szCs w:val="28"/>
        </w:rPr>
        <w:t>, Проспект, 2012</w:t>
      </w:r>
      <w:r w:rsidRPr="008D6C51">
        <w:rPr>
          <w:rFonts w:eastAsia="TimesNewRomanPSMT"/>
          <w:szCs w:val="28"/>
        </w:rPr>
        <w:t>. — 1024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proofErr w:type="spellStart"/>
      <w:r w:rsidRPr="008D6C51">
        <w:rPr>
          <w:rFonts w:eastAsia="TimesNewRomanPSMT"/>
          <w:szCs w:val="28"/>
        </w:rPr>
        <w:t>Котелкин</w:t>
      </w:r>
      <w:proofErr w:type="spellEnd"/>
      <w:r w:rsidRPr="008D6C51">
        <w:rPr>
          <w:rFonts w:eastAsia="TimesNewRomanPSMT"/>
          <w:szCs w:val="28"/>
        </w:rPr>
        <w:t>, С. В. Международный финансовый менеджмент: учебное пособие– Москва: Магистр: Инфра–М, 2010. – 604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Кузнецов Б.Т., Финансовый </w:t>
      </w:r>
      <w:proofErr w:type="gramStart"/>
      <w:r w:rsidRPr="008D6C51">
        <w:rPr>
          <w:rFonts w:eastAsia="TimesNewRomanPSMT"/>
          <w:szCs w:val="28"/>
        </w:rPr>
        <w:t>менеджмент.,</w:t>
      </w:r>
      <w:proofErr w:type="gramEnd"/>
      <w:r w:rsidRPr="008D6C51">
        <w:rPr>
          <w:rFonts w:eastAsia="TimesNewRomanPSMT"/>
          <w:szCs w:val="28"/>
        </w:rPr>
        <w:t xml:space="preserve"> М.: </w:t>
      </w:r>
      <w:proofErr w:type="spellStart"/>
      <w:r w:rsidRPr="008D6C51">
        <w:rPr>
          <w:rFonts w:eastAsia="TimesNewRomanPSMT"/>
          <w:szCs w:val="28"/>
        </w:rPr>
        <w:t>Юнити</w:t>
      </w:r>
      <w:proofErr w:type="spellEnd"/>
      <w:r w:rsidRPr="008D6C51">
        <w:rPr>
          <w:rFonts w:eastAsia="TimesNewRomanPSMT"/>
          <w:szCs w:val="28"/>
        </w:rPr>
        <w:t>-Дана, 20</w:t>
      </w:r>
      <w:r>
        <w:rPr>
          <w:rFonts w:eastAsia="TimesNewRomanPSMT"/>
          <w:szCs w:val="28"/>
        </w:rPr>
        <w:t>13</w:t>
      </w:r>
      <w:r w:rsidRPr="008D6C51">
        <w:rPr>
          <w:rFonts w:eastAsia="TimesNewRomanPSMT"/>
          <w:szCs w:val="28"/>
        </w:rPr>
        <w:t>. — 415 с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proofErr w:type="spellStart"/>
      <w:r w:rsidRPr="008D6C51">
        <w:rPr>
          <w:rFonts w:eastAsia="TimesNewRomanPSMT"/>
          <w:szCs w:val="28"/>
        </w:rPr>
        <w:t>Левчаев</w:t>
      </w:r>
      <w:proofErr w:type="spellEnd"/>
      <w:r w:rsidRPr="008D6C51">
        <w:rPr>
          <w:rFonts w:eastAsia="TimesNewRomanPSMT"/>
          <w:szCs w:val="28"/>
        </w:rPr>
        <w:t xml:space="preserve"> П.А. Финансовый менеджмент и налогообложение организаций.  </w:t>
      </w:r>
      <w:proofErr w:type="gramStart"/>
      <w:r w:rsidRPr="008D6C51">
        <w:rPr>
          <w:rFonts w:eastAsia="TimesNewRomanPSMT"/>
          <w:szCs w:val="28"/>
        </w:rPr>
        <w:t>Саранск :</w:t>
      </w:r>
      <w:proofErr w:type="gramEnd"/>
      <w:r w:rsidRPr="008D6C51">
        <w:rPr>
          <w:rFonts w:eastAsia="TimesNewRomanPSMT"/>
          <w:szCs w:val="28"/>
        </w:rPr>
        <w:t xml:space="preserve"> Мордовский гуманитарный институт, 2010. — 362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proofErr w:type="spellStart"/>
      <w:r w:rsidRPr="008D6C51">
        <w:rPr>
          <w:rFonts w:eastAsia="TimesNewRomanPSMT"/>
          <w:szCs w:val="28"/>
        </w:rPr>
        <w:t>Лукасевич</w:t>
      </w:r>
      <w:proofErr w:type="spellEnd"/>
      <w:r w:rsidRPr="008D6C51">
        <w:rPr>
          <w:rFonts w:eastAsia="TimesNewRomanPSMT"/>
          <w:szCs w:val="28"/>
        </w:rPr>
        <w:t xml:space="preserve"> И. Я. Финансовый менеджме</w:t>
      </w:r>
      <w:r>
        <w:rPr>
          <w:rFonts w:eastAsia="TimesNewRomanPSMT"/>
          <w:szCs w:val="28"/>
        </w:rPr>
        <w:t xml:space="preserve">нт: учебник – Москва: </w:t>
      </w:r>
      <w:proofErr w:type="spellStart"/>
      <w:r>
        <w:rPr>
          <w:rFonts w:eastAsia="TimesNewRomanPSMT"/>
          <w:szCs w:val="28"/>
        </w:rPr>
        <w:t>Эксмо</w:t>
      </w:r>
      <w:proofErr w:type="spellEnd"/>
      <w:r>
        <w:rPr>
          <w:rFonts w:eastAsia="TimesNewRomanPSMT"/>
          <w:szCs w:val="28"/>
        </w:rPr>
        <w:t>, 2012</w:t>
      </w:r>
      <w:r w:rsidRPr="008D6C51">
        <w:rPr>
          <w:rFonts w:eastAsia="TimesNewRomanPSMT"/>
          <w:szCs w:val="28"/>
        </w:rPr>
        <w:t>. – 765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lastRenderedPageBreak/>
        <w:t>Морозко Н.И., Финансовый менеджмен</w:t>
      </w:r>
      <w:r>
        <w:rPr>
          <w:rFonts w:eastAsia="TimesNewRomanPSMT"/>
          <w:szCs w:val="28"/>
        </w:rPr>
        <w:t>т.  М.: ВГНА Минфина России, 2011</w:t>
      </w:r>
      <w:r w:rsidRPr="008D6C51">
        <w:rPr>
          <w:rFonts w:eastAsia="TimesNewRomanPSMT"/>
          <w:szCs w:val="28"/>
        </w:rPr>
        <w:t>. — 197 с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>Никитина, Н.В. Финансовый менеджмент: учебн</w:t>
      </w:r>
      <w:r>
        <w:rPr>
          <w:rFonts w:eastAsia="TimesNewRomanPSMT"/>
          <w:szCs w:val="28"/>
        </w:rPr>
        <w:t xml:space="preserve">ое пособие – Москва: </w:t>
      </w:r>
      <w:proofErr w:type="spellStart"/>
      <w:r>
        <w:rPr>
          <w:rFonts w:eastAsia="TimesNewRomanPSMT"/>
          <w:szCs w:val="28"/>
        </w:rPr>
        <w:t>КноРус</w:t>
      </w:r>
      <w:proofErr w:type="spellEnd"/>
      <w:r>
        <w:rPr>
          <w:rFonts w:eastAsia="TimesNewRomanPSMT"/>
          <w:szCs w:val="28"/>
        </w:rPr>
        <w:t>, 2011</w:t>
      </w:r>
      <w:r w:rsidRPr="008D6C51">
        <w:rPr>
          <w:rFonts w:eastAsia="TimesNewRomanPSMT"/>
          <w:szCs w:val="28"/>
        </w:rPr>
        <w:t>. – 327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Поляк Г.Б., Финансовый </w:t>
      </w:r>
      <w:proofErr w:type="gramStart"/>
      <w:r w:rsidRPr="008D6C51">
        <w:rPr>
          <w:rFonts w:eastAsia="TimesNewRomanPSMT"/>
          <w:szCs w:val="28"/>
        </w:rPr>
        <w:t>менеджмент.,</w:t>
      </w:r>
      <w:proofErr w:type="gramEnd"/>
      <w:r w:rsidRPr="008D6C51">
        <w:rPr>
          <w:rFonts w:eastAsia="TimesNewRomanPSMT"/>
          <w:szCs w:val="28"/>
        </w:rPr>
        <w:t xml:space="preserve"> 2-е изд., </w:t>
      </w:r>
      <w:proofErr w:type="spellStart"/>
      <w:r w:rsidRPr="008D6C51">
        <w:rPr>
          <w:rFonts w:eastAsia="TimesNewRomanPSMT"/>
          <w:szCs w:val="28"/>
        </w:rPr>
        <w:t>перераб</w:t>
      </w:r>
      <w:proofErr w:type="spellEnd"/>
      <w:r w:rsidRPr="008D6C51">
        <w:rPr>
          <w:rFonts w:eastAsia="TimesNewRomanPSMT"/>
          <w:szCs w:val="28"/>
        </w:rPr>
        <w:t xml:space="preserve">. и доп. - М.: </w:t>
      </w:r>
      <w:proofErr w:type="spellStart"/>
      <w:r w:rsidRPr="008D6C51">
        <w:rPr>
          <w:rFonts w:eastAsia="TimesNewRomanPSMT"/>
          <w:szCs w:val="28"/>
        </w:rPr>
        <w:t>Юнити</w:t>
      </w:r>
      <w:proofErr w:type="spellEnd"/>
      <w:r w:rsidRPr="008D6C51">
        <w:rPr>
          <w:rFonts w:eastAsia="TimesNewRomanPSMT"/>
          <w:szCs w:val="28"/>
        </w:rPr>
        <w:t>-Дана, 20</w:t>
      </w:r>
      <w:r>
        <w:rPr>
          <w:rFonts w:eastAsia="TimesNewRomanPSMT"/>
          <w:szCs w:val="28"/>
        </w:rPr>
        <w:t>12</w:t>
      </w:r>
      <w:r w:rsidRPr="008D6C51">
        <w:rPr>
          <w:rFonts w:eastAsia="TimesNewRomanPSMT"/>
          <w:szCs w:val="28"/>
        </w:rPr>
        <w:t>. — 527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proofErr w:type="spellStart"/>
      <w:r w:rsidRPr="008D6C51">
        <w:rPr>
          <w:rFonts w:eastAsia="TimesNewRomanPSMT"/>
          <w:szCs w:val="28"/>
        </w:rPr>
        <w:t>Ронова</w:t>
      </w:r>
      <w:proofErr w:type="spellEnd"/>
      <w:r w:rsidRPr="008D6C51">
        <w:rPr>
          <w:rFonts w:eastAsia="TimesNewRomanPSMT"/>
          <w:szCs w:val="28"/>
        </w:rPr>
        <w:t xml:space="preserve"> Г.Н., </w:t>
      </w:r>
      <w:proofErr w:type="spellStart"/>
      <w:r w:rsidRPr="008D6C51">
        <w:rPr>
          <w:rFonts w:eastAsia="TimesNewRomanPSMT"/>
          <w:szCs w:val="28"/>
        </w:rPr>
        <w:t>Ронова</w:t>
      </w:r>
      <w:proofErr w:type="spellEnd"/>
      <w:r w:rsidRPr="008D6C51">
        <w:rPr>
          <w:rFonts w:eastAsia="TimesNewRomanPSMT"/>
          <w:szCs w:val="28"/>
        </w:rPr>
        <w:t xml:space="preserve"> Л.А., Финансовый </w:t>
      </w:r>
      <w:proofErr w:type="gramStart"/>
      <w:r w:rsidRPr="008D6C51">
        <w:rPr>
          <w:rFonts w:eastAsia="TimesNewRomanPSMT"/>
          <w:szCs w:val="28"/>
        </w:rPr>
        <w:t>менеджмент.,</w:t>
      </w:r>
      <w:proofErr w:type="gramEnd"/>
      <w:r w:rsidRPr="008D6C51">
        <w:rPr>
          <w:rFonts w:eastAsia="TimesNewRomanPSMT"/>
          <w:szCs w:val="28"/>
        </w:rPr>
        <w:t xml:space="preserve"> Учебно-методический комплекс. М.: ЕАОИ, 20</w:t>
      </w:r>
      <w:r>
        <w:rPr>
          <w:rFonts w:eastAsia="TimesNewRomanPSMT"/>
          <w:szCs w:val="28"/>
        </w:rPr>
        <w:t>14</w:t>
      </w:r>
      <w:r w:rsidRPr="008D6C51">
        <w:rPr>
          <w:rFonts w:eastAsia="TimesNewRomanPSMT"/>
          <w:szCs w:val="28"/>
        </w:rPr>
        <w:t>. — 170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Сироткин С.А., </w:t>
      </w:r>
      <w:proofErr w:type="spellStart"/>
      <w:r w:rsidRPr="008D6C51">
        <w:rPr>
          <w:rFonts w:eastAsia="TimesNewRomanPSMT"/>
          <w:szCs w:val="28"/>
        </w:rPr>
        <w:t>Кельчевская</w:t>
      </w:r>
      <w:proofErr w:type="spellEnd"/>
      <w:r w:rsidRPr="008D6C51">
        <w:rPr>
          <w:rFonts w:eastAsia="TimesNewRomanPSMT"/>
          <w:szCs w:val="28"/>
        </w:rPr>
        <w:t xml:space="preserve"> Н.Р, Финансовый менеджмент на предприят</w:t>
      </w:r>
      <w:r>
        <w:rPr>
          <w:rFonts w:eastAsia="TimesNewRomanPSMT"/>
          <w:szCs w:val="28"/>
        </w:rPr>
        <w:t xml:space="preserve">ии: учебник, М., </w:t>
      </w:r>
      <w:proofErr w:type="spellStart"/>
      <w:r>
        <w:rPr>
          <w:rFonts w:eastAsia="TimesNewRomanPSMT"/>
          <w:szCs w:val="28"/>
        </w:rPr>
        <w:t>Юнити</w:t>
      </w:r>
      <w:proofErr w:type="spellEnd"/>
      <w:r>
        <w:rPr>
          <w:rFonts w:eastAsia="TimesNewRomanPSMT"/>
          <w:szCs w:val="28"/>
        </w:rPr>
        <w:t>-Дана, 2012</w:t>
      </w:r>
      <w:r w:rsidRPr="008D6C51">
        <w:rPr>
          <w:rFonts w:eastAsia="TimesNewRomanPSMT"/>
          <w:szCs w:val="28"/>
        </w:rPr>
        <w:t>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Стоянова Е.С., Финансовый менеджмент: теория и практика, 5-е изд., </w:t>
      </w:r>
      <w:proofErr w:type="spellStart"/>
      <w:r w:rsidRPr="008D6C51">
        <w:rPr>
          <w:rFonts w:eastAsia="TimesNewRomanPSMT"/>
          <w:szCs w:val="28"/>
        </w:rPr>
        <w:t>перера</w:t>
      </w:r>
      <w:r>
        <w:rPr>
          <w:rFonts w:eastAsia="TimesNewRomanPSMT"/>
          <w:szCs w:val="28"/>
        </w:rPr>
        <w:t>б</w:t>
      </w:r>
      <w:proofErr w:type="spellEnd"/>
      <w:proofErr w:type="gramStart"/>
      <w:r>
        <w:rPr>
          <w:rFonts w:eastAsia="TimesNewRomanPSMT"/>
          <w:szCs w:val="28"/>
        </w:rPr>
        <w:t>. и</w:t>
      </w:r>
      <w:proofErr w:type="gramEnd"/>
      <w:r>
        <w:rPr>
          <w:rFonts w:eastAsia="TimesNewRomanPSMT"/>
          <w:szCs w:val="28"/>
        </w:rPr>
        <w:t xml:space="preserve"> доп. - М.: Перспектива, 201</w:t>
      </w:r>
      <w:r w:rsidRPr="008D6C51">
        <w:rPr>
          <w:rFonts w:eastAsia="TimesNewRomanPSMT"/>
          <w:szCs w:val="28"/>
        </w:rPr>
        <w:t>6. — 656 с.</w:t>
      </w:r>
    </w:p>
    <w:p w:rsidR="00BF3E8A" w:rsidRPr="008D6C51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Шохин Е.И. и др. Финансовый менеджмент: учебник – Москва: </w:t>
      </w:r>
      <w:proofErr w:type="spellStart"/>
      <w:r w:rsidRPr="008D6C51">
        <w:rPr>
          <w:rFonts w:eastAsia="TimesNewRomanPSMT"/>
          <w:szCs w:val="28"/>
        </w:rPr>
        <w:t>КноРус</w:t>
      </w:r>
      <w:proofErr w:type="spellEnd"/>
      <w:r w:rsidRPr="008D6C51">
        <w:rPr>
          <w:rFonts w:eastAsia="TimesNewRomanPSMT"/>
          <w:szCs w:val="28"/>
        </w:rPr>
        <w:t>, 2010. – 474 с.</w:t>
      </w:r>
    </w:p>
    <w:p w:rsidR="00BF3E8A" w:rsidRDefault="00BF3E8A" w:rsidP="00BF3E8A">
      <w:pPr>
        <w:numPr>
          <w:ilvl w:val="0"/>
          <w:numId w:val="1"/>
        </w:numPr>
        <w:suppressAutoHyphens/>
        <w:autoSpaceDE w:val="0"/>
        <w:autoSpaceDN w:val="0"/>
        <w:adjustRightInd w:val="0"/>
        <w:ind w:left="0" w:firstLine="709"/>
        <w:jc w:val="both"/>
        <w:rPr>
          <w:rFonts w:eastAsia="TimesNewRomanPSMT"/>
          <w:szCs w:val="28"/>
        </w:rPr>
      </w:pPr>
      <w:r w:rsidRPr="008D6C51">
        <w:rPr>
          <w:rFonts w:eastAsia="TimesNewRomanPSMT"/>
          <w:szCs w:val="28"/>
        </w:rPr>
        <w:t xml:space="preserve">Юджин Ф. </w:t>
      </w:r>
      <w:proofErr w:type="spellStart"/>
      <w:r w:rsidRPr="008D6C51">
        <w:rPr>
          <w:rFonts w:eastAsia="TimesNewRomanPSMT"/>
          <w:szCs w:val="28"/>
        </w:rPr>
        <w:t>Бригхэм</w:t>
      </w:r>
      <w:proofErr w:type="spellEnd"/>
      <w:r w:rsidRPr="008D6C51">
        <w:rPr>
          <w:rFonts w:eastAsia="TimesNewRomanPSMT"/>
          <w:szCs w:val="28"/>
        </w:rPr>
        <w:t xml:space="preserve">, Майкл С. </w:t>
      </w:r>
      <w:proofErr w:type="spellStart"/>
      <w:r w:rsidRPr="008D6C51">
        <w:rPr>
          <w:rFonts w:eastAsia="TimesNewRomanPSMT"/>
          <w:szCs w:val="28"/>
        </w:rPr>
        <w:t>Эрхардт</w:t>
      </w:r>
      <w:proofErr w:type="spellEnd"/>
      <w:r w:rsidRPr="008D6C51">
        <w:rPr>
          <w:rFonts w:eastAsia="TimesNewRomanPSMT"/>
          <w:szCs w:val="28"/>
        </w:rPr>
        <w:t>. Финансовый менеджмент: [перевод с английского</w:t>
      </w:r>
      <w:proofErr w:type="gramStart"/>
      <w:r w:rsidRPr="008D6C51">
        <w:rPr>
          <w:rFonts w:eastAsia="TimesNewRomanPSMT"/>
          <w:szCs w:val="28"/>
        </w:rPr>
        <w:t>]  –</w:t>
      </w:r>
      <w:proofErr w:type="gramEnd"/>
      <w:r w:rsidRPr="008D6C51">
        <w:rPr>
          <w:rFonts w:eastAsia="TimesNewRomanPSMT"/>
          <w:szCs w:val="28"/>
        </w:rPr>
        <w:t xml:space="preserve"> Санкт–Петербург: Лидер, 2010. – 959 с.</w:t>
      </w:r>
    </w:p>
    <w:p w:rsidR="00C62FD8" w:rsidRDefault="00C62FD8" w:rsidP="00C917EF">
      <w:pPr>
        <w:jc w:val="both"/>
      </w:pPr>
    </w:p>
    <w:p w:rsidR="00C917EF" w:rsidRDefault="00C917EF" w:rsidP="00C917EF">
      <w:pPr>
        <w:jc w:val="both"/>
      </w:pPr>
    </w:p>
    <w:sectPr w:rsidR="00C917EF" w:rsidSect="00BF3E8A">
      <w:footerReference w:type="default" r:id="rId17"/>
      <w:pgSz w:w="11906" w:h="16838"/>
      <w:pgMar w:top="1134" w:right="850" w:bottom="1134" w:left="1701" w:header="0" w:footer="0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043" w:rsidRDefault="00042043" w:rsidP="00BF3E8A">
      <w:pPr>
        <w:spacing w:line="240" w:lineRule="auto"/>
      </w:pPr>
      <w:r>
        <w:separator/>
      </w:r>
    </w:p>
  </w:endnote>
  <w:endnote w:type="continuationSeparator" w:id="0">
    <w:p w:rsidR="00042043" w:rsidRDefault="00042043" w:rsidP="00BF3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275700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3E8A" w:rsidRPr="00BF3E8A" w:rsidRDefault="00BF3E8A">
        <w:pPr>
          <w:pStyle w:val="aa"/>
          <w:jc w:val="center"/>
          <w:rPr>
            <w:sz w:val="24"/>
            <w:szCs w:val="24"/>
          </w:rPr>
        </w:pPr>
        <w:r w:rsidRPr="00BF3E8A">
          <w:rPr>
            <w:sz w:val="24"/>
            <w:szCs w:val="24"/>
          </w:rPr>
          <w:fldChar w:fldCharType="begin"/>
        </w:r>
        <w:r w:rsidRPr="00BF3E8A">
          <w:rPr>
            <w:sz w:val="24"/>
            <w:szCs w:val="24"/>
          </w:rPr>
          <w:instrText>PAGE   \* MERGEFORMAT</w:instrText>
        </w:r>
        <w:r w:rsidRPr="00BF3E8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Pr="00BF3E8A">
          <w:rPr>
            <w:sz w:val="24"/>
            <w:szCs w:val="24"/>
          </w:rPr>
          <w:fldChar w:fldCharType="end"/>
        </w:r>
      </w:p>
    </w:sdtContent>
  </w:sdt>
  <w:p w:rsidR="00BF3E8A" w:rsidRDefault="00BF3E8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043" w:rsidRDefault="00042043" w:rsidP="00BF3E8A">
      <w:pPr>
        <w:spacing w:line="240" w:lineRule="auto"/>
      </w:pPr>
      <w:r>
        <w:separator/>
      </w:r>
    </w:p>
  </w:footnote>
  <w:footnote w:type="continuationSeparator" w:id="0">
    <w:p w:rsidR="00042043" w:rsidRDefault="00042043" w:rsidP="00BF3E8A">
      <w:pPr>
        <w:spacing w:line="240" w:lineRule="auto"/>
      </w:pPr>
      <w:r>
        <w:continuationSeparator/>
      </w:r>
    </w:p>
  </w:footnote>
  <w:footnote w:id="1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Гребенщикова Е. В. Финансовая состоятельность промышленного предприятия и способы ее обеспечения: - М.: Изд-во «Инфра-М», 2009. – с. 125</w:t>
      </w:r>
    </w:p>
  </w:footnote>
  <w:footnote w:id="2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Лакшина О.А. Анализ финансовой устойчивости: практика и методология// Деньги и кредит. – 2012 - №10. - С.24.</w:t>
      </w:r>
    </w:p>
  </w:footnote>
  <w:footnote w:id="3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</w:t>
      </w:r>
      <w:proofErr w:type="spellStart"/>
      <w:r w:rsidRPr="005122EA">
        <w:rPr>
          <w:rFonts w:ascii="Times New Roman" w:hAnsi="Times New Roman" w:cs="Times New Roman"/>
        </w:rPr>
        <w:t>Трише</w:t>
      </w:r>
      <w:proofErr w:type="spellEnd"/>
      <w:r w:rsidRPr="005122EA">
        <w:rPr>
          <w:rFonts w:ascii="Times New Roman" w:hAnsi="Times New Roman" w:cs="Times New Roman"/>
        </w:rPr>
        <w:t xml:space="preserve"> Ж-К [Электронный ресурс]: электронный портал Русская служба ВВС/Ж-К </w:t>
      </w:r>
      <w:proofErr w:type="spellStart"/>
      <w:r w:rsidRPr="005122EA">
        <w:rPr>
          <w:rFonts w:ascii="Times New Roman" w:hAnsi="Times New Roman" w:cs="Times New Roman"/>
        </w:rPr>
        <w:t>Трише</w:t>
      </w:r>
      <w:proofErr w:type="spellEnd"/>
      <w:r w:rsidRPr="005122EA">
        <w:rPr>
          <w:rFonts w:ascii="Times New Roman" w:hAnsi="Times New Roman" w:cs="Times New Roman"/>
        </w:rPr>
        <w:t xml:space="preserve"> – Электронные текстовые данные. – Режим доступа: http://www.bbc.co.uk/russian/business/2011/10/111030_</w:t>
      </w:r>
      <w:proofErr w:type="spellStart"/>
      <w:r w:rsidRPr="005122EA">
        <w:rPr>
          <w:rFonts w:ascii="Times New Roman" w:hAnsi="Times New Roman" w:cs="Times New Roman"/>
          <w:lang w:val="en-US"/>
        </w:rPr>
        <w:t>trichet</w:t>
      </w:r>
      <w:proofErr w:type="spellEnd"/>
      <w:r w:rsidRPr="005122EA">
        <w:rPr>
          <w:rFonts w:ascii="Times New Roman" w:hAnsi="Times New Roman" w:cs="Times New Roman"/>
        </w:rPr>
        <w:t>_</w:t>
      </w:r>
      <w:proofErr w:type="spellStart"/>
      <w:r w:rsidRPr="005122EA">
        <w:rPr>
          <w:rFonts w:ascii="Times New Roman" w:hAnsi="Times New Roman" w:cs="Times New Roman"/>
          <w:lang w:val="en-US"/>
        </w:rPr>
        <w:t>chinese</w:t>
      </w:r>
      <w:proofErr w:type="spellEnd"/>
      <w:r w:rsidRPr="005122EA">
        <w:rPr>
          <w:rFonts w:ascii="Times New Roman" w:hAnsi="Times New Roman" w:cs="Times New Roman"/>
        </w:rPr>
        <w:t>_</w:t>
      </w:r>
      <w:proofErr w:type="spellStart"/>
      <w:r w:rsidRPr="005122EA">
        <w:rPr>
          <w:rFonts w:ascii="Times New Roman" w:hAnsi="Times New Roman" w:cs="Times New Roman"/>
          <w:lang w:val="en-US"/>
        </w:rPr>
        <w:t>eurozone</w:t>
      </w:r>
      <w:proofErr w:type="spellEnd"/>
      <w:r w:rsidRPr="005122EA">
        <w:rPr>
          <w:rFonts w:ascii="Times New Roman" w:hAnsi="Times New Roman" w:cs="Times New Roman"/>
        </w:rPr>
        <w:t>.</w:t>
      </w:r>
      <w:r w:rsidRPr="005122EA">
        <w:rPr>
          <w:rFonts w:ascii="Times New Roman" w:hAnsi="Times New Roman" w:cs="Times New Roman"/>
          <w:lang w:val="en-US"/>
        </w:rPr>
        <w:t>s</w:t>
      </w:r>
      <w:r w:rsidRPr="005122EA">
        <w:rPr>
          <w:rFonts w:ascii="Times New Roman" w:hAnsi="Times New Roman" w:cs="Times New Roman"/>
        </w:rPr>
        <w:t>. – Дата обращения: 30.12.2014</w:t>
      </w:r>
    </w:p>
  </w:footnote>
  <w:footnote w:id="4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</w:t>
      </w:r>
      <w:proofErr w:type="spellStart"/>
      <w:r w:rsidRPr="005122EA">
        <w:rPr>
          <w:rFonts w:ascii="Times New Roman" w:hAnsi="Times New Roman" w:cs="Times New Roman"/>
        </w:rPr>
        <w:t>Хрестиннн</w:t>
      </w:r>
      <w:proofErr w:type="spellEnd"/>
      <w:r w:rsidRPr="005122EA">
        <w:rPr>
          <w:rFonts w:ascii="Times New Roman" w:hAnsi="Times New Roman" w:cs="Times New Roman"/>
        </w:rPr>
        <w:t xml:space="preserve"> В.В. Финансовое состояние как фактор кредитоспособности предприятия // Вестник Московского университета. Серия 12 Экономика. – 2012. - №6. – С.З.</w:t>
      </w:r>
    </w:p>
  </w:footnote>
  <w:footnote w:id="5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Грачев А.В. Анализ и управление финансовой устойчивостью предприятия: учебное пособие – М: Дело и Сервис. 2013. – с. 32</w:t>
      </w:r>
    </w:p>
  </w:footnote>
  <w:footnote w:id="6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Севостьянов А.В. Экономика недвижимости. – М: </w:t>
      </w:r>
      <w:proofErr w:type="spellStart"/>
      <w:r w:rsidRPr="005122EA">
        <w:rPr>
          <w:rFonts w:ascii="Times New Roman" w:hAnsi="Times New Roman" w:cs="Times New Roman"/>
        </w:rPr>
        <w:t>КолосС</w:t>
      </w:r>
      <w:proofErr w:type="spellEnd"/>
      <w:r w:rsidRPr="005122EA">
        <w:rPr>
          <w:rFonts w:ascii="Times New Roman" w:hAnsi="Times New Roman" w:cs="Times New Roman"/>
        </w:rPr>
        <w:t>, 2012. – с. 80</w:t>
      </w:r>
    </w:p>
  </w:footnote>
  <w:footnote w:id="7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</w:t>
      </w:r>
      <w:proofErr w:type="spellStart"/>
      <w:r w:rsidRPr="005122EA">
        <w:rPr>
          <w:rFonts w:ascii="Times New Roman" w:hAnsi="Times New Roman" w:cs="Times New Roman"/>
        </w:rPr>
        <w:t>Скамай</w:t>
      </w:r>
      <w:proofErr w:type="spellEnd"/>
      <w:r w:rsidRPr="005122EA">
        <w:rPr>
          <w:rFonts w:ascii="Times New Roman" w:hAnsi="Times New Roman" w:cs="Times New Roman"/>
        </w:rPr>
        <w:t xml:space="preserve"> Л.Г. Экономический анализ деятельности предприятия: учебник / Л.Г. </w:t>
      </w:r>
      <w:proofErr w:type="spellStart"/>
      <w:r w:rsidRPr="005122EA">
        <w:rPr>
          <w:rFonts w:ascii="Times New Roman" w:hAnsi="Times New Roman" w:cs="Times New Roman"/>
        </w:rPr>
        <w:t>Скамай</w:t>
      </w:r>
      <w:proofErr w:type="spellEnd"/>
      <w:r w:rsidRPr="005122EA">
        <w:rPr>
          <w:rFonts w:ascii="Times New Roman" w:hAnsi="Times New Roman" w:cs="Times New Roman"/>
        </w:rPr>
        <w:t xml:space="preserve">, М.И. </w:t>
      </w:r>
      <w:proofErr w:type="spellStart"/>
      <w:r w:rsidRPr="005122EA">
        <w:rPr>
          <w:rFonts w:ascii="Times New Roman" w:hAnsi="Times New Roman" w:cs="Times New Roman"/>
        </w:rPr>
        <w:t>Трубочкина</w:t>
      </w:r>
      <w:proofErr w:type="spellEnd"/>
      <w:r w:rsidRPr="005122EA">
        <w:rPr>
          <w:rFonts w:ascii="Times New Roman" w:hAnsi="Times New Roman" w:cs="Times New Roman"/>
        </w:rPr>
        <w:t>. – М.: ИНФРА-М, 2011. – с. 262</w:t>
      </w:r>
    </w:p>
  </w:footnote>
  <w:footnote w:id="8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</w:t>
      </w:r>
      <w:proofErr w:type="spellStart"/>
      <w:r w:rsidRPr="005122EA">
        <w:rPr>
          <w:rFonts w:ascii="Times New Roman" w:hAnsi="Times New Roman" w:cs="Times New Roman"/>
        </w:rPr>
        <w:t>Анушенкова</w:t>
      </w:r>
      <w:proofErr w:type="spellEnd"/>
      <w:r w:rsidRPr="005122EA">
        <w:rPr>
          <w:rFonts w:ascii="Times New Roman" w:hAnsi="Times New Roman" w:cs="Times New Roman"/>
        </w:rPr>
        <w:t xml:space="preserve"> К.А. Финансово-экономический анализ [Электронный ресурс]: учебно-практическое пособие. – Электронные текстовые данные. - Режим доступа: </w:t>
      </w:r>
      <w:hyperlink r:id="rId1" w:history="1">
        <w:r w:rsidRPr="005122EA">
          <w:rPr>
            <w:rStyle w:val="a6"/>
            <w:rFonts w:ascii="Times New Roman" w:hAnsi="Times New Roman"/>
          </w:rPr>
          <w:t>http://lib.rus.ec/b/309700/read</w:t>
        </w:r>
      </w:hyperlink>
      <w:r w:rsidRPr="005122EA">
        <w:rPr>
          <w:rFonts w:ascii="Times New Roman" w:hAnsi="Times New Roman" w:cs="Times New Roman"/>
        </w:rPr>
        <w:t xml:space="preserve"> - Дата обращения: 03.01.2015.</w:t>
      </w:r>
    </w:p>
  </w:footnote>
  <w:footnote w:id="9">
    <w:p w:rsidR="00BF3E8A" w:rsidRPr="00B82AD5" w:rsidRDefault="00BF3E8A" w:rsidP="00BF3E8A">
      <w:pPr>
        <w:pStyle w:val="a3"/>
        <w:jc w:val="both"/>
        <w:rPr>
          <w:sz w:val="24"/>
          <w:szCs w:val="24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</w:t>
      </w:r>
      <w:proofErr w:type="spellStart"/>
      <w:r w:rsidRPr="005122EA">
        <w:rPr>
          <w:rFonts w:ascii="Times New Roman" w:hAnsi="Times New Roman" w:cs="Times New Roman"/>
        </w:rPr>
        <w:t>Лапуста</w:t>
      </w:r>
      <w:proofErr w:type="spellEnd"/>
      <w:r w:rsidRPr="005122EA">
        <w:rPr>
          <w:rFonts w:ascii="Times New Roman" w:hAnsi="Times New Roman" w:cs="Times New Roman"/>
        </w:rPr>
        <w:t xml:space="preserve"> М.Г. Определение характера финансовой устойчивости [Электронный ресурс]: – Электронные текстовые данные. – Режим доступа: http://www.elitarium.ru/2007/04/20/finansovaja_ustojjchivost_predprijatija.html. - Дата обращения: 03.01.2015</w:t>
      </w:r>
    </w:p>
  </w:footnote>
  <w:footnote w:id="10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Вахрушина М.А. Анализ финансовой отчетности: учебник / М.А. Вахрушина, Н.С. </w:t>
      </w:r>
      <w:proofErr w:type="spellStart"/>
      <w:r w:rsidRPr="005122EA">
        <w:rPr>
          <w:rFonts w:ascii="Times New Roman" w:hAnsi="Times New Roman" w:cs="Times New Roman"/>
        </w:rPr>
        <w:t>Пласкова</w:t>
      </w:r>
      <w:proofErr w:type="spellEnd"/>
      <w:r w:rsidRPr="005122EA">
        <w:rPr>
          <w:rFonts w:ascii="Times New Roman" w:hAnsi="Times New Roman" w:cs="Times New Roman"/>
        </w:rPr>
        <w:t>. – М.: Вузовский учебник, 2013. – с. 81</w:t>
      </w:r>
    </w:p>
  </w:footnote>
  <w:footnote w:id="11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Балабанова Н.В. Оценка финансовой устойчивости предприятия через количественные характеристики финансовых рисков// Современные наукоемкие технологии. Региональное</w:t>
      </w:r>
      <w:r w:rsidRPr="005122EA">
        <w:rPr>
          <w:rFonts w:ascii="Times New Roman" w:hAnsi="Times New Roman" w:cs="Times New Roman"/>
        </w:rPr>
        <w:br/>
        <w:t>приложение – 2011. – № 1. - С. 13.</w:t>
      </w:r>
    </w:p>
  </w:footnote>
  <w:footnote w:id="12">
    <w:p w:rsidR="00BF3E8A" w:rsidRDefault="00BF3E8A" w:rsidP="00BF3E8A">
      <w:pPr>
        <w:pStyle w:val="a3"/>
        <w:jc w:val="both"/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</w:t>
      </w:r>
      <w:proofErr w:type="spellStart"/>
      <w:r w:rsidRPr="005122EA">
        <w:rPr>
          <w:rFonts w:ascii="Times New Roman" w:hAnsi="Times New Roman" w:cs="Times New Roman"/>
        </w:rPr>
        <w:t>Крейнина</w:t>
      </w:r>
      <w:proofErr w:type="spellEnd"/>
      <w:r w:rsidRPr="005122EA">
        <w:rPr>
          <w:rFonts w:ascii="Times New Roman" w:hAnsi="Times New Roman" w:cs="Times New Roman"/>
        </w:rPr>
        <w:t xml:space="preserve"> М.Н. Финансовая устойчивость предприятия: оценка и принятие решений // Финансовый менеджмент. – 2011.- №2. – С. 3.</w:t>
      </w:r>
    </w:p>
  </w:footnote>
  <w:footnote w:id="13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Павленков М.Н. Инструменты оценки финансовой устойчивости [Электронный ресурс]: электронный журнал «Управляем предприятием» – Электронные текстовые данные. –Режим </w:t>
      </w:r>
      <w:proofErr w:type="spellStart"/>
      <w:r w:rsidRPr="005122EA">
        <w:rPr>
          <w:rFonts w:ascii="Times New Roman" w:hAnsi="Times New Roman" w:cs="Times New Roman"/>
        </w:rPr>
        <w:t>доступа:http</w:t>
      </w:r>
      <w:proofErr w:type="spellEnd"/>
      <w:r w:rsidRPr="005122EA">
        <w:rPr>
          <w:rFonts w:ascii="Times New Roman" w:hAnsi="Times New Roman" w:cs="Times New Roman"/>
        </w:rPr>
        <w:t>://consulting.1c.ru/</w:t>
      </w:r>
      <w:proofErr w:type="spellStart"/>
      <w:proofErr w:type="gramStart"/>
      <w:r w:rsidRPr="005122EA">
        <w:rPr>
          <w:rFonts w:ascii="Times New Roman" w:hAnsi="Times New Roman" w:cs="Times New Roman"/>
        </w:rPr>
        <w:t>journal-article.jsp?id</w:t>
      </w:r>
      <w:proofErr w:type="spellEnd"/>
      <w:proofErr w:type="gramEnd"/>
      <w:r w:rsidRPr="005122EA">
        <w:rPr>
          <w:rFonts w:ascii="Times New Roman" w:hAnsi="Times New Roman" w:cs="Times New Roman"/>
        </w:rPr>
        <w:t>=162. – Дата обращения: 30.12.2014.</w:t>
      </w:r>
    </w:p>
  </w:footnote>
  <w:footnote w:id="14">
    <w:p w:rsidR="00BF3E8A" w:rsidRPr="005122EA" w:rsidRDefault="00BF3E8A" w:rsidP="00BF3E8A">
      <w:pPr>
        <w:pStyle w:val="a3"/>
        <w:jc w:val="both"/>
        <w:rPr>
          <w:rFonts w:ascii="Times New Roman" w:hAnsi="Times New Roman" w:cs="Times New Roman"/>
        </w:rPr>
      </w:pPr>
      <w:r w:rsidRPr="005122EA">
        <w:rPr>
          <w:rStyle w:val="a5"/>
          <w:rFonts w:ascii="Times New Roman" w:hAnsi="Times New Roman" w:cs="Times New Roman"/>
        </w:rPr>
        <w:footnoteRef/>
      </w:r>
      <w:r w:rsidRPr="005122EA">
        <w:rPr>
          <w:rFonts w:ascii="Times New Roman" w:hAnsi="Times New Roman" w:cs="Times New Roman"/>
        </w:rPr>
        <w:t xml:space="preserve"> Кузнецова И.Д., Кукушкина </w:t>
      </w:r>
      <w:proofErr w:type="gramStart"/>
      <w:r w:rsidRPr="005122EA">
        <w:rPr>
          <w:rFonts w:ascii="Times New Roman" w:hAnsi="Times New Roman" w:cs="Times New Roman"/>
        </w:rPr>
        <w:t>О.А..</w:t>
      </w:r>
      <w:proofErr w:type="gramEnd"/>
      <w:r w:rsidRPr="005122EA">
        <w:rPr>
          <w:rFonts w:ascii="Times New Roman" w:hAnsi="Times New Roman" w:cs="Times New Roman"/>
        </w:rPr>
        <w:t xml:space="preserve"> К вопросу о финансовой устойчивости предприятий // Современные наукоемкие технологии. Региональное приложение - 2013. – №4. - С. 49.</w:t>
      </w:r>
    </w:p>
    <w:p w:rsidR="00BF3E8A" w:rsidRDefault="00BF3E8A" w:rsidP="00BF3E8A">
      <w:pPr>
        <w:pStyle w:val="a3"/>
      </w:pPr>
    </w:p>
  </w:footnote>
  <w:footnote w:id="15">
    <w:p w:rsidR="00BF3E8A" w:rsidRDefault="00BF3E8A" w:rsidP="00BF3E8A">
      <w:pPr>
        <w:pStyle w:val="a3"/>
        <w:jc w:val="both"/>
      </w:pPr>
      <w:r>
        <w:rPr>
          <w:rStyle w:val="a5"/>
        </w:rPr>
        <w:footnoteRef/>
      </w:r>
      <w:r w:rsidRPr="000F6673">
        <w:rPr>
          <w:color w:val="000000"/>
        </w:rPr>
        <w:t xml:space="preserve">Экономический анализ: ситуации, тесты, примеры, задачи, выбор оптимальных решений, финансовое прогнозирование / Под ред. М. И. </w:t>
      </w:r>
      <w:proofErr w:type="spellStart"/>
      <w:r w:rsidRPr="000F6673">
        <w:rPr>
          <w:color w:val="000000"/>
        </w:rPr>
        <w:t>Баканова</w:t>
      </w:r>
      <w:proofErr w:type="spellEnd"/>
      <w:r w:rsidRPr="000F6673">
        <w:rPr>
          <w:color w:val="000000"/>
        </w:rPr>
        <w:t xml:space="preserve">, А. Д. </w:t>
      </w:r>
      <w:proofErr w:type="spellStart"/>
      <w:r w:rsidRPr="000F6673">
        <w:rPr>
          <w:color w:val="000000"/>
        </w:rPr>
        <w:t>Шеремета</w:t>
      </w:r>
      <w:proofErr w:type="spellEnd"/>
      <w:r w:rsidRPr="000F6673">
        <w:rPr>
          <w:color w:val="000000"/>
        </w:rPr>
        <w:t>. - М.: ЮНИТИ-ДАНА, 2010</w:t>
      </w:r>
    </w:p>
  </w:footnote>
  <w:footnote w:id="16">
    <w:p w:rsidR="00BF3E8A" w:rsidRDefault="00BF3E8A" w:rsidP="00BF3E8A">
      <w:pPr>
        <w:pStyle w:val="a3"/>
      </w:pPr>
      <w:r>
        <w:rPr>
          <w:rStyle w:val="a5"/>
        </w:rPr>
        <w:footnoteRef/>
      </w:r>
      <w:r w:rsidRPr="00B639E3">
        <w:rPr>
          <w:color w:val="000000"/>
        </w:rPr>
        <w:t>Донцова Л. В., Никифорова Н. А. Годовая и квартальная бухгалтерская отчетность. Учебно-методическое пособие по составлению. - М.: Изд-во «Дело и Сервис», 2010</w:t>
      </w:r>
    </w:p>
  </w:footnote>
  <w:footnote w:id="17">
    <w:p w:rsidR="00BF3E8A" w:rsidRDefault="00BF3E8A" w:rsidP="00BF3E8A">
      <w:pPr>
        <w:pStyle w:val="a3"/>
      </w:pPr>
      <w:r>
        <w:rPr>
          <w:rStyle w:val="a5"/>
        </w:rPr>
        <w:footnoteRef/>
      </w:r>
      <w:r w:rsidRPr="00406B40">
        <w:rPr>
          <w:szCs w:val="28"/>
        </w:rPr>
        <w:t xml:space="preserve">Финансовый анализ. Управление финансами: под ред. </w:t>
      </w:r>
      <w:proofErr w:type="spellStart"/>
      <w:r w:rsidRPr="00406B40">
        <w:rPr>
          <w:szCs w:val="28"/>
        </w:rPr>
        <w:t>Н.Н.Селезневой</w:t>
      </w:r>
      <w:proofErr w:type="spellEnd"/>
      <w:r w:rsidRPr="00406B40">
        <w:rPr>
          <w:szCs w:val="28"/>
        </w:rPr>
        <w:t xml:space="preserve">. – 2-е изд. </w:t>
      </w:r>
      <w:proofErr w:type="spellStart"/>
      <w:r w:rsidRPr="00406B40">
        <w:rPr>
          <w:szCs w:val="28"/>
        </w:rPr>
        <w:t>перераб</w:t>
      </w:r>
      <w:proofErr w:type="spellEnd"/>
      <w:proofErr w:type="gramStart"/>
      <w:r w:rsidRPr="00406B40">
        <w:rPr>
          <w:szCs w:val="28"/>
        </w:rPr>
        <w:t>. и</w:t>
      </w:r>
      <w:proofErr w:type="gramEnd"/>
      <w:r w:rsidRPr="00406B40">
        <w:rPr>
          <w:szCs w:val="28"/>
        </w:rPr>
        <w:t xml:space="preserve"> доп. – М.: ЮНИТИ-ДАНА, 2009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190454"/>
    <w:multiLevelType w:val="hybridMultilevel"/>
    <w:tmpl w:val="13DC406C"/>
    <w:lvl w:ilvl="0" w:tplc="020018CE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7EF"/>
    <w:rsid w:val="00042043"/>
    <w:rsid w:val="001045C1"/>
    <w:rsid w:val="00385819"/>
    <w:rsid w:val="00607103"/>
    <w:rsid w:val="008C28A3"/>
    <w:rsid w:val="00BF3E8A"/>
    <w:rsid w:val="00C252F5"/>
    <w:rsid w:val="00C62FD8"/>
    <w:rsid w:val="00C917EF"/>
    <w:rsid w:val="00F9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35810-7A2A-4BD1-9944-01D4BADC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103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C252F5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52F5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footnote text"/>
    <w:basedOn w:val="a"/>
    <w:link w:val="a4"/>
    <w:uiPriority w:val="99"/>
    <w:semiHidden/>
    <w:unhideWhenUsed/>
    <w:rsid w:val="00BF3E8A"/>
    <w:pPr>
      <w:spacing w:line="240" w:lineRule="auto"/>
      <w:ind w:firstLine="0"/>
    </w:pPr>
    <w:rPr>
      <w:rFonts w:asciiTheme="minorHAnsi" w:hAnsiTheme="minorHAns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F3E8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F3E8A"/>
    <w:rPr>
      <w:vertAlign w:val="superscript"/>
    </w:rPr>
  </w:style>
  <w:style w:type="character" w:styleId="a6">
    <w:name w:val="Hyperlink"/>
    <w:basedOn w:val="a0"/>
    <w:uiPriority w:val="99"/>
    <w:unhideWhenUsed/>
    <w:rsid w:val="00BF3E8A"/>
    <w:rPr>
      <w:color w:val="0563C1" w:themeColor="hyperlink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BF3E8A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F3E8A"/>
    <w:pPr>
      <w:spacing w:after="100"/>
    </w:pPr>
  </w:style>
  <w:style w:type="paragraph" w:styleId="a8">
    <w:name w:val="header"/>
    <w:basedOn w:val="a"/>
    <w:link w:val="a9"/>
    <w:uiPriority w:val="99"/>
    <w:unhideWhenUsed/>
    <w:rsid w:val="00BF3E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3E8A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BF3E8A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3E8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2.bin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lib.rus.ec/b/309700/re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2477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2016-12-22T11:36:00Z</dcterms:created>
  <dcterms:modified xsi:type="dcterms:W3CDTF">2016-12-22T11:40:00Z</dcterms:modified>
</cp:coreProperties>
</file>