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A5" w:rsidRPr="002D41C5" w:rsidRDefault="00805CDF" w:rsidP="00805C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1C5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805CDF" w:rsidRPr="002D41C5" w:rsidRDefault="00805CDF" w:rsidP="008A57F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A57FD" w:rsidRPr="002D41C5" w:rsidRDefault="008A57FD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2D41C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2D41C5">
        <w:rPr>
          <w:rFonts w:ascii="Times New Roman" w:hAnsi="Times New Roman" w:cs="Times New Roman"/>
          <w:b/>
          <w:sz w:val="28"/>
          <w:szCs w:val="28"/>
        </w:rPr>
        <w:instrText xml:space="preserve"> TOC \o "1-3" \h \z \u </w:instrText>
      </w:r>
      <w:r w:rsidRPr="002D41C5">
        <w:rPr>
          <w:rFonts w:ascii="Times New Roman" w:hAnsi="Times New Roman" w:cs="Times New Roman"/>
          <w:b/>
          <w:sz w:val="28"/>
          <w:szCs w:val="28"/>
        </w:rPr>
        <w:fldChar w:fldCharType="separate"/>
      </w:r>
      <w:hyperlink w:anchor="_Toc469756957" w:history="1">
        <w:r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Формирование благоприятного налогового климата для привлечения инвестиций в российскую экономику</w:t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_Toc469756957 \h </w:instrText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58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Задание 2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_Toc469756958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3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59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_Toc469756959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6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0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_Toc469756960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7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1" w:history="1">
        <w:r w:rsidR="008A57FD" w:rsidRPr="002D41C5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_Toc469756961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1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8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2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Задание 3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19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3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_Toc469756963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1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4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_Toc469756964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2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5" w:history="1">
        <w:r w:rsidR="008A57FD" w:rsidRPr="002D41C5">
          <w:rPr>
            <w:rStyle w:val="a9"/>
            <w:rFonts w:ascii="Times New Roman" w:hAnsi="Times New Roman" w:cs="Times New Roman"/>
            <w:noProof/>
            <w:sz w:val="28"/>
            <w:szCs w:val="28"/>
          </w:rPr>
          <w:t>Задача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_Toc469756965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3</w:t>
      </w:r>
    </w:p>
    <w:p w:rsidR="008A57FD" w:rsidRPr="002D41C5" w:rsidRDefault="0053727E" w:rsidP="008A57FD">
      <w:pPr>
        <w:pStyle w:val="11"/>
        <w:tabs>
          <w:tab w:val="right" w:leader="dot" w:pos="9345"/>
        </w:tabs>
        <w:jc w:val="both"/>
        <w:rPr>
          <w:rFonts w:ascii="Times New Roman" w:hAnsi="Times New Roman" w:cs="Times New Roman"/>
          <w:noProof/>
          <w:sz w:val="28"/>
          <w:szCs w:val="28"/>
        </w:rPr>
      </w:pPr>
      <w:hyperlink w:anchor="_Toc469756966" w:history="1">
        <w:r w:rsidR="008A57FD" w:rsidRPr="002D41C5">
          <w:rPr>
            <w:rStyle w:val="a9"/>
            <w:rFonts w:ascii="Times New Roman" w:eastAsia="Times New Roman" w:hAnsi="Times New Roman" w:cs="Times New Roman"/>
            <w:noProof/>
            <w:sz w:val="28"/>
            <w:szCs w:val="28"/>
          </w:rPr>
          <w:t>Список литературы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_Toc469756966 \h </w:instrTex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t>2</w:t>
        </w:r>
        <w:r w:rsidR="008A57FD" w:rsidRPr="002D41C5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  <w:r w:rsidR="001D612C" w:rsidRPr="002D41C5">
        <w:rPr>
          <w:rFonts w:ascii="Times New Roman" w:hAnsi="Times New Roman" w:cs="Times New Roman"/>
          <w:noProof/>
          <w:sz w:val="28"/>
          <w:szCs w:val="28"/>
        </w:rPr>
        <w:t>4</w:t>
      </w:r>
    </w:p>
    <w:p w:rsidR="008A57FD" w:rsidRPr="002D41C5" w:rsidRDefault="008A57FD" w:rsidP="008A57F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D41C5">
        <w:rPr>
          <w:rFonts w:ascii="Times New Roman" w:hAnsi="Times New Roman" w:cs="Times New Roman"/>
          <w:b/>
          <w:sz w:val="28"/>
          <w:szCs w:val="28"/>
        </w:rPr>
        <w:fldChar w:fldCharType="end"/>
      </w:r>
    </w:p>
    <w:p w:rsidR="00805CDF" w:rsidRPr="002D41C5" w:rsidRDefault="00805CDF">
      <w:pPr>
        <w:rPr>
          <w:rFonts w:ascii="Times New Roman" w:hAnsi="Times New Roman" w:cs="Times New Roman"/>
          <w:b/>
          <w:sz w:val="28"/>
          <w:szCs w:val="28"/>
        </w:rPr>
      </w:pPr>
      <w:r w:rsidRPr="002D41C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05CDF" w:rsidRPr="002D41C5" w:rsidRDefault="00805CDF" w:rsidP="00805CD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0" w:name="_Toc469756957"/>
      <w:r w:rsidRPr="002D41C5">
        <w:rPr>
          <w:rFonts w:ascii="Times New Roman" w:hAnsi="Times New Roman" w:cs="Times New Roman"/>
          <w:color w:val="auto"/>
        </w:rPr>
        <w:lastRenderedPageBreak/>
        <w:t>Формирование благоприятного налогового климата для привлечения инвестиций в российскую экономику</w:t>
      </w:r>
      <w:bookmarkEnd w:id="0"/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Рационально организованная структура налогообложения должна благоприятствовать инвестиционной деятельности. Важное значение имеет также создание благоприятных условий для иностранных инвесторов в России. Законодательство об иностранных инвестициях должно дополнять, а не заменять или повторять действующее в стране законодательство по отношению к отечественным инвесторам.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Состояние инвестиционной сферы экономики страны свидетельствует о том, что инвестиционная деятельность сегодня является недостаточно привлекательной для потенциальных инвесторов. В основе этого лежит ряд причин, ухудшающих инвестиционный климат в России. Наиболее важных из них – это неотработанные, противоречивые и </w:t>
      </w:r>
      <w:r w:rsidR="001D612C" w:rsidRPr="002D41C5">
        <w:rPr>
          <w:rFonts w:ascii="Times New Roman" w:hAnsi="Times New Roman" w:cs="Times New Roman"/>
          <w:sz w:val="28"/>
          <w:szCs w:val="28"/>
        </w:rPr>
        <w:t>постоянно меняющиеся законодательная база,</w:t>
      </w:r>
      <w:r w:rsidRPr="002D41C5">
        <w:rPr>
          <w:rFonts w:ascii="Times New Roman" w:hAnsi="Times New Roman" w:cs="Times New Roman"/>
          <w:sz w:val="28"/>
          <w:szCs w:val="28"/>
        </w:rPr>
        <w:t xml:space="preserve"> и налоговая система.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В сложившихся условиях привлечения иностранных инвестиций в реальный сектор российской экономики предполагает разработку комплекса мер, направленных на улучшение инвестиционного климата, </w:t>
      </w:r>
      <w:r w:rsidR="001D612C" w:rsidRPr="002D41C5">
        <w:rPr>
          <w:rFonts w:ascii="Times New Roman" w:hAnsi="Times New Roman" w:cs="Times New Roman"/>
          <w:sz w:val="28"/>
          <w:szCs w:val="28"/>
        </w:rPr>
        <w:t>например,</w:t>
      </w:r>
      <w:r w:rsidRPr="002D41C5">
        <w:rPr>
          <w:rFonts w:ascii="Times New Roman" w:hAnsi="Times New Roman" w:cs="Times New Roman"/>
          <w:sz w:val="28"/>
          <w:szCs w:val="28"/>
        </w:rPr>
        <w:t xml:space="preserve"> налоговых льгот.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Налоговые льготы могут осуществляться в виде: освобождение от налогообложения части прибыли, направленной на финансирование капитальных вложений с целью развития собственной производственной базы и на финансирование жилищного строительства; скидок, действие которых связано с расходами, влияющими на результаты налогообложения; налоговых кредитов; налоговых каникул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[4]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F7711" w:rsidRPr="002D41C5" w:rsidRDefault="00805CDF" w:rsidP="008F77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Более эффективным видом налоговых льгот, получившим распространение в западной практике, является инвестиционный налоговый кредит. Он предусматривает уменьшение в течение определенного срока и в допустимых пределах платежей по налогу на прибыль (доход), а также по региональным и местным налогам с последующей поэтапной уплатой суммы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кредита и начисленных процентов. В отличие от других видов льгот налоговый инвестиционный кредит выступает как прямое снижение налогового обязательства и в большей степени учитывает имущественное положение налогоплательщика. Если использование налоговых скидок является более выгодным для налогоплательщиков, чьи доходы облагаются по высоким ставкам, то применение инвестиционного кредита – для налогоплательщиков с низкими доходами.</w:t>
      </w:r>
    </w:p>
    <w:p w:rsidR="00805CDF" w:rsidRPr="002D41C5" w:rsidRDefault="00805CDF" w:rsidP="008F771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 России порядок применения инвестиционного налогового кредита был определен Федеральным Законом «Об инвестиционном налоговом кредите», однако вследствие сложности оформления кредита и несовершенства правовой базы данный вид налоговых льгот не получил распространения.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Налоговая система, построенная с учётом налоговых льгот и рациональных налоговых ставок, обеспечивает действие стимулирующей функции развития производства и увеличения налоговой базы. При повышении налогов стимулы к труду и предпринимательству падают, а при 100 % налогообложении доход государства равен нулю, так как никто не хочет работать, не получая дохода. Повышение или понижение налоговых ставок оказывает тормозящее или стимулирующее воздействие на динамику инвестиций.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К настоящему времени мировая практика выработала универсальный набор мер, используемых для привлечения иностранного капитала. Среди них наибольшее значение имеют следующие: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Налоговые стимулы: налоговые льготы, «налоговые каникулы», освобождение от таможенных пошлин и сборов и др.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«Налоговые каникулы» – полное или частичное освобождение коммерческой организации от уплаты налога на прибыль в течение определенного периода времени после размещения инвестиций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[7]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Смысл такого освобождения состоит в повышении привлекательности размещения инвестиций и тем самым увеличения в будущем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налогооблагаемой базы. При этом временное снижение поступлений от налога на прибыль в бюджет компенсируется за счет дополнительных неналоговых выгод, связанных с привлечением иностранного капитала, таких, как создание новых рабочих мест, развитие производства и инфраструктуры, приток финансовых ресурсов, передовых технологий и т. д. Практика применения «налоговых каникул» характерна для многих стран Восточной Европы, Юго-Восточной Азии и др.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Финансовые стимулы – различного рода субсидии, предоставление кредитов и займов по льготным условиям, гарантии их получения.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Нефинансовые стимулы – создание благоприятного климата для эффективного функционирования иностранного капитала, развитие законодательной базы и необходимой инфраструктуры (транспорта, связи и др.), создание свободных экономических зон и т. д.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 тех или иных комбинациях эти меры привлечения иностранных инвестиций используются во всех странах. Однако опыт последних десятилетий позволяет выделить следующие особенности методов их привлечения, характерные для различных групп стран.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Во-первых, промышленно развитые страны отдают предпочтение финансовым стимулам перед налоговыми. Это объясняется тем, что финансовое стимулирование позволяет правительству сконцентрировать усилия на достижении конкретных целей, например, на привлечении иностранных инвесторов в отдельные отрасли или переживающие экономические трудности «депрессивные» регионы. Развивающиеся страны, напротив, предпочитают налоговые меры, что обусловлено недостатком у них необходимых финансовых ресурсов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[5]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Во-вторых, наметилась устойчивая тенденция к более широкому использованию нефинансовых мер, таких, как упрощение административных процедур, создание свободных экономических зон и др.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Особое внимание уделяется привлечению иностранных инвестиций в так называемые зоны развития – территории, нуждающиеся в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 xml:space="preserve">дополнительном привлечении финансовых ресурсов с целью развития в них наукоемких отраслей или снижения уровня безработицы. 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По российскому законодательству стабильность условий для иностранного инвестора гарантируется в течение срока окупаемости инвестиционного проекта, но не более семи лет со дня начала финансирования указанного проекта за счет иностранных инвестиций. Это положение распространяется на КОИИ, у которых доля иностранных инвесторов в уставном капитале составляет более 25%, а также на КОИИ, участвующих в реализации приоритетных инвестиционных проектов. В исключительных случаях для инвестиционного проекта с суммарным объемом иностранных инвестиций не менее 1 млрд. руб., срок окупаемости которого превышает семь лет, Правительство РФ может принять решение о продлении срока действия прежних условий и режима.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По действующему в России налоговому законодательству («Налоговому кодексу РФ») налоговая система страны включает налоги трех уровней: 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федеральные налоги и сборы;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2) региональные налоги и сборы, взимаемые на территории субъектов РФ;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3) местные налоги и сборы, устанавливаемые органами местного самоуправления.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Иностранное юридическое лицо, решившее начать свою деятельность в РФ, обязано встать на учет в государственной налоговой инспекции. Если оно осуществляет эту деятельность в нескольких местах на территории РФ, то в каждом из них оно обязано встать на учет в соответствующей налоговой инспекции, независимо оттого, будет ли в дальнейшем его деятельность признана подлежащей налогообложению или нет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[6]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pacing w:val="-6"/>
          <w:sz w:val="28"/>
          <w:szCs w:val="28"/>
        </w:rPr>
        <w:t>Иностранное юридическое лицо, осуществляющее предпринимательскую</w:t>
      </w:r>
      <w:r w:rsidRPr="002D41C5">
        <w:rPr>
          <w:rFonts w:ascii="Times New Roman" w:hAnsi="Times New Roman" w:cs="Times New Roman"/>
          <w:sz w:val="28"/>
          <w:szCs w:val="28"/>
        </w:rPr>
        <w:t xml:space="preserve"> деятельность на территории РФ через постоянное представительство, является плательщиком налога на прибыль. Понятие постоянного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представительства используется для того, чтобы определить налоговый статус иностранного юридического лица в РФ, и не имеет организационно-правового значения.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Постоянное представительство – любое место регулярного осуществления деятельности иностранного юридического лица (филиала, отделения, бюро, конторы, агентства, организации и т. д.), которая позволяет извлекать доход на территории РФ.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Иностранные юридические лица обязаны встать на налоговый учет в России, независимо от того, будет ли их дальнейшая деятельность признана налоговым органом подлежащей налогообложению или нет. Иными словами, основанием для постановки на учет в налоговом органе служит сам факт начала деятельности иностранной фирмы в РФ, а не наличие или отсутствие у нее налоговых обязательств. Установлена ответственность за уклонение от постановки на учет в налоговом органе в виде штрафа. Для целей налогообложения не имеет значения, есть ли у иностранной фирмы разрешение на открытие представительства (аккредитация).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При постановке на учет отделению иностранного юридического лица присваивается идентификационный номер налогоплательщика (ИНН), который указывается во всех документах, представляемых в налоговые органы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[3]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Коммерческие банки и иные кредитно-финансовые учреждения открывают рублевые, валютные, депозитные и иные счета налогоплательщикам – иностранным фирмам только при представлении ими подлинника справки о постановке на учет в налоговом органе РФ.</w:t>
      </w:r>
    </w:p>
    <w:p w:rsidR="001D612C" w:rsidRPr="002D41C5" w:rsidRDefault="00805CDF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В области налогообложения для коммерческих организации с иностранными инвестициями (КОИИ) и других форм прямых инвестиций в РФ установлен национальный режим, означающий, что они уплачивают налоги, установленные действующим на территории РФ законодательством для национальных предприятий. Кроме того, на совместные предприятия с иностранным капиталом распространяется общий правовой режим льготного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налогообложения, как и для российских предприятий.</w:t>
      </w:r>
    </w:p>
    <w:p w:rsidR="00805CDF" w:rsidRPr="002D41C5" w:rsidRDefault="00805CDF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Основополагающими понятиями налогообложения являются налоговая база и налоговая ставка. Как известно, налоговая база представляет собой стоимостную, физическую или иную характеристику объекта налогообложения, а налоговая ставка – величина налоговых начислений на единицу измерения налоговой базы. Налогоплательщики – коммерческие организации исчисляют налоговую базу по итогам каждого налогового периода на основе данных регистра бухгалтерского учета и (или) на основе других документально подтвержденных данных об объектах, подлежащих налогообложению.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1. Налог на прибыль (корпоративный налог) относится к числу прямых налогов, т. е. налогов, взимаемых непосредственно с прибыли, получаемой в процессе деятельности налогоплательщика. Субъекты РФ вправе сами устанавливать ставку налога на прибыль.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Иностранные юридические лица, не имеющие постоянных представительств в РФ, также выплачивают налог на дивиденды и проценты, полученные на территории РФ, на доходы от фрахта, морских, воздушных, автомобильных и железнодорожных перевозок, от аренды, использования лицензий и авторских прав и др.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Справку об авансовых взносах налогов в бюджет, рассчитанных на основе предполагаемой суммы прибыли, коммерческие организации должны сдавать в органы Министерства по налогам и сборам не позднее установленных сроков. По окончании квартала следует представить в налоговую инспекцию квартальный отчет и расчет возврата из бюджета переплаченных сумм (если таковые будут иметь место)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[4]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2. Налог на добавленную стоимость (НДС) является косвенным налогом, сумма которого относится на себестоимость продукции, т. е. включается в ее цену и оплачивается потребителем. НДС облагаются: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 а) обороты по реализации на территории РФ товаров, выполненных работ и услуг;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lastRenderedPageBreak/>
        <w:t xml:space="preserve"> б) стоимость товаров, ввозимых на территорию РФ;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 в) любые денежные средства, поступающие от контрагентов, кроме взносов в уставный фонд, средств на целевое финансирование и на осуществление совместной деятельности.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Иностранные юридические лица, осуществляющие коммерческую деятельность на территории РФ, делятся на две категории: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иностранные юридические лица, состоящие на учете в налоговом органе РФ, исчисляют и уплачивают НДС самостоятельно в порядке, установленном для российских предприятий;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2) иностранные юридические лица, не состоящие на учете в налоговых органах РФ, уплачивают НДС через российского партнера.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3. Налог на имущество – прямой налог, зачисляемый в бюджеты субъектов Федерации. Плательщиками налога на имущество являются постоянные представительства и другие обособленные подразделения иностранных компаний, банков и организаций. Этим налогом облагаются: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- основные средства (включая взятые в аренду с правом последующего выкупа), т. е. здания (в том числе жилые), сооружения, передаточные и транспортные средства, устройства, машины, оборудование и другие виды основных средств; 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нематериальные активы – права пользования земельным участком и природными ресурсами, патенты, лицензии, ноу-хау, программные продукты, монопольные права и привилегии, включая лицензии на определенный вид деятельности, организационные расходы, торговые марки, товарные знаки;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запасы и затраты, включающие производственные запасы, малоценные и быстро изнашивающиеся предметы, незавершенное производство, готовую продукцию и товары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[3]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1D6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Основой для определения стоимости имущества является остаточная стоимость, которая определяется как разница между первоначальной стоимостью (стоимостью приобретения) и износом, начисленным по законам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страны постоянного местопребывания иностранного юридического лица. Для целей налогообложения определяется среднегодовая стоимость имущества за отчетный период – квартал, полугодие, 9 месяцев, год. КОИИ представляют в налоговые органы только квартальные расчеты среднегодовой стоимости и налога на имущество.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</w:t>
      </w:r>
      <w:r w:rsidRPr="002D41C5">
        <w:rPr>
          <w:rFonts w:ascii="Times New Roman" w:hAnsi="Times New Roman" w:cs="Times New Roman"/>
          <w:sz w:val="28"/>
          <w:szCs w:val="28"/>
        </w:rPr>
        <w:t>От налога на имущество освобождаются дипломатические представительства и приравненные к ним организации, а также имущество, полученное в аренду по заключенному договору без права последующего выкупа.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4. Другие налоги и сборы, к которым относятся налоги, включаемые в затраты производства или уменьшающие налогооблагаемую базу, отчисления в Пенсионный фонд, на медицинское страхование, федеральный транспортный налог, различные местные налоги и т. д.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Налоговый кодекс РФ предусматривает возможность введения специального налогового режима, который представляет собой особый порядок исчисления и уплаты налогов и сборов в течение определенного периода времени, применяемый в соответствии с федеральными законами. К специальным налоговым режимам относятся: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упрощенная система налогообложения субъектов малого предпринимательства;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    </w:t>
      </w:r>
      <w:r w:rsidRPr="002D41C5">
        <w:rPr>
          <w:rFonts w:ascii="Times New Roman" w:hAnsi="Times New Roman" w:cs="Times New Roman"/>
          <w:sz w:val="28"/>
          <w:szCs w:val="28"/>
        </w:rPr>
        <w:t xml:space="preserve"> система налогообложения в свободных экономических зонах;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система налогообложен</w:t>
      </w:r>
      <w:r w:rsidR="001D612C" w:rsidRPr="002D41C5">
        <w:rPr>
          <w:rFonts w:ascii="Times New Roman" w:hAnsi="Times New Roman" w:cs="Times New Roman"/>
          <w:sz w:val="28"/>
          <w:szCs w:val="28"/>
        </w:rPr>
        <w:t>ия в закрытых административно-</w:t>
      </w:r>
      <w:r w:rsidRPr="002D41C5">
        <w:rPr>
          <w:rFonts w:ascii="Times New Roman" w:hAnsi="Times New Roman" w:cs="Times New Roman"/>
          <w:sz w:val="28"/>
          <w:szCs w:val="28"/>
        </w:rPr>
        <w:t>территориальных образованиях;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- 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    </w:t>
      </w:r>
      <w:r w:rsidRPr="002D41C5">
        <w:rPr>
          <w:rFonts w:ascii="Times New Roman" w:hAnsi="Times New Roman" w:cs="Times New Roman"/>
          <w:sz w:val="28"/>
          <w:szCs w:val="28"/>
        </w:rPr>
        <w:t>система налогообложения при выполнении договоров концессии;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  </w:t>
      </w:r>
      <w:r w:rsidRPr="002D41C5">
        <w:rPr>
          <w:rFonts w:ascii="Times New Roman" w:hAnsi="Times New Roman" w:cs="Times New Roman"/>
          <w:sz w:val="28"/>
          <w:szCs w:val="28"/>
        </w:rPr>
        <w:t>система налогообложения при заключении соглашений о разделе продукции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[6]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Действующие в России налоговые льготы для предприятий, в том числе для КОИИ, принимают в основном следующие формы: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D41C5">
        <w:rPr>
          <w:rFonts w:ascii="Times New Roman" w:hAnsi="Times New Roman" w:cs="Times New Roman"/>
          <w:spacing w:val="-8"/>
          <w:sz w:val="28"/>
          <w:szCs w:val="28"/>
        </w:rPr>
        <w:t>1) двухлетние налоговые каникулы для отдельных типов капиталовложений;</w:t>
      </w:r>
    </w:p>
    <w:p w:rsidR="001D612C" w:rsidRPr="002D41C5" w:rsidRDefault="00805CDF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2) льготный режим налогообложения, сходный по структуре с режимом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для малого российского бизнеса;</w:t>
      </w:r>
    </w:p>
    <w:p w:rsidR="00805CDF" w:rsidRPr="002D41C5" w:rsidRDefault="00805CDF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3) инвестиционный налоговый кредит, который представляет собой такое изменение срока уплаты налога, при котором КОИИ может в определенных пределах уменьшить свои платежи по налогу с последующей по этапной уплатой суммы кредита и начисленных на эту сумму процентов. Такой кредит может быть предоставлен по налогу на прибыль, а также по региональным и местным налогам. Его срок – от одного до пяти лет.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Инвестиционный налоговый кредит может быть предоставлен КОИИ при наличии хотя бы одного из следующих условий: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проведение организацией НИОКР либо технического перевооружения собственного производства, в том числе направленного на создание новых рабочих мест или защиту окружающей среды от загрязнения промышленными отходами;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осуществление организацией внедренческой или инновационной деятельности, в том числе создание новых или совершенствование применяемых технологий, создание новых видов сырья или материалов;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 выполнение организацией особо важного заказа по социально-экономическому развитию региона или предоставление ею особо важных услуг населению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[7]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1D6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Определенные налоговые льготы иностранным инвесторам могут предоставлять региональные и местные власти.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</w:t>
      </w:r>
      <w:r w:rsidRPr="002D41C5">
        <w:rPr>
          <w:rFonts w:ascii="Times New Roman" w:hAnsi="Times New Roman" w:cs="Times New Roman"/>
          <w:sz w:val="28"/>
          <w:szCs w:val="28"/>
        </w:rPr>
        <w:t xml:space="preserve">По признанию специалистов, действующая в России налоговая система пока слабо способствует стимулированию инвестиционной активности как российских, так и иностранных инвесторов, поскольку носит преимущественно репрессивный характер. Сдерживают инвестиционную активность и такие факторы, как конфискационный налоговый режим, в том числе высокие налоговые ставки, множественность налогов, авансовый характер платежей, частые избиения в налоговом законодательстве, нередко противоречащие друг другу. Сложная и противоречивая налоговая система фактически стимулирует стремление предпринимателей к уклонению от уплаты налогов. Иностранные компании, </w:t>
      </w:r>
      <w:r w:rsidRPr="002D41C5">
        <w:rPr>
          <w:rFonts w:ascii="Times New Roman" w:hAnsi="Times New Roman" w:cs="Times New Roman"/>
          <w:sz w:val="28"/>
          <w:szCs w:val="28"/>
        </w:rPr>
        <w:lastRenderedPageBreak/>
        <w:t>которые в целом пытаются не нарушать налоговое законодательство, часто становятся объектом пристального внимания со стороны налоговых ведомств, поскольку представляют для них легкую цель.</w:t>
      </w:r>
    </w:p>
    <w:p w:rsidR="00805CDF" w:rsidRPr="002D41C5" w:rsidRDefault="00805CDF" w:rsidP="001D612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Нестабильная налоговая система и политика затрудняют планирование бизнеса для иностранных компаний. К тому же бремя налогов оказывается для многих западных компаний невыносимым, заставляя их сворачивать свои дела в России.</w:t>
      </w:r>
      <w:r w:rsidR="001D612C" w:rsidRPr="002D41C5">
        <w:rPr>
          <w:rFonts w:ascii="Times New Roman" w:hAnsi="Times New Roman" w:cs="Times New Roman"/>
          <w:sz w:val="28"/>
          <w:szCs w:val="28"/>
        </w:rPr>
        <w:t xml:space="preserve"> </w:t>
      </w:r>
      <w:r w:rsidRPr="002D41C5">
        <w:rPr>
          <w:rFonts w:ascii="Times New Roman" w:hAnsi="Times New Roman" w:cs="Times New Roman"/>
          <w:sz w:val="28"/>
          <w:szCs w:val="28"/>
        </w:rPr>
        <w:t>Хотя в России предпринимаются меры по предоставлению налоговых льгот иностранным инвесторам, их эффект пока в целом незначителен, что, очевидно, требует системного подхода к созданию благоприятного инвестиционного климата в стране на основе координации законодательной, налоговой, таможенной и др. направлений политики</w:t>
      </w:r>
      <w:r w:rsidR="008A57FD" w:rsidRPr="002D41C5">
        <w:rPr>
          <w:rFonts w:ascii="Times New Roman" w:hAnsi="Times New Roman" w:cs="Times New Roman"/>
          <w:sz w:val="28"/>
          <w:szCs w:val="28"/>
        </w:rPr>
        <w:t xml:space="preserve"> [4]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Рекомендации международных экспертов странам с переходной экономикой в целях привлечения иностранных инвестиций осуществлять в области налоговой политики следующие меры:</w:t>
      </w:r>
    </w:p>
    <w:p w:rsidR="00805CDF" w:rsidRPr="002D41C5" w:rsidRDefault="001D612C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- </w:t>
      </w:r>
      <w:r w:rsidR="00805CDF" w:rsidRPr="002D41C5">
        <w:rPr>
          <w:rFonts w:ascii="Times New Roman" w:hAnsi="Times New Roman" w:cs="Times New Roman"/>
          <w:sz w:val="28"/>
          <w:szCs w:val="28"/>
        </w:rPr>
        <w:t>разработать общие основы налогового законодательства с учетом стандартов, принятых в странах с развитой рыночной экономикой;</w:t>
      </w:r>
    </w:p>
    <w:p w:rsidR="00805CDF" w:rsidRPr="002D41C5" w:rsidRDefault="001D612C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- </w:t>
      </w:r>
      <w:r w:rsidR="00805CDF" w:rsidRPr="002D41C5">
        <w:rPr>
          <w:rFonts w:ascii="Times New Roman" w:hAnsi="Times New Roman" w:cs="Times New Roman"/>
          <w:sz w:val="28"/>
          <w:szCs w:val="28"/>
        </w:rPr>
        <w:t>добиться того, чтобы в отношении иностранных инвесторов налоговая система характеризовалась стабильностью, непротиворечивостью, предсказуемостью и отсутствием частых изменений;</w:t>
      </w:r>
    </w:p>
    <w:p w:rsidR="00805CDF" w:rsidRPr="002D41C5" w:rsidRDefault="001D612C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- </w:t>
      </w:r>
      <w:r w:rsidR="00805CDF" w:rsidRPr="002D41C5">
        <w:rPr>
          <w:rFonts w:ascii="Times New Roman" w:hAnsi="Times New Roman" w:cs="Times New Roman"/>
          <w:sz w:val="28"/>
          <w:szCs w:val="28"/>
        </w:rPr>
        <w:t>упростить практику амортизационных отчислений, устранить чрезмерную детализацию различных категорий активов, повысить нормы амортизационных отчислений в соответствии с практикой западных стран;</w:t>
      </w:r>
    </w:p>
    <w:p w:rsidR="00805CDF" w:rsidRPr="002D41C5" w:rsidRDefault="001D612C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</w:t>
      </w:r>
      <w:r w:rsidR="00805CDF" w:rsidRPr="002D41C5">
        <w:rPr>
          <w:rFonts w:ascii="Times New Roman" w:hAnsi="Times New Roman" w:cs="Times New Roman"/>
          <w:sz w:val="28"/>
          <w:szCs w:val="28"/>
        </w:rPr>
        <w:t xml:space="preserve"> не ограничивать право предприятий исключать из налогооблагаемых доходов свои законные производственные расходы;</w:t>
      </w:r>
    </w:p>
    <w:p w:rsidR="00805CDF" w:rsidRPr="002D41C5" w:rsidRDefault="001D612C" w:rsidP="001D612C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-</w:t>
      </w:r>
      <w:r w:rsidR="00805CDF" w:rsidRPr="002D41C5">
        <w:rPr>
          <w:rFonts w:ascii="Times New Roman" w:hAnsi="Times New Roman" w:cs="Times New Roman"/>
          <w:sz w:val="28"/>
          <w:szCs w:val="28"/>
        </w:rPr>
        <w:t xml:space="preserve"> создание благоприятного климата в отношении взимания таких налогов, как таможенные пошлины, акцизы и различные социальные взносы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41C5" w:rsidRDefault="002D41C5" w:rsidP="00805CDF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469756958"/>
    </w:p>
    <w:p w:rsidR="00805CDF" w:rsidRPr="002D41C5" w:rsidRDefault="00805CDF" w:rsidP="00805CD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D41C5">
        <w:rPr>
          <w:rFonts w:ascii="Times New Roman" w:hAnsi="Times New Roman" w:cs="Times New Roman"/>
          <w:color w:val="auto"/>
        </w:rPr>
        <w:t>Задание 2</w:t>
      </w:r>
      <w:bookmarkEnd w:id="1"/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D612C" w:rsidRPr="002D41C5">
        <w:rPr>
          <w:rFonts w:ascii="Times New Roman" w:eastAsia="Times New Roman" w:hAnsi="Times New Roman" w:cs="Times New Roman"/>
          <w:sz w:val="28"/>
          <w:szCs w:val="28"/>
        </w:rPr>
        <w:t xml:space="preserve"> Кошкин Д.В., работающий в ЗАО «Спектр»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 xml:space="preserve">, получает по своему желанию вторую профессию, не связанную производственным процессом. Стоимость обучения составила 50 000 руб. По договоренности </w:t>
      </w:r>
      <w:r w:rsidR="001D612C" w:rsidRPr="002D41C5">
        <w:rPr>
          <w:rFonts w:ascii="Times New Roman" w:eastAsia="Times New Roman" w:hAnsi="Times New Roman" w:cs="Times New Roman"/>
          <w:sz w:val="28"/>
          <w:szCs w:val="28"/>
        </w:rPr>
        <w:t>ЗАО «Спектр»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 xml:space="preserve"> оплачивает 50% стоимости обучения. В какой сумме полученный доход увеличивает налоговую базу по налогу на доходы физических лиц Кошкина Д.В. в данном налоговом периоде?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а/ 50 000 руб.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б/ 25 000 руб.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в/ 0 руб.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г/ в пределах нормы.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Ответ: б/ 25 000 руб..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2. По какой ставке производится начисление налога на доходы физических лиц - резидентов РФ в части доходов, полученных в виде дивидендов: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а/ 9%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б/ 15%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в/ 30%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г/ 12%.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Ответ: а/ 9%.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3. При определении налоговой базы имущество, признаваемое объектом налогообложения, учитывается: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а/ по его остаточной стоимости, сформированной в соответствии с установленным главой 25 НК РФ порядком, утвержденным в учетной политике организации для целей налогообложения;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lastRenderedPageBreak/>
        <w:t>б/ по его остаточной стоимости, сформированной в соответствии с установленным порядком ведения бухгалтерского учета, утвержденным в учетной политике организации;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в/ по его восстановительной стоимости, сформированной в соответствии с установленным порядком ведения бухгалтерского учета, утвержденным в учетной политике организации;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г/ по его остаточной стоимости, сформированной в соответствии с установленным главой 25 НК РФ.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Ответ: б/ по его остаточной стоимости, сформированной в соответствии с установленным порядком ведения бухгалтерского учета, утвержденным в учетной политике организации.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4. Укажите верное утверждение в отношении налога на имущество физических лиц: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а/ налог местный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б/ налог прямой личный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в/ налог прямой реальный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г/ налоговая ставка составляет 2,2 % от стоимости имущества.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Ответ: а/ налог местный.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5. Налогоплательщиками транспортного налога признаются: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а/ лица, на которых в соответствии с законодательством Российской Федерации зарегистрированы транспортные средства, признаваемые объектом налогообложения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б/ юридические лица, на балансе которых числятся транспортные средства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в/ лица, использующие в своей предпринимательской деятельности транспортные средства, признаваемые объектом налогообложения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lastRenderedPageBreak/>
        <w:t>г/ физические лица в соответствии с законодательством Российской Федерации зарегистрированы транспортные средства, признаваемые объектом налогообложения.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Ответ: а/ лица, на которых в соответствии с законодательством Российской Федерации зарегистрированы транспортные средства, признаваемые объектом налогообложения.</w:t>
      </w: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5CDF" w:rsidRPr="002D41C5" w:rsidRDefault="00805CDF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Default="00EE7940" w:rsidP="002D41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1C5" w:rsidRPr="002D41C5" w:rsidRDefault="002D41C5" w:rsidP="002D41C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D41C5" w:rsidRDefault="002D41C5" w:rsidP="001D612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469756959"/>
    </w:p>
    <w:p w:rsidR="00EE7940" w:rsidRPr="002D41C5" w:rsidRDefault="00EE7940" w:rsidP="001D612C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D41C5">
        <w:rPr>
          <w:rFonts w:ascii="Times New Roman" w:hAnsi="Times New Roman" w:cs="Times New Roman"/>
          <w:color w:val="auto"/>
        </w:rPr>
        <w:t>Задача</w:t>
      </w:r>
      <w:bookmarkEnd w:id="2"/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Рассчитайте сумму земельного налога за 2014 год.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Земельный участок (земли сельскохозяйственного назначения) находится в совместной долевой собственности двух фермерских хозяйств (доли равны). Кадастровая оценка земельного участка на 1 января 2014 года составляет 900 тыс. руб., рыночная стоимость -1 200 тыс. руб. 30 августа 2014 года одно фермерское хозяйство продало другому свою часть за 450 тыс. руб. Определите подлежащую уплате сумму авансовых платежей и земельного налога.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1) сумма авансовых платежей по каждому из фермерских хозяйств за 1 квартал: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(900000*0,3%/100%)/4*0,5 = 338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2) сумма авансовых платежей по каждому из фермерских хозяйств за 2 квартал: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(900000*0,3%/100%)/4*0,5 = 338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3) сумма авансовых платежей за 3 квартал по фермерскому хозяйству, продавшему свою долю земельного участка: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((900000*0,3%/100%)/4*0,5))*(2мес./3мес.) = 225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3) сумма авансовых платежей за 3 квартал по фермерскому хозяйству, приобревшему долю земельного участка: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(900000*0,3%/100%)/4*0,5+(((900000*0,3%/100%)/4*0,5))*(1мес./3мес.)) = 451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4) сумма земельного налога за год по фермерскому хозяйству, продавшему долю земельного участка: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338+338+225 = 901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lastRenderedPageBreak/>
        <w:t>5) сумма земельного налога за год по фермерскому хозяйству, приобревшему долю земельного участка: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338+338+451+(900000*0,3%/100%)/4 = 1802 (руб.)</w:t>
      </w: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469756960"/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2D41C5" w:rsidRDefault="002D41C5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</w:p>
    <w:p w:rsidR="00EE7940" w:rsidRPr="002D41C5" w:rsidRDefault="00EE7940" w:rsidP="00EE7940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2D41C5">
        <w:rPr>
          <w:rFonts w:ascii="Times New Roman" w:hAnsi="Times New Roman" w:cs="Times New Roman"/>
          <w:color w:val="auto"/>
        </w:rPr>
        <w:lastRenderedPageBreak/>
        <w:t>Задача</w:t>
      </w:r>
      <w:bookmarkEnd w:id="3"/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Рассчитайте налоговые обязательства организации по НДС за налоговый период.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За налоговый период организация реализовала продукции облагаемой НДС на сумму 344 тыс. руб., а не облагаемой НДС на сумму 250 тыс. руб. Для производства продукции организация арендовала производственный корпус, в котором производилась вся продукция организации на сумму 68 тыс. руб. в том числе НДС, приобрела основные средства на сумму 54 тыс. руб. в том числе НДС. Доля расходов для производства продукции, не облагаемой НДС, превышает 5%. Рассчитайте НДС, подлежащий уплате бюджет.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1) доля реализованной продукции, облагаемой НДС;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344/(344+250) = 0,66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2) сумма НДС по реализованной продукции: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344000*0,18/1,18 = 52474,58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3) сумма НДС по расходам, связанным с выпуском продукции: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(68000+54000)*0,18/1,18 = 18610,17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4) доля НДС по расходам, приходящаяся на облагаемую реализацию продукции: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18610,17*0,66 = 12282,71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5) сумма НДС, подлежащая уплате в бюджет: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52474,58-12282,71 = 40191,87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pStyle w:val="1"/>
        <w:jc w:val="center"/>
        <w:rPr>
          <w:rFonts w:ascii="Times New Roman" w:eastAsia="Times New Roman" w:hAnsi="Times New Roman" w:cs="Times New Roman"/>
          <w:color w:val="auto"/>
        </w:rPr>
      </w:pPr>
      <w:bookmarkStart w:id="4" w:name="_Toc469756961"/>
      <w:bookmarkStart w:id="5" w:name="_Toc469755275"/>
      <w:r w:rsidRPr="002D41C5">
        <w:rPr>
          <w:rFonts w:ascii="Times New Roman" w:eastAsia="Times New Roman" w:hAnsi="Times New Roman" w:cs="Times New Roman"/>
          <w:color w:val="auto"/>
        </w:rPr>
        <w:lastRenderedPageBreak/>
        <w:t>Задача</w:t>
      </w:r>
      <w:bookmarkEnd w:id="4"/>
      <w:r w:rsidRPr="002D41C5">
        <w:rPr>
          <w:rFonts w:ascii="Times New Roman" w:eastAsia="Times New Roman" w:hAnsi="Times New Roman" w:cs="Times New Roman"/>
          <w:color w:val="auto"/>
        </w:rPr>
        <w:t xml:space="preserve"> </w:t>
      </w:r>
      <w:bookmarkEnd w:id="5"/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Рассчитайте НДФЛ за налоговый период.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В 2014 г. сотруднику фирмы начислена зарплата в сумме 420 000 руб. (35 000 руб. ежемесячно). В январе 2014 также получила на свой банковский счет 25 130 руб. Это была выплата премии за 2013 г., начисленная в декабре 2013 г. Кроме того, в 2014 г. фирма произвела оплату: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• абонемента на посещение бассейна в сумме 18 000 руб. (абонемент приобретен в феврале);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• талонов на питание в буфете в размере 12 000 (1000 руб. ежемесячно);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• полиса добровольного медицинского страхования стоимостью 50 000 руб. (оплата в январе).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Решение: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1) налогооблагаемая база за налоговый период: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420000+18000+12000+50000 = 500000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2) сумма НДФЛ за налоговый период: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500000*0,13 = 65000 (руб.)</w:t>
      </w: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6" w:name="_Toc469756962"/>
      <w:r w:rsidRPr="002D41C5">
        <w:rPr>
          <w:rFonts w:ascii="Times New Roman" w:hAnsi="Times New Roman" w:cs="Times New Roman"/>
          <w:color w:val="auto"/>
        </w:rPr>
        <w:lastRenderedPageBreak/>
        <w:t>Задание 3</w:t>
      </w:r>
      <w:bookmarkEnd w:id="6"/>
    </w:p>
    <w:p w:rsidR="008A57FD" w:rsidRPr="002D41C5" w:rsidRDefault="008A57FD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1. Обязанность по уплате налога считается исполненной налогоплательщиком с момента: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а) списания банком денежных средств с расчетного счета налогоплательщика;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б) предъявления в банк поручения на уплату налога при наличии достаточного денежного остатка на счете налогоплательщика;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в) предъявления в банк поручения на уплату налога и выполнения этого поручения банком на дату, установленную законодательством для уплаты налога;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г) предъявления в банк поручения на уплату налога независимо от наличия достаточного остатка денежных средств на счете налогоплательщика.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б) предъявления в банк поручения на уплату налога при наличии достаточного денежного остатка на счете налогоплательщика.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2. Ежемесячные авансовые платежи налога на прибыль уплачиваются в бюджет: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а) до 10-го числа каждого месяца;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б) до 15 –го числа каждого месяца;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в) не позднее 28-го числа каждого месяца;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г) в сроки, устанавливаемые законодательными актами региональных органов власти.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в) не позднее 28-го числа каждого месяца.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3. Налоговая база по налогу на доходы физических лиц для доходов, облагаемых по ставке 13 % определяется как: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а) разница между доходами, выраженными в денежном выражении, натуральной форме и натуральном виде и суммами расходов, связанными с извлечением этих доходов,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lastRenderedPageBreak/>
        <w:t>б) денежное выражение таких доходов, подлежащих налогообложению, уменьшенных на сумму налоговых вычетов,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в) денежное выражение таких доходов, подлежащих налогообложению, уменьшенных на сумму стандартных налоговых вычетов.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б) денежное выражение таких доходов, подлежащих налогообложению, уменьшенных на сумму налоговых вычетов.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4. Налогообложение НДС по налоговой ставке 0% производится при реализации следующих товаров: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а) книжной продукцией, связанной с образованием, наукой и культурой;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б) товаров для детей в соответствии с установленным перечнем;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в) работ (услуг) по сопровождению, транспортировке, погрузке и перегрузке экспортируемых из РФ товаров;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г) муки, хлебобулочных изделий, соли, сахара.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в) работ (услуг) по сопровождению, транспортировке, погрузке и перегрузке экспортируемых из РФ товаров.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5.Сумму транспортного налога, подлежащую уплате в бюджет, исчисляют: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а) налогоплательщики самостоятельно;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б) налоговые органы;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в) организации – самостоятельно, а для физических лиц – налоговые органы;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 xml:space="preserve">г) по авансовым платежам – организации самостоятельно, по итогам налогового периода – налоговые органы; </w:t>
      </w:r>
      <w:r w:rsidR="001D612C" w:rsidRPr="002D41C5">
        <w:rPr>
          <w:rFonts w:ascii="Times New Roman" w:hAnsi="Times New Roman" w:cs="Times New Roman"/>
          <w:sz w:val="28"/>
          <w:szCs w:val="28"/>
        </w:rPr>
        <w:t>для физических лиц - налоговых органов</w:t>
      </w:r>
      <w:r w:rsidRPr="002D41C5">
        <w:rPr>
          <w:rFonts w:ascii="Times New Roman" w:hAnsi="Times New Roman" w:cs="Times New Roman"/>
          <w:sz w:val="28"/>
          <w:szCs w:val="28"/>
        </w:rPr>
        <w:t>.</w:t>
      </w:r>
    </w:p>
    <w:p w:rsidR="008A57FD" w:rsidRDefault="008A57FD" w:rsidP="002D4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в) организации – самостоятельно, а для физических лиц – налоговые органы.</w:t>
      </w:r>
    </w:p>
    <w:p w:rsidR="002D41C5" w:rsidRPr="002D41C5" w:rsidRDefault="002D41C5" w:rsidP="002D41C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GoBack"/>
      <w:bookmarkEnd w:id="7"/>
    </w:p>
    <w:p w:rsidR="008A57FD" w:rsidRPr="002D41C5" w:rsidRDefault="008A57FD" w:rsidP="008A57F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8" w:name="_Toc469746223"/>
      <w:bookmarkStart w:id="9" w:name="_Toc469756963"/>
      <w:r w:rsidRPr="002D41C5">
        <w:rPr>
          <w:rFonts w:ascii="Times New Roman" w:hAnsi="Times New Roman" w:cs="Times New Roman"/>
          <w:color w:val="auto"/>
        </w:rPr>
        <w:lastRenderedPageBreak/>
        <w:t>Задача</w:t>
      </w:r>
      <w:bookmarkEnd w:id="8"/>
      <w:bookmarkEnd w:id="9"/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Рассчитайте сумму акциза, подлежащую уплате.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 отчетном налоговом периоде табачная фабрика реализовала 500 пачек сигарет с фильтром по цене 18 руб. за пачку (цена без акциза и НДС). Пачка стандартная. Содержит 20 штук сигарет. Предположим, налоговые ставки следующие: для сигарет с фильтром – 280 руб. за 1000 штук + 7% расчетной стоимости, исчисляемой исходя из максимальной розничной цены, но не менее 360 руб. за 1000 штук.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Решение: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количество налогооблагаемой продукции: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500*20 = 10000 (шт.)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2) сумма акциза по акциза по твердой ставке: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10000/1000*280 = 2800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3) налоговая база для применения адвалорной ставки: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500*18 = 9000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4) сумма акциза по адвалорной ставке: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9000*0,07 = 630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5) общая сумма акциза: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2800+630 = 3430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6) минимально установленная величина акциза: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10000/1000*360 = 3600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Ответ: полученная расчётная сумма акциза меньше минимально установленной величины акциза по сигаретам с фильтром. Следовательно, сумма акциза, подлежащая уплате в бюджет, равна минимально установленной величине – 3600 руб.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1D612C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0" w:name="_Toc469746224"/>
      <w:bookmarkStart w:id="11" w:name="_Toc469756964"/>
      <w:r w:rsidRPr="002D41C5">
        <w:rPr>
          <w:rFonts w:ascii="Times New Roman" w:hAnsi="Times New Roman" w:cs="Times New Roman"/>
          <w:color w:val="auto"/>
        </w:rPr>
        <w:lastRenderedPageBreak/>
        <w:t>Задача</w:t>
      </w:r>
      <w:bookmarkEnd w:id="10"/>
      <w:bookmarkEnd w:id="11"/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Определите сумму налога на имущество физических лиц за налоговый период.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Физическое лицо имеет в собственности квартиру и гараж. Инвентаризационная стоимость квартиры – 700 тыс. руб., гаража – 130 тыс. руб. В апреле текущего года физическое лицо признано инвалидом II группы. В муниципалитете установлены максимальные ставки налога на имущество физических лиц.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Решение: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сумма налога на имущество по квартире: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700000*0,1%/100% = 700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сумма налога на имущество по гаражу: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130000*0,1%/100% = 130 (руб.)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В соответствии с п. 3 ст. 407 НК РФ при определении, подлежащей уплате налогоплательщиком суммы налога, налоговая льгота предоставляется в отношении одного объекта налогообложения каждого вида по выбору налогоплательщика вне зависимости от количества оснований для применения налоговых льгот.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Таким образом, исходя из экономической целесообрадности, с учётом применения льгот по одному объекту недвижимости - квартире сумма налога на имущество составит 130 руб.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2" w:name="_Toc469746225"/>
      <w:bookmarkStart w:id="13" w:name="_Toc469756965"/>
      <w:r w:rsidRPr="002D41C5">
        <w:rPr>
          <w:rFonts w:ascii="Times New Roman" w:hAnsi="Times New Roman" w:cs="Times New Roman"/>
          <w:color w:val="auto"/>
        </w:rPr>
        <w:lastRenderedPageBreak/>
        <w:t>Задача</w:t>
      </w:r>
      <w:bookmarkEnd w:id="12"/>
      <w:bookmarkEnd w:id="13"/>
    </w:p>
    <w:p w:rsidR="008A57FD" w:rsidRPr="002D41C5" w:rsidRDefault="008A57FD" w:rsidP="008A57F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Исчислите сумму налога, подлежащую уплате в бюджет при применении УСН.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Организация применяет упрощенную систему налогообложения. Объектом налогообложения являются доходы, уменьшенные на величину расходов. За первый квартал текущего налогового периода доходы составили 2350 тыс. руб., расходы - 1850 тыс.руб. Безвозмездно получено транспортное средство стоимостью 105 тыс. руб. Кроме того приобретены и оплачены основные средства на сумму 120 тыс. руб. (три станка стоимостью 40 тыс. руб. каждый), из них два введены в эксплуатацию (на сумму 80 тыс. руб.). Убыток по итогам деятельности за предыдущий налоговый период – 65 тыс. руб.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Решение: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1) налогооблагаемая база за расчётный период: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2350-1850+105-80-65 = 460 (тыс. 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2) сумма налога при применении УСН: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460*0,15 = 69 (тыс. 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3) минимальная сумма налога: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(2350+105)*0,01 = 24,55 (тыс. руб.)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1C5">
        <w:rPr>
          <w:rFonts w:ascii="Times New Roman" w:hAnsi="Times New Roman" w:cs="Times New Roman"/>
          <w:sz w:val="28"/>
          <w:szCs w:val="28"/>
        </w:rPr>
        <w:t>Таким образом, по итогам отчётного периода сумма налога при применении УСН составит 69 тыс. руб.</w:t>
      </w:r>
    </w:p>
    <w:p w:rsidR="008A57FD" w:rsidRPr="002D41C5" w:rsidRDefault="008A57FD" w:rsidP="008A57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7FD" w:rsidRPr="002D41C5" w:rsidRDefault="008A57FD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612C" w:rsidRPr="002D41C5" w:rsidRDefault="001D612C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pStyle w:val="1"/>
        <w:spacing w:line="480" w:lineRule="auto"/>
        <w:jc w:val="center"/>
        <w:rPr>
          <w:rFonts w:ascii="Times New Roman" w:eastAsia="Times New Roman" w:hAnsi="Times New Roman" w:cs="Times New Roman"/>
          <w:color w:val="auto"/>
        </w:rPr>
      </w:pPr>
      <w:bookmarkStart w:id="14" w:name="_Toc469755276"/>
      <w:bookmarkStart w:id="15" w:name="_Toc469756966"/>
      <w:r w:rsidRPr="002D41C5">
        <w:rPr>
          <w:rFonts w:ascii="Times New Roman" w:eastAsia="Times New Roman" w:hAnsi="Times New Roman" w:cs="Times New Roman"/>
          <w:color w:val="auto"/>
        </w:rPr>
        <w:lastRenderedPageBreak/>
        <w:t>Список литературы</w:t>
      </w:r>
      <w:bookmarkEnd w:id="14"/>
      <w:bookmarkEnd w:id="15"/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Налоговый кодекс Российской Федерации. Часть первая.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Налоговый кодекс Российской Федерации. Часть вторая.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Налоги и налогообложение: Учеб.пособие для вузов. /Под ред. И.Г. Русаковой, В.А. Кашина. - М.: Финансы, ЮНИТИ, 2013. – 530 с.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Налоги. Теория и практика: Учеб. пособие /Под ред. В.В. Глухов, И.В. Дольдэ, Санкт-Петербургский государственный технический университет. - СПб, 2012. – 665 с.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Налоги: Учеб. пособие для вузов /Под ред. Д.Г. Черника. - М.: "Финансы и статистика", 2012. – 577 с.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Налоговая система России: Учеб. пособие /Под ред. Д.Г.</w:t>
      </w:r>
      <w:r w:rsidR="001D612C" w:rsidRPr="002D41C5">
        <w:rPr>
          <w:rFonts w:ascii="Times New Roman" w:eastAsia="Times New Roman" w:hAnsi="Times New Roman" w:cs="Times New Roman"/>
          <w:sz w:val="28"/>
          <w:szCs w:val="28"/>
        </w:rPr>
        <w:t xml:space="preserve"> Черника, А.3. Дадашева. - М.: «АКДИ экономика и жизнь»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>, 2013. – 520 с.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41C5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ab/>
        <w:t>Налоги и налоговое право: Учебник. /</w:t>
      </w:r>
      <w:r w:rsidR="001D612C" w:rsidRPr="002D41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41C5">
        <w:rPr>
          <w:rFonts w:ascii="Times New Roman" w:eastAsia="Times New Roman" w:hAnsi="Times New Roman" w:cs="Times New Roman"/>
          <w:sz w:val="28"/>
          <w:szCs w:val="28"/>
        </w:rPr>
        <w:t>Под ред. Брызналина А.В.- М.:2012. – 497 с.</w:t>
      </w:r>
    </w:p>
    <w:p w:rsidR="00EE7940" w:rsidRPr="002D41C5" w:rsidRDefault="00EE7940" w:rsidP="00EE7940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EE794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E7940" w:rsidRPr="002D41C5" w:rsidRDefault="00EE7940" w:rsidP="00805C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EE7940" w:rsidRPr="002D41C5" w:rsidSect="00805CDF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27E" w:rsidRDefault="0053727E" w:rsidP="00805CDF">
      <w:pPr>
        <w:spacing w:after="0" w:line="240" w:lineRule="auto"/>
      </w:pPr>
      <w:r>
        <w:separator/>
      </w:r>
    </w:p>
  </w:endnote>
  <w:endnote w:type="continuationSeparator" w:id="0">
    <w:p w:rsidR="0053727E" w:rsidRDefault="0053727E" w:rsidP="00805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C5" w:rsidRDefault="002D41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27E" w:rsidRDefault="0053727E" w:rsidP="00805CDF">
      <w:pPr>
        <w:spacing w:after="0" w:line="240" w:lineRule="auto"/>
      </w:pPr>
      <w:r>
        <w:separator/>
      </w:r>
    </w:p>
  </w:footnote>
  <w:footnote w:type="continuationSeparator" w:id="0">
    <w:p w:rsidR="0053727E" w:rsidRDefault="0053727E" w:rsidP="00805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92063"/>
      <w:docPartObj>
        <w:docPartGallery w:val="Page Numbers (Top of Page)"/>
        <w:docPartUnique/>
      </w:docPartObj>
    </w:sdtPr>
    <w:sdtEndPr/>
    <w:sdtContent>
      <w:p w:rsidR="00805CDF" w:rsidRDefault="005B3E60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1C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05CDF" w:rsidRDefault="00805CD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CDF"/>
    <w:rsid w:val="000F3A11"/>
    <w:rsid w:val="001D612C"/>
    <w:rsid w:val="002D41C5"/>
    <w:rsid w:val="0053727E"/>
    <w:rsid w:val="005B3E60"/>
    <w:rsid w:val="00805CDF"/>
    <w:rsid w:val="008A57FD"/>
    <w:rsid w:val="008D1913"/>
    <w:rsid w:val="008F7711"/>
    <w:rsid w:val="009F23A5"/>
    <w:rsid w:val="00EE7940"/>
    <w:rsid w:val="00F9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C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9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0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CDF"/>
  </w:style>
  <w:style w:type="paragraph" w:styleId="a5">
    <w:name w:val="footer"/>
    <w:basedOn w:val="a"/>
    <w:link w:val="a6"/>
    <w:uiPriority w:val="99"/>
    <w:unhideWhenUsed/>
    <w:rsid w:val="0080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CDF"/>
  </w:style>
  <w:style w:type="character" w:customStyle="1" w:styleId="20">
    <w:name w:val="Заголовок 2 Знак"/>
    <w:basedOn w:val="a0"/>
    <w:link w:val="2"/>
    <w:uiPriority w:val="9"/>
    <w:semiHidden/>
    <w:rsid w:val="00EE79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Document Map"/>
    <w:basedOn w:val="a"/>
    <w:link w:val="a8"/>
    <w:uiPriority w:val="99"/>
    <w:semiHidden/>
    <w:unhideWhenUsed/>
    <w:rsid w:val="008A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8A57FD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8A57FD"/>
    <w:pPr>
      <w:spacing w:after="100"/>
    </w:pPr>
  </w:style>
  <w:style w:type="character" w:styleId="a9">
    <w:name w:val="Hyperlink"/>
    <w:basedOn w:val="a0"/>
    <w:uiPriority w:val="99"/>
    <w:unhideWhenUsed/>
    <w:rsid w:val="008A57F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5CD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79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05C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80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5CDF"/>
  </w:style>
  <w:style w:type="paragraph" w:styleId="a5">
    <w:name w:val="footer"/>
    <w:basedOn w:val="a"/>
    <w:link w:val="a6"/>
    <w:uiPriority w:val="99"/>
    <w:unhideWhenUsed/>
    <w:rsid w:val="00805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5CDF"/>
  </w:style>
  <w:style w:type="character" w:customStyle="1" w:styleId="20">
    <w:name w:val="Заголовок 2 Знак"/>
    <w:basedOn w:val="a0"/>
    <w:link w:val="2"/>
    <w:uiPriority w:val="9"/>
    <w:semiHidden/>
    <w:rsid w:val="00EE79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Document Map"/>
    <w:basedOn w:val="a"/>
    <w:link w:val="a8"/>
    <w:uiPriority w:val="99"/>
    <w:semiHidden/>
    <w:unhideWhenUsed/>
    <w:rsid w:val="008A57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basedOn w:val="a0"/>
    <w:link w:val="a7"/>
    <w:uiPriority w:val="99"/>
    <w:semiHidden/>
    <w:rsid w:val="008A57FD"/>
    <w:rPr>
      <w:rFonts w:ascii="Tahoma" w:hAnsi="Tahoma" w:cs="Tahoma"/>
      <w:sz w:val="16"/>
      <w:szCs w:val="16"/>
    </w:rPr>
  </w:style>
  <w:style w:type="paragraph" w:styleId="11">
    <w:name w:val="toc 1"/>
    <w:basedOn w:val="a"/>
    <w:next w:val="a"/>
    <w:autoRedefine/>
    <w:uiPriority w:val="39"/>
    <w:unhideWhenUsed/>
    <w:rsid w:val="008A57FD"/>
    <w:pPr>
      <w:spacing w:after="100"/>
    </w:pPr>
  </w:style>
  <w:style w:type="character" w:styleId="a9">
    <w:name w:val="Hyperlink"/>
    <w:basedOn w:val="a0"/>
    <w:uiPriority w:val="99"/>
    <w:unhideWhenUsed/>
    <w:rsid w:val="008A57F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4542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Foxed</dc:creator>
  <cp:keywords/>
  <dc:description/>
  <cp:lastModifiedBy>acerr</cp:lastModifiedBy>
  <cp:revision>7</cp:revision>
  <dcterms:created xsi:type="dcterms:W3CDTF">2016-12-20T19:31:00Z</dcterms:created>
  <dcterms:modified xsi:type="dcterms:W3CDTF">2016-12-21T16:33:00Z</dcterms:modified>
</cp:coreProperties>
</file>