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CD" w:rsidRDefault="00DC1A35" w:rsidP="00DC1A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C1A35" w:rsidRDefault="00DC1A35" w:rsidP="000A79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C0561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</w:t>
      </w:r>
      <w:r w:rsidR="00582A85">
        <w:rPr>
          <w:rFonts w:ascii="Times New Roman" w:hAnsi="Times New Roman" w:cs="Times New Roman"/>
          <w:sz w:val="28"/>
          <w:szCs w:val="28"/>
        </w:rPr>
        <w:t>.</w:t>
      </w:r>
      <w:r w:rsidR="00C05618">
        <w:rPr>
          <w:rFonts w:ascii="Times New Roman" w:hAnsi="Times New Roman" w:cs="Times New Roman"/>
          <w:sz w:val="28"/>
          <w:szCs w:val="28"/>
        </w:rPr>
        <w:t>3</w:t>
      </w:r>
    </w:p>
    <w:p w:rsidR="00DC1A35" w:rsidRDefault="00B11268" w:rsidP="000A79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23326" w:rsidRPr="00423326">
        <w:rPr>
          <w:rFonts w:ascii="Times New Roman" w:hAnsi="Times New Roman" w:cs="Times New Roman"/>
          <w:sz w:val="28"/>
          <w:szCs w:val="28"/>
        </w:rPr>
        <w:t xml:space="preserve"> Возможности и ограничения применения </w:t>
      </w:r>
      <w:r>
        <w:rPr>
          <w:rFonts w:ascii="Times New Roman" w:hAnsi="Times New Roman" w:cs="Times New Roman"/>
          <w:sz w:val="28"/>
          <w:szCs w:val="28"/>
        </w:rPr>
        <w:t>опыт</w:t>
      </w:r>
      <w:r w:rsidR="00423326">
        <w:rPr>
          <w:rFonts w:ascii="Times New Roman" w:hAnsi="Times New Roman" w:cs="Times New Roman"/>
          <w:sz w:val="28"/>
          <w:szCs w:val="28"/>
        </w:rPr>
        <w:t xml:space="preserve">а прогнозирования в </w:t>
      </w:r>
      <w:r w:rsidR="00F4619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США</w:t>
      </w:r>
      <w:r w:rsidR="00C05618">
        <w:rPr>
          <w:rFonts w:ascii="Times New Roman" w:hAnsi="Times New Roman" w:cs="Times New Roman"/>
          <w:sz w:val="28"/>
          <w:szCs w:val="28"/>
        </w:rPr>
        <w:t>……………………</w:t>
      </w:r>
      <w:r w:rsidR="00582A85">
        <w:rPr>
          <w:rFonts w:ascii="Times New Roman" w:hAnsi="Times New Roman" w:cs="Times New Roman"/>
          <w:sz w:val="28"/>
          <w:szCs w:val="28"/>
        </w:rPr>
        <w:t>…………………………………………………….</w:t>
      </w:r>
      <w:r w:rsidR="00C05618">
        <w:rPr>
          <w:rFonts w:ascii="Times New Roman" w:hAnsi="Times New Roman" w:cs="Times New Roman"/>
          <w:sz w:val="28"/>
          <w:szCs w:val="28"/>
        </w:rPr>
        <w:t>4</w:t>
      </w:r>
    </w:p>
    <w:p w:rsidR="00DC1A35" w:rsidRDefault="00DC1A35" w:rsidP="000A79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Стратегическое планирование в США</w:t>
      </w:r>
      <w:r w:rsidR="00C05618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582A85">
        <w:rPr>
          <w:rFonts w:ascii="Times New Roman" w:hAnsi="Times New Roman" w:cs="Times New Roman"/>
          <w:sz w:val="28"/>
          <w:szCs w:val="28"/>
        </w:rPr>
        <w:t>.7</w:t>
      </w:r>
    </w:p>
    <w:p w:rsidR="00DC1A35" w:rsidRDefault="00DC1A35" w:rsidP="000A79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C05618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</w:t>
      </w:r>
      <w:r w:rsidR="00582A85">
        <w:rPr>
          <w:rFonts w:ascii="Times New Roman" w:hAnsi="Times New Roman" w:cs="Times New Roman"/>
          <w:sz w:val="28"/>
          <w:szCs w:val="28"/>
        </w:rPr>
        <w:t>..</w:t>
      </w:r>
      <w:r w:rsidR="00C05618">
        <w:rPr>
          <w:rFonts w:ascii="Times New Roman" w:hAnsi="Times New Roman" w:cs="Times New Roman"/>
          <w:sz w:val="28"/>
          <w:szCs w:val="28"/>
        </w:rPr>
        <w:t>1</w:t>
      </w:r>
      <w:r w:rsidR="000A795C">
        <w:rPr>
          <w:rFonts w:ascii="Times New Roman" w:hAnsi="Times New Roman" w:cs="Times New Roman"/>
          <w:sz w:val="28"/>
          <w:szCs w:val="28"/>
        </w:rPr>
        <w:t>2</w:t>
      </w:r>
    </w:p>
    <w:p w:rsidR="00DC1A35" w:rsidRDefault="00DC1A35" w:rsidP="000A79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C05618">
        <w:rPr>
          <w:rFonts w:ascii="Times New Roman" w:hAnsi="Times New Roman" w:cs="Times New Roman"/>
          <w:sz w:val="28"/>
          <w:szCs w:val="28"/>
        </w:rPr>
        <w:t>……………………………………………………….</w:t>
      </w:r>
      <w:r w:rsidR="00582A85">
        <w:rPr>
          <w:rFonts w:ascii="Times New Roman" w:hAnsi="Times New Roman" w:cs="Times New Roman"/>
          <w:sz w:val="28"/>
          <w:szCs w:val="28"/>
        </w:rPr>
        <w:t xml:space="preserve"> .</w:t>
      </w:r>
      <w:r w:rsidR="00C05618">
        <w:rPr>
          <w:rFonts w:ascii="Times New Roman" w:hAnsi="Times New Roman" w:cs="Times New Roman"/>
          <w:sz w:val="28"/>
          <w:szCs w:val="28"/>
        </w:rPr>
        <w:t>1</w:t>
      </w:r>
      <w:r w:rsidR="00582A85">
        <w:rPr>
          <w:rFonts w:ascii="Times New Roman" w:hAnsi="Times New Roman" w:cs="Times New Roman"/>
          <w:sz w:val="28"/>
          <w:szCs w:val="28"/>
        </w:rPr>
        <w:t>3</w:t>
      </w:r>
    </w:p>
    <w:p w:rsidR="00DC1A35" w:rsidRDefault="00DC1A35" w:rsidP="000A79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A35" w:rsidRDefault="00DC1A35" w:rsidP="00DC1A3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F04361" w:rsidRPr="00F26FB1" w:rsidRDefault="00F04361" w:rsidP="00F043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работы. </w:t>
      </w:r>
      <w:r w:rsidRPr="00F26FB1">
        <w:rPr>
          <w:rFonts w:ascii="Times New Roman" w:eastAsia="Times New Roman" w:hAnsi="Times New Roman" w:cs="Times New Roman"/>
          <w:sz w:val="28"/>
          <w:szCs w:val="28"/>
        </w:rPr>
        <w:t>Прогнозирование в США считается одной из важнейших форм регулирования экономики. Подчеркивая важность прогнозирования, американский экономист О.Моргенштерн отмечал, что экономическая теория во всех ее видах в конечном итоге предназначена для построения прогнозов. На современном этапе большое внимание уделяется обеспечению надежного прогнозирования, позволяющего лучше видеть завтрашний день и принимать обоснованные решения. Поэтому в США прогнозирование ассимилировало последние достижения экономической теории, математических методов и электронно-вычислительной техники.</w:t>
      </w:r>
    </w:p>
    <w:p w:rsidR="00F04361" w:rsidRDefault="00F04361" w:rsidP="00B7460F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26FB1">
        <w:rPr>
          <w:rFonts w:ascii="Times New Roman" w:eastAsia="Times New Roman" w:hAnsi="Times New Roman" w:cs="Times New Roman"/>
          <w:sz w:val="28"/>
          <w:szCs w:val="28"/>
        </w:rPr>
        <w:t xml:space="preserve">В области прогнозирования работают десятки тысяч профессионалов. </w:t>
      </w:r>
      <w:bookmarkStart w:id="0" w:name="_GoBack"/>
      <w:bookmarkEnd w:id="0"/>
      <w:r w:rsidRPr="00F26FB1">
        <w:rPr>
          <w:rFonts w:ascii="Times New Roman" w:eastAsia="Times New Roman" w:hAnsi="Times New Roman" w:cs="Times New Roman"/>
          <w:sz w:val="28"/>
          <w:szCs w:val="28"/>
        </w:rPr>
        <w:t>Прогнозные разработки выполняют государственные подразделения ра</w:t>
      </w:r>
      <w:r w:rsidR="00B7460F">
        <w:rPr>
          <w:rFonts w:ascii="Times New Roman" w:eastAsia="Times New Roman" w:hAnsi="Times New Roman" w:cs="Times New Roman"/>
          <w:sz w:val="28"/>
          <w:szCs w:val="28"/>
        </w:rPr>
        <w:t>зличного уровня, исследовательс</w:t>
      </w:r>
      <w:r w:rsidRPr="00F26FB1">
        <w:rPr>
          <w:rFonts w:ascii="Times New Roman" w:eastAsia="Times New Roman" w:hAnsi="Times New Roman" w:cs="Times New Roman"/>
          <w:sz w:val="28"/>
          <w:szCs w:val="28"/>
        </w:rPr>
        <w:t>кие организации, коммерческие прогнозные фирмы, частные промышленные, банковские и торговые корпорации. Прогнозируются экономика на мирово</w:t>
      </w:r>
      <w:r w:rsidR="00B7460F">
        <w:rPr>
          <w:rFonts w:ascii="Times New Roman" w:eastAsia="Times New Roman" w:hAnsi="Times New Roman" w:cs="Times New Roman"/>
          <w:sz w:val="28"/>
          <w:szCs w:val="28"/>
        </w:rPr>
        <w:t>м уровне, развитие отдельных ст</w:t>
      </w:r>
      <w:r w:rsidRPr="00F26FB1">
        <w:rPr>
          <w:rFonts w:ascii="Times New Roman" w:eastAsia="Times New Roman" w:hAnsi="Times New Roman" w:cs="Times New Roman"/>
          <w:sz w:val="28"/>
          <w:szCs w:val="28"/>
        </w:rPr>
        <w:t>ран и групп</w:t>
      </w:r>
      <w:r w:rsidR="00582A8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26FB1">
        <w:rPr>
          <w:rFonts w:ascii="Times New Roman" w:eastAsia="Times New Roman" w:hAnsi="Times New Roman" w:cs="Times New Roman"/>
          <w:sz w:val="28"/>
          <w:szCs w:val="28"/>
        </w:rPr>
        <w:t xml:space="preserve"> стран, экономика США в целом, ее отрасли и регионы, штаты, округа, городские районы, отдельные фирмы, товарные рынки. Осуществляется прогноз отдельных аспектов развития, таких, как загрязнение окружающей среды, обеспеченность энергоресурсами, наличие рабочей силы и т.д. Исключительно широк поток информации о прогнозных разработках. </w:t>
      </w:r>
    </w:p>
    <w:p w:rsidR="00F04361" w:rsidRDefault="00F04361" w:rsidP="00F0436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26FB1">
        <w:rPr>
          <w:rFonts w:ascii="Times New Roman" w:eastAsia="Times New Roman" w:hAnsi="Times New Roman" w:cs="Times New Roman"/>
          <w:sz w:val="28"/>
          <w:szCs w:val="28"/>
        </w:rPr>
        <w:t>Организуются десятки научных конференций по экономическому прогнозированию. Ежегодно проводится Международный симпозиум по прогнозированию, который привлекает до 2 тыс. участников. В США появился термин “прогнозная индустрия”.</w:t>
      </w:r>
    </w:p>
    <w:p w:rsidR="00F04361" w:rsidRDefault="00F04361" w:rsidP="00F0436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работы: рассмотреть методику прогнозирования и стратегическо</w:t>
      </w:r>
      <w:r w:rsidR="00582A85"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планирования в США.</w:t>
      </w:r>
    </w:p>
    <w:p w:rsidR="00F04361" w:rsidRPr="00DC5261" w:rsidRDefault="00F04361" w:rsidP="00F04361">
      <w:pPr>
        <w:rPr>
          <w:szCs w:val="28"/>
        </w:rPr>
      </w:pPr>
    </w:p>
    <w:p w:rsidR="00F26FB1" w:rsidRDefault="00F26FB1" w:rsidP="00F26FB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26FB1" w:rsidRDefault="00F26FB1" w:rsidP="00F26FB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26FB1" w:rsidRPr="00F26FB1" w:rsidRDefault="00F26FB1" w:rsidP="00F26FB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F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F4619C" w:rsidRPr="00F4619C">
        <w:rPr>
          <w:rFonts w:ascii="Times New Roman" w:hAnsi="Times New Roman" w:cs="Times New Roman"/>
          <w:b/>
          <w:sz w:val="28"/>
          <w:szCs w:val="28"/>
        </w:rPr>
        <w:t>Возможности и ограничения применения опыта прогнозирования в США</w:t>
      </w:r>
    </w:p>
    <w:p w:rsidR="00F26FB1" w:rsidRDefault="00F26FB1" w:rsidP="00F26FB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1906" w:rsidRPr="00F31906" w:rsidRDefault="00F31906" w:rsidP="00F31906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F31906">
        <w:rPr>
          <w:sz w:val="28"/>
          <w:szCs w:val="28"/>
        </w:rPr>
        <w:t>Прогнозные исследования становятся более глубокими, применяются многообразные методы и новейшие средства электронно-вычислительной техники.</w:t>
      </w:r>
    </w:p>
    <w:p w:rsidR="00F31906" w:rsidRDefault="00F31906" w:rsidP="00F31906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F31906">
        <w:rPr>
          <w:sz w:val="28"/>
          <w:szCs w:val="28"/>
        </w:rPr>
        <w:t>Большинство макроэкономических прогнозов разрабатывается с помощью пяти главных методов. К ним относятся: методы экспертных оценок, экономических индикаторов, модели динамических рядов, эконометрическое моделирование, модель “затраты -</w:t>
      </w:r>
      <w:r w:rsidR="00582A85">
        <w:rPr>
          <w:sz w:val="28"/>
          <w:szCs w:val="28"/>
        </w:rPr>
        <w:t xml:space="preserve"> </w:t>
      </w:r>
      <w:r w:rsidRPr="00F31906">
        <w:rPr>
          <w:sz w:val="28"/>
          <w:szCs w:val="28"/>
        </w:rPr>
        <w:t>выпуск”.</w:t>
      </w:r>
    </w:p>
    <w:p w:rsidR="00F4619C" w:rsidRPr="000A795C" w:rsidRDefault="00F4619C" w:rsidP="000A795C">
      <w:pPr>
        <w:pStyle w:val="a3"/>
        <w:shd w:val="clear" w:color="auto" w:fill="FFFFFF"/>
        <w:spacing w:after="0" w:afterAutospacing="0" w:line="360" w:lineRule="auto"/>
        <w:ind w:firstLine="720"/>
        <w:rPr>
          <w:color w:val="000000"/>
          <w:sz w:val="28"/>
          <w:szCs w:val="28"/>
        </w:rPr>
      </w:pPr>
      <w:r w:rsidRPr="000A795C">
        <w:rPr>
          <w:color w:val="000000"/>
          <w:sz w:val="28"/>
          <w:szCs w:val="28"/>
        </w:rPr>
        <w:t xml:space="preserve">Для прогнозирования объемов производства сельскохозяйственной продукции в рыночных условиях широко применяется моделирование </w:t>
      </w:r>
      <w:proofErr w:type="gramStart"/>
      <w:r w:rsidRPr="000A795C">
        <w:rPr>
          <w:color w:val="000000"/>
          <w:sz w:val="28"/>
          <w:szCs w:val="28"/>
        </w:rPr>
        <w:t>экономических процессов</w:t>
      </w:r>
      <w:proofErr w:type="gramEnd"/>
      <w:r w:rsidRPr="000A795C">
        <w:rPr>
          <w:color w:val="000000"/>
          <w:sz w:val="28"/>
          <w:szCs w:val="28"/>
        </w:rPr>
        <w:t>, используются коэффициенты эластичности в зависимости от цен реализации продукции и уровня цен на средства производства. Фермерам довольно сложно приспосабливаться к ценам реализации продукции, обусловленным рыночными условиями. Так, сравнительно небольшое повышение цен на рынке зерна приводит к очень быстрому переполнению последнего. И</w:t>
      </w:r>
      <w:r w:rsidR="00582A85">
        <w:rPr>
          <w:color w:val="000000"/>
          <w:sz w:val="28"/>
          <w:szCs w:val="28"/>
        </w:rPr>
        <w:t>,</w:t>
      </w:r>
      <w:r w:rsidRPr="000A795C">
        <w:rPr>
          <w:color w:val="000000"/>
          <w:sz w:val="28"/>
          <w:szCs w:val="28"/>
        </w:rPr>
        <w:t xml:space="preserve"> наоборот, при снижении цен фермеры стремятся увеличить объем поставок на рынок зерна с тем, чтобы со</w:t>
      </w:r>
      <w:r w:rsidRPr="000A795C">
        <w:rPr>
          <w:color w:val="000000"/>
          <w:sz w:val="28"/>
          <w:szCs w:val="28"/>
        </w:rPr>
        <w:softHyphen/>
        <w:t>хранить общую сумму дохода. Зерновая отрасль более гибко может приспособиться к рынку. Сложнее прогнозировать ситуацию в животноводстве, так как повышение или понижение цен на продукцию этой отрасли может привести к цикличности производства</w:t>
      </w:r>
      <w:r w:rsidR="00582A85">
        <w:rPr>
          <w:color w:val="000000"/>
          <w:sz w:val="28"/>
          <w:szCs w:val="28"/>
        </w:rPr>
        <w:t>.</w:t>
      </w:r>
    </w:p>
    <w:p w:rsidR="00F4619C" w:rsidRPr="00F4619C" w:rsidRDefault="00F4619C" w:rsidP="000A795C">
      <w:pPr>
        <w:pStyle w:val="a3"/>
        <w:shd w:val="clear" w:color="auto" w:fill="FFFFFF"/>
        <w:spacing w:after="0" w:afterAutospacing="0" w:line="360" w:lineRule="auto"/>
        <w:ind w:firstLine="720"/>
        <w:rPr>
          <w:color w:val="000000"/>
          <w:sz w:val="28"/>
          <w:szCs w:val="28"/>
        </w:rPr>
      </w:pPr>
      <w:r w:rsidRPr="00F4619C">
        <w:rPr>
          <w:color w:val="000000"/>
          <w:sz w:val="28"/>
          <w:szCs w:val="28"/>
        </w:rPr>
        <w:t xml:space="preserve">Существенное влияние на изменение цен и объемов производства оказывают составляющие издержек производства. </w:t>
      </w:r>
    </w:p>
    <w:p w:rsidR="00F4619C" w:rsidRPr="00F4619C" w:rsidRDefault="00F4619C" w:rsidP="000A795C">
      <w:pPr>
        <w:pStyle w:val="a3"/>
        <w:shd w:val="clear" w:color="auto" w:fill="FFFFFF"/>
        <w:spacing w:after="0" w:afterAutospacing="0" w:line="360" w:lineRule="auto"/>
        <w:ind w:firstLine="720"/>
        <w:rPr>
          <w:color w:val="000000"/>
          <w:sz w:val="28"/>
          <w:szCs w:val="28"/>
        </w:rPr>
      </w:pPr>
      <w:r w:rsidRPr="00F4619C">
        <w:rPr>
          <w:color w:val="000000"/>
          <w:sz w:val="28"/>
          <w:szCs w:val="28"/>
        </w:rPr>
        <w:t xml:space="preserve">Например: для прогнозирования потребления сельскохозяйственной продукции широко, используется экономико-математический аппарат, коэффициенты эластичности. При этом исходят из так называемого закона </w:t>
      </w:r>
      <w:r w:rsidRPr="00F4619C">
        <w:rPr>
          <w:color w:val="000000"/>
          <w:sz w:val="28"/>
          <w:szCs w:val="28"/>
        </w:rPr>
        <w:lastRenderedPageBreak/>
        <w:t>Эйнгеля, который гласит, что по мере роста доходов населения относительно снижается доля доходов, идущих на продовольствие. Соотношение определяется с помощью коэффициента эластичности. Этот коэффициент показывает процентное изменение спроса на сельскохозяйственные товары при из</w:t>
      </w:r>
      <w:r w:rsidRPr="00F4619C">
        <w:rPr>
          <w:color w:val="000000"/>
          <w:sz w:val="28"/>
          <w:szCs w:val="28"/>
        </w:rPr>
        <w:softHyphen/>
        <w:t>менении уровня дохода на 1%:</w:t>
      </w:r>
    </w:p>
    <w:p w:rsidR="00F4619C" w:rsidRPr="00F4619C" w:rsidRDefault="00F4619C" w:rsidP="000A795C">
      <w:pPr>
        <w:pStyle w:val="a3"/>
        <w:shd w:val="clear" w:color="auto" w:fill="FFFFFF"/>
        <w:spacing w:after="0" w:afterAutospacing="0" w:line="360" w:lineRule="auto"/>
        <w:ind w:firstLine="720"/>
        <w:rPr>
          <w:color w:val="000000"/>
          <w:sz w:val="28"/>
          <w:szCs w:val="28"/>
        </w:rPr>
      </w:pPr>
      <w:r w:rsidRPr="00F4619C">
        <w:rPr>
          <w:color w:val="000000"/>
          <w:sz w:val="28"/>
          <w:szCs w:val="28"/>
        </w:rPr>
        <w:t xml:space="preserve">где </w:t>
      </w:r>
      <w:proofErr w:type="spellStart"/>
      <w:r w:rsidRPr="00F4619C">
        <w:rPr>
          <w:color w:val="000000"/>
          <w:sz w:val="28"/>
          <w:szCs w:val="28"/>
        </w:rPr>
        <w:t>К</w:t>
      </w:r>
      <w:r w:rsidRPr="00F4619C">
        <w:rPr>
          <w:color w:val="000000"/>
          <w:sz w:val="28"/>
          <w:szCs w:val="28"/>
          <w:vertAlign w:val="subscript"/>
        </w:rPr>
        <w:t>э</w:t>
      </w:r>
      <w:proofErr w:type="spellEnd"/>
      <w:r w:rsidRPr="00F4619C">
        <w:rPr>
          <w:rStyle w:val="apple-converted-space"/>
          <w:color w:val="000000"/>
          <w:sz w:val="28"/>
          <w:szCs w:val="28"/>
        </w:rPr>
        <w:t> </w:t>
      </w:r>
      <w:r w:rsidRPr="00F4619C">
        <w:rPr>
          <w:color w:val="000000"/>
          <w:sz w:val="28"/>
          <w:szCs w:val="28"/>
        </w:rPr>
        <w:t>— коэффициент эластичности; у</w:t>
      </w:r>
      <w:proofErr w:type="gramStart"/>
      <w:r w:rsidRPr="00F4619C">
        <w:rPr>
          <w:color w:val="000000"/>
          <w:sz w:val="28"/>
          <w:szCs w:val="28"/>
          <w:vertAlign w:val="subscript"/>
        </w:rPr>
        <w:t>1</w:t>
      </w:r>
      <w:proofErr w:type="gramEnd"/>
      <w:r w:rsidRPr="00F4619C">
        <w:rPr>
          <w:rStyle w:val="apple-converted-space"/>
          <w:color w:val="000000"/>
          <w:sz w:val="28"/>
          <w:szCs w:val="28"/>
        </w:rPr>
        <w:t> </w:t>
      </w:r>
      <w:r w:rsidRPr="00F4619C">
        <w:rPr>
          <w:color w:val="000000"/>
          <w:sz w:val="28"/>
          <w:szCs w:val="28"/>
        </w:rPr>
        <w:t>— прирост потребления данного продукта; у — начальная величина потребления данного продукта; х</w:t>
      </w:r>
      <w:r w:rsidRPr="00F4619C">
        <w:rPr>
          <w:color w:val="000000"/>
          <w:sz w:val="28"/>
          <w:szCs w:val="28"/>
          <w:vertAlign w:val="subscript"/>
        </w:rPr>
        <w:t>1</w:t>
      </w:r>
      <w:r w:rsidRPr="00F4619C">
        <w:rPr>
          <w:rStyle w:val="apple-converted-space"/>
          <w:color w:val="000000"/>
          <w:sz w:val="28"/>
          <w:szCs w:val="28"/>
        </w:rPr>
        <w:t> </w:t>
      </w:r>
      <w:r w:rsidRPr="00F4619C">
        <w:rPr>
          <w:color w:val="000000"/>
          <w:sz w:val="28"/>
          <w:szCs w:val="28"/>
        </w:rPr>
        <w:t xml:space="preserve">— прирост дохода на душу населения; </w:t>
      </w:r>
      <w:proofErr w:type="spellStart"/>
      <w:r w:rsidRPr="00F4619C">
        <w:rPr>
          <w:color w:val="000000"/>
          <w:sz w:val="28"/>
          <w:szCs w:val="28"/>
        </w:rPr>
        <w:t>х</w:t>
      </w:r>
      <w:proofErr w:type="spellEnd"/>
      <w:r w:rsidRPr="00F4619C">
        <w:rPr>
          <w:color w:val="000000"/>
          <w:sz w:val="28"/>
          <w:szCs w:val="28"/>
        </w:rPr>
        <w:t xml:space="preserve"> — начальный доход на душу населения.</w:t>
      </w:r>
    </w:p>
    <w:p w:rsidR="00F4619C" w:rsidRPr="00F4619C" w:rsidRDefault="00F4619C" w:rsidP="000A795C">
      <w:pPr>
        <w:pStyle w:val="a3"/>
        <w:shd w:val="clear" w:color="auto" w:fill="FFFFFF"/>
        <w:spacing w:after="0" w:afterAutospacing="0" w:line="360" w:lineRule="auto"/>
        <w:ind w:firstLine="720"/>
        <w:rPr>
          <w:color w:val="000000"/>
          <w:sz w:val="28"/>
          <w:szCs w:val="28"/>
        </w:rPr>
      </w:pPr>
      <w:r w:rsidRPr="00F4619C">
        <w:rPr>
          <w:color w:val="000000"/>
          <w:sz w:val="28"/>
          <w:szCs w:val="28"/>
        </w:rPr>
        <w:t>Расчеты проводятся по результатам бюджетного обследования конкретных групп населения. Таким образом, прогноз потребле</w:t>
      </w:r>
      <w:r w:rsidRPr="00F4619C">
        <w:rPr>
          <w:color w:val="000000"/>
          <w:sz w:val="28"/>
          <w:szCs w:val="28"/>
        </w:rPr>
        <w:softHyphen/>
        <w:t>ния продукции тесно связан с объемами ее производства и прогнозом уровня доходов населения.</w:t>
      </w:r>
    </w:p>
    <w:p w:rsidR="00F4619C" w:rsidRPr="00F31906" w:rsidRDefault="00F4619C" w:rsidP="00F31906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F31906" w:rsidRPr="00F31906" w:rsidRDefault="00F31906" w:rsidP="00F31906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F31906">
        <w:rPr>
          <w:sz w:val="28"/>
          <w:szCs w:val="28"/>
        </w:rPr>
        <w:t>В США выделяются три уровня организации прогнозных исследований: прогнозирование в системе государственного регулирования; внутрифирменное прогнозирование; коммерческое прогнозирование. На уровне государственного регулирования выделяют два основных вида государственных подразделений: федеральные и штатов; местные органы власти.</w:t>
      </w:r>
    </w:p>
    <w:p w:rsidR="00F31906" w:rsidRPr="00F31906" w:rsidRDefault="00F31906" w:rsidP="00F31906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F31906">
        <w:rPr>
          <w:sz w:val="28"/>
          <w:szCs w:val="28"/>
        </w:rPr>
        <w:t xml:space="preserve">Главные прогнозные разработки федерального правительства на </w:t>
      </w:r>
      <w:proofErr w:type="spellStart"/>
      <w:r w:rsidRPr="00F31906">
        <w:rPr>
          <w:sz w:val="28"/>
          <w:szCs w:val="28"/>
        </w:rPr>
        <w:t>макроуровне</w:t>
      </w:r>
      <w:proofErr w:type="spellEnd"/>
      <w:r w:rsidRPr="00F31906">
        <w:rPr>
          <w:sz w:val="28"/>
          <w:szCs w:val="28"/>
        </w:rPr>
        <w:t xml:space="preserve"> сосредоточены в трех организациях: </w:t>
      </w:r>
      <w:proofErr w:type="gramStart"/>
      <w:r w:rsidRPr="00F31906">
        <w:rPr>
          <w:sz w:val="28"/>
          <w:szCs w:val="28"/>
        </w:rPr>
        <w:t>Совете</w:t>
      </w:r>
      <w:proofErr w:type="gramEnd"/>
      <w:r w:rsidRPr="00F31906">
        <w:rPr>
          <w:sz w:val="28"/>
          <w:szCs w:val="28"/>
        </w:rPr>
        <w:t xml:space="preserve"> экономических консультантов, Совете управляющих федеральной резервной системы (ФРС) и Административно-бюджетном управлении (АБУ).</w:t>
      </w:r>
    </w:p>
    <w:p w:rsidR="00F31906" w:rsidRPr="00F31906" w:rsidRDefault="00F31906" w:rsidP="00F31906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F31906">
        <w:rPr>
          <w:sz w:val="28"/>
          <w:szCs w:val="28"/>
        </w:rPr>
        <w:t xml:space="preserve">Для выработки экономической политики правительства был создан специальный орган — Совет экономических консультантов. В функции Совета входят: помощь и консультации президенту при составлении экономического отчета; сбор и анализ информации об </w:t>
      </w:r>
      <w:proofErr w:type="gramStart"/>
      <w:r w:rsidRPr="00F31906">
        <w:rPr>
          <w:sz w:val="28"/>
          <w:szCs w:val="28"/>
        </w:rPr>
        <w:t>экономических процессах</w:t>
      </w:r>
      <w:proofErr w:type="gramEnd"/>
      <w:r w:rsidRPr="00F31906">
        <w:rPr>
          <w:sz w:val="28"/>
          <w:szCs w:val="28"/>
        </w:rPr>
        <w:t xml:space="preserve"> с точки зрения задач правительства; оценка различных </w:t>
      </w:r>
      <w:r w:rsidRPr="00F31906">
        <w:rPr>
          <w:sz w:val="28"/>
          <w:szCs w:val="28"/>
        </w:rPr>
        <w:lastRenderedPageBreak/>
        <w:t>экономических программ и выработка рекомендаций; проведение специальных исследований по заказу президента.</w:t>
      </w:r>
    </w:p>
    <w:p w:rsidR="00F31906" w:rsidRPr="00F31906" w:rsidRDefault="00F31906" w:rsidP="00F31906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F31906">
        <w:rPr>
          <w:sz w:val="28"/>
          <w:szCs w:val="28"/>
        </w:rPr>
        <w:t>Прогнозирование в США сформировалось и функционирует как отрасль коммерческой деятельности</w:t>
      </w:r>
    </w:p>
    <w:p w:rsidR="00F26FB1" w:rsidRDefault="00F31906" w:rsidP="00F31906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31906">
        <w:rPr>
          <w:rFonts w:ascii="Times New Roman" w:hAnsi="Times New Roman" w:cs="Times New Roman"/>
          <w:sz w:val="28"/>
          <w:szCs w:val="28"/>
        </w:rPr>
        <w:t>Для США характерно стратегическое планирование, суть которого состоит в выборе главных приоритетов развития национальной экономики, ведущую роль</w:t>
      </w:r>
      <w:r w:rsidR="000A795C">
        <w:rPr>
          <w:rFonts w:ascii="Times New Roman" w:hAnsi="Times New Roman" w:cs="Times New Roman"/>
          <w:sz w:val="28"/>
          <w:szCs w:val="28"/>
        </w:rPr>
        <w:t>,</w:t>
      </w:r>
      <w:r w:rsidRPr="00F31906">
        <w:rPr>
          <w:rFonts w:ascii="Times New Roman" w:hAnsi="Times New Roman" w:cs="Times New Roman"/>
          <w:sz w:val="28"/>
          <w:szCs w:val="28"/>
        </w:rPr>
        <w:t xml:space="preserve"> в реализации которых играет государство.</w:t>
      </w:r>
    </w:p>
    <w:p w:rsidR="000A795C" w:rsidRPr="000A795C" w:rsidRDefault="000A795C" w:rsidP="00F31906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A795C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опыт США в области прогнозирования содержит </w:t>
      </w:r>
      <w:proofErr w:type="gramStart"/>
      <w:r w:rsidRPr="000A795C">
        <w:rPr>
          <w:rFonts w:ascii="Times New Roman" w:hAnsi="Times New Roman" w:cs="Times New Roman"/>
          <w:color w:val="000000"/>
          <w:sz w:val="28"/>
          <w:szCs w:val="28"/>
        </w:rPr>
        <w:t>как</w:t>
      </w:r>
      <w:proofErr w:type="gramEnd"/>
      <w:r w:rsidRPr="000A795C">
        <w:rPr>
          <w:rFonts w:ascii="Times New Roman" w:hAnsi="Times New Roman" w:cs="Times New Roman"/>
          <w:color w:val="000000"/>
          <w:sz w:val="28"/>
          <w:szCs w:val="28"/>
        </w:rPr>
        <w:t xml:space="preserve"> безусловно положительные, перспективные для потенциального внедрения в сферу отечественного прогнозирования аспекты, так и другие, которые не будут способствовать развитию данной отрасли в нашей стране. К первой группе следует отнести: формирование и наличие коммерческой отрасли прогнозирования, активное привлечение для разработки моделей экономического развития высших учебных заведений, подготовка высококвалифицированных кадров, а также выстраивание всех отношений между организациями, занимающимися построением прогнозов и органами государственной власти на коммерческой основе. Также стоит отметить понимание руководством страны и отдельных штатов важности прогнозов социально-экономического развития. Благодаря этому, из бюджетов всех уровней выделяются существенные суммы для финансирования деятельности в области прогнозирования. Ко второй группе относятся нечеткость структурной организации органов прогнозирования на региональном уровне, отсутствие законодательной ответственности за несоответствие прогнозов и реально достигнутых результатов, отсутствие четкого законодательства в координации деятельности в области прогнозирования между органами исполнительной власти штатов и страны.</w:t>
      </w:r>
    </w:p>
    <w:p w:rsidR="00F26FB1" w:rsidRDefault="00F26FB1" w:rsidP="00F26FB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26FB1" w:rsidRDefault="00F26FB1" w:rsidP="00F26FB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26FB1" w:rsidRDefault="00F26FB1" w:rsidP="00F26FB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1906" w:rsidRDefault="00F31906" w:rsidP="00F26FB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1906" w:rsidRPr="00F31906" w:rsidRDefault="00F31906" w:rsidP="00F3190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906">
        <w:rPr>
          <w:rFonts w:ascii="Times New Roman" w:hAnsi="Times New Roman" w:cs="Times New Roman"/>
          <w:b/>
          <w:sz w:val="28"/>
          <w:szCs w:val="28"/>
        </w:rPr>
        <w:lastRenderedPageBreak/>
        <w:t>2. Стратегическое планирование в США</w:t>
      </w:r>
    </w:p>
    <w:p w:rsidR="00F31906" w:rsidRDefault="00F31906" w:rsidP="00F26FB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1906" w:rsidRPr="00F31906" w:rsidRDefault="00F31906" w:rsidP="003572C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19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рамках стратегического планирования определяются пути, по которым предстоит идти обществу, решаются и другие важные вопросы — на каких рынках лучше действовать, какую новейшую технологию осваивать, как обеспечить социальное единство страны, на какой сектор экономики и общественные структуры опираться. Оно обеспечивает основу для всех управленческих решений.</w:t>
      </w:r>
    </w:p>
    <w:p w:rsidR="003572CB" w:rsidRDefault="00F31906" w:rsidP="003572CB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19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Стратегическое планирование охватывает разработку стратегических планов на федеральном уровне, уровне штатов и организаций (фирм). Разработчики стратегического плана контролируют внешние по отношению к организации, стране факторы, чтобы определить возможные угрозы для фирмы. </w:t>
      </w:r>
    </w:p>
    <w:p w:rsidR="00C37841" w:rsidRDefault="00F31906" w:rsidP="003572CB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19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Особая значимость придается технологическим, экономическим, конкурентным, международным, рыночным и политическим факторам. </w:t>
      </w:r>
    </w:p>
    <w:p w:rsidR="00F31906" w:rsidRPr="00F31906" w:rsidRDefault="00F31906" w:rsidP="003572CB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19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Технологические факторы учитывают изменение технологий во внешней среде, что очень важно для технологического обновления; экономические включают оценку уровня занятости, инфляции, налоговых ставок, стабильности доллара США за рубежом и др.; конкурентные предполагают выявление действий конкурента: что движет конкурентом, что он делает, что может сделать; политические — учет руководством организации нормативных документов местных органов, властей штата и федерального правительства, кредитов федерального правительства и штатов для финансирования долгосрочных вложений, ограничений по найму рабочей силы и возможности получения ссуд, за соглашениями по тарифам торговли, направленными против других стран или заключенными с другими странами, и т.д.</w:t>
      </w: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72CB">
        <w:rPr>
          <w:color w:val="444444"/>
          <w:sz w:val="28"/>
          <w:szCs w:val="28"/>
        </w:rPr>
        <w:t xml:space="preserve">На современном этапе развития мировая экономика обнаруживает </w:t>
      </w:r>
      <w:r w:rsidRPr="00C37841">
        <w:rPr>
          <w:color w:val="000000" w:themeColor="text1"/>
          <w:sz w:val="28"/>
          <w:szCs w:val="28"/>
        </w:rPr>
        <w:t xml:space="preserve">выраженную тенденцию к усилению взаимодействия механизмов рыночного саморегулирования и целенаправленно-планомерного развития. </w:t>
      </w: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lastRenderedPageBreak/>
        <w:t>Это проявляется в развитии систем и методов планирования</w:t>
      </w:r>
      <w:r w:rsidR="00582A85">
        <w:rPr>
          <w:color w:val="000000" w:themeColor="text1"/>
          <w:sz w:val="28"/>
          <w:szCs w:val="28"/>
        </w:rPr>
        <w:t>,</w:t>
      </w:r>
      <w:r w:rsidRPr="00C37841">
        <w:rPr>
          <w:color w:val="000000" w:themeColor="text1"/>
          <w:sz w:val="28"/>
          <w:szCs w:val="28"/>
        </w:rPr>
        <w:t xml:space="preserve"> как на уровне хозяйствующих субъектов, так и в финансово-бюджетном, программном и ином регулировании на уровне государства. Анализ гносеологических корней индикативного планирования в странах с рыночной экономикой свидетельствует о том, что они связаны с конкретной экономической, социальной и политической ситуацией, сложившейся к тому времени в мировой системе. </w:t>
      </w:r>
      <w:proofErr w:type="gramStart"/>
      <w:r w:rsidRPr="00C37841">
        <w:rPr>
          <w:color w:val="000000" w:themeColor="text1"/>
          <w:sz w:val="28"/>
          <w:szCs w:val="28"/>
        </w:rPr>
        <w:t>Нами структурированы причины введения индикативного планирования, характерные для стран с рыночной экономикой (Франция, Япония, Великобритания, Германия, другие страны Западной Европы, Скандинавские страны), развивающихся стран (Азиатские страны, страны Латинской Америки) и стран переходного периода (Россия), использовавших механизм индикативного планирования.</w:t>
      </w:r>
      <w:proofErr w:type="gramEnd"/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>Индикативное планирование эволюционировало через разные формы развития, соответствующие различным этапам государственного регулирования смешанной экономики. Можно выделить три основных типа индикативных планов, различающихся по своему содержанию.</w:t>
      </w: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>План стратегического характера (например, Франция, 1989-1992 гг., долгосрочные прогнозы в США) – направленный на определение главных приоритетов экономики: целевые ориентиры уровня образования населения, достижения научно-технических исследований, уровень жизни населения, разведка, добыча и использование стратегических сырьевых ресурсов и т.д. с определением роли государства в их выполнении. </w:t>
      </w: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C37841">
        <w:rPr>
          <w:rStyle w:val="a5"/>
          <w:b w:val="0"/>
          <w:color w:val="000000" w:themeColor="text1"/>
          <w:sz w:val="28"/>
          <w:szCs w:val="28"/>
        </w:rPr>
        <w:t>План структурного характера (например, Япония, страны Юго-Восточной Азии) – направленный на поддержание прогрессивной структуры экономики, способствующей занятию лидирующих позиций на внешних рынках, при этом в планах большая роль отводится подключению к их выполнению частных предприятий и использованию налоговых льгот и преференций, активной кредитной политике банков, иных мер селективной государственной поддержки предприятий.</w:t>
      </w:r>
    </w:p>
    <w:p w:rsid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lastRenderedPageBreak/>
        <w:t xml:space="preserve">План конъюнктурного характера (например, Канада, Германия, Россия) – направленный на </w:t>
      </w:r>
      <w:proofErr w:type="spellStart"/>
      <w:r w:rsidRPr="00C37841">
        <w:rPr>
          <w:color w:val="000000" w:themeColor="text1"/>
          <w:sz w:val="28"/>
          <w:szCs w:val="28"/>
        </w:rPr>
        <w:t>антициклические</w:t>
      </w:r>
      <w:proofErr w:type="spellEnd"/>
      <w:r w:rsidRPr="00C37841">
        <w:rPr>
          <w:color w:val="000000" w:themeColor="text1"/>
          <w:sz w:val="28"/>
          <w:szCs w:val="28"/>
        </w:rPr>
        <w:t xml:space="preserve"> меры, тесную увязку параметров бюджета с прогнозами экономического роста и инфляции, поддержание внешнеторгового и платежного баланса. Форма разработки и утверждения таких планов используется различная, в виде: доклада, охватывающего проблемы и задачи экономики в целом; государственного бюджета, с расширенным обоснованием стратегии развития экономики на предстоящий период; особых докладов о предстоящей политике, разработанных центральными банками, ведущими министерствами. Эволюция индикативного планирования «конъюнктурная» – «структурная» – «стратегическая» в странах с рыночной экономикой заняла десятилетия. </w:t>
      </w: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>Переход от одного типа индикативного планирования к другому предполагает повышение степени его зрелости, меры отлаженности взаимодействия всех соответствующих институтов регулирования.</w:t>
      </w:r>
    </w:p>
    <w:p w:rsid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>Индикативное планирование в мировой практике, как правило, осуществляется в двух основных формах. Одной из форм является разработка индикативных планов в виде цельных, логически структурированных документов, отражающих экономическую стратегию развития страны на планируемый период.</w:t>
      </w: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 xml:space="preserve">Такие документы разрабатываются в отраслевом, региональном и функциональном разрезах, позволяющих комплексно охватить все структурные и системные элементы экономики страны. Именно эту форму индикативного планирования использовали вплоть до 80-х годов Франция, Япония, с 60-70 годов и до настоящего времени многие развивающие страны, после 91-го года – многие страны переходного периода. </w:t>
      </w: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>Такая форма индикативного планирования, получившая в послевоенный период значительное развитие в ряде промышленно развитых стран, доказала свою достаточно высокую эффективность в качестве одного из средств государственного регулирования рыночной экономики. При этом</w:t>
      </w:r>
      <w:proofErr w:type="gramStart"/>
      <w:r w:rsidRPr="00C37841">
        <w:rPr>
          <w:color w:val="000000" w:themeColor="text1"/>
          <w:sz w:val="28"/>
          <w:szCs w:val="28"/>
        </w:rPr>
        <w:t>,</w:t>
      </w:r>
      <w:proofErr w:type="gramEnd"/>
      <w:r w:rsidRPr="00C37841">
        <w:rPr>
          <w:color w:val="000000" w:themeColor="text1"/>
          <w:sz w:val="28"/>
          <w:szCs w:val="28"/>
        </w:rPr>
        <w:t xml:space="preserve"> международный опыт свидетельствует о том, что каждый индикативный </w:t>
      </w:r>
      <w:r w:rsidRPr="00C37841">
        <w:rPr>
          <w:color w:val="000000" w:themeColor="text1"/>
          <w:sz w:val="28"/>
          <w:szCs w:val="28"/>
        </w:rPr>
        <w:lastRenderedPageBreak/>
        <w:t>план обычно имеет общие и специальные цели. Цели общих и специальных индикативных планов отдельных зарубежных стран, тесно связаны не только с избранной моделью развития страны, но и, в первую очередь, особыми задачами национальной экономики в планируемый период.</w:t>
      </w: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>Другая форма индикативного планирования представлена в виде разрабатываемых отдельных докладов, прогнозов, программ, а также государственного бюджета, не связанных одним документом, но взаимоувязанных между собой в самом процессе их разработки. Такую форму индикативного планирования широко используют развитые страны с рыночной экономикой (США, Великобритания, Нидерланды, Новая Зеландия и др.). Государственные программы формируются исходя из прогнозов по ограниченному кругу особо важных государственных задач. Индикативные плановые документы содержат лишь общие контуры прогноза относительно желательного уровня развития национальной экономики в целом, а также фиксируют решения о государственных расходах и инвестициях, о текущих расходах государственных предприятий, призваны способствовать формированию благоприятной экономической среды в обществе.</w:t>
      </w: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 xml:space="preserve">Бюджетное планирование, ориентированное на результат в Великобритании, возникло в конце 1980-х годов, как ответ на кризис государственных финансов, в </w:t>
      </w:r>
      <w:proofErr w:type="gramStart"/>
      <w:r w:rsidRPr="00C37841">
        <w:rPr>
          <w:color w:val="000000" w:themeColor="text1"/>
          <w:sz w:val="28"/>
          <w:szCs w:val="28"/>
        </w:rPr>
        <w:t>связи</w:t>
      </w:r>
      <w:proofErr w:type="gramEnd"/>
      <w:r w:rsidRPr="00C37841">
        <w:rPr>
          <w:color w:val="000000" w:themeColor="text1"/>
          <w:sz w:val="28"/>
          <w:szCs w:val="28"/>
        </w:rPr>
        <w:t xml:space="preserve"> с чем в 1998 г. был проведен комплексный анализ государственных расходов, по результатам которого было решено увязать распределение бюджетных ресурсов с обязательствами.</w:t>
      </w:r>
    </w:p>
    <w:p w:rsid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>Новый подход основан на соглашении о бюджетных услугах (</w:t>
      </w:r>
      <w:proofErr w:type="spellStart"/>
      <w:r w:rsidRPr="00C37841">
        <w:rPr>
          <w:color w:val="000000" w:themeColor="text1"/>
          <w:sz w:val="28"/>
          <w:szCs w:val="28"/>
        </w:rPr>
        <w:t>Public</w:t>
      </w:r>
      <w:proofErr w:type="spellEnd"/>
      <w:r w:rsidRPr="00C37841">
        <w:rPr>
          <w:color w:val="000000" w:themeColor="text1"/>
          <w:sz w:val="28"/>
          <w:szCs w:val="28"/>
        </w:rPr>
        <w:t xml:space="preserve"> </w:t>
      </w:r>
      <w:proofErr w:type="spellStart"/>
      <w:r w:rsidRPr="00C37841">
        <w:rPr>
          <w:color w:val="000000" w:themeColor="text1"/>
          <w:sz w:val="28"/>
          <w:szCs w:val="28"/>
        </w:rPr>
        <w:t>Service</w:t>
      </w:r>
      <w:proofErr w:type="spellEnd"/>
      <w:r w:rsidRPr="00C37841">
        <w:rPr>
          <w:color w:val="000000" w:themeColor="text1"/>
          <w:sz w:val="28"/>
          <w:szCs w:val="28"/>
        </w:rPr>
        <w:t xml:space="preserve"> </w:t>
      </w:r>
      <w:proofErr w:type="spellStart"/>
      <w:r w:rsidRPr="00C37841">
        <w:rPr>
          <w:color w:val="000000" w:themeColor="text1"/>
          <w:sz w:val="28"/>
          <w:szCs w:val="28"/>
        </w:rPr>
        <w:t>Agreements</w:t>
      </w:r>
      <w:proofErr w:type="spellEnd"/>
      <w:r w:rsidRPr="00C37841">
        <w:rPr>
          <w:color w:val="000000" w:themeColor="text1"/>
          <w:sz w:val="28"/>
          <w:szCs w:val="28"/>
        </w:rPr>
        <w:t xml:space="preserve"> – PSA) между министерствами и казначейством сроком на три года. </w:t>
      </w:r>
      <w:proofErr w:type="gramStart"/>
      <w:r w:rsidRPr="00C37841">
        <w:rPr>
          <w:color w:val="000000" w:themeColor="text1"/>
          <w:sz w:val="28"/>
          <w:szCs w:val="28"/>
        </w:rPr>
        <w:t xml:space="preserve">Эти соглашения о государственных услугах основываются на четырех основополагающих принципах: постановка ясных целей правительством на национальном уровне, ориентированных на конечные результаты; передача функциональных обязанностей субъектам деятельности, которые предоставляют государственные услуги; обеспечение независимости и эффективности учетных проверок и инспекций для </w:t>
      </w:r>
      <w:r w:rsidRPr="00C37841">
        <w:rPr>
          <w:color w:val="000000" w:themeColor="text1"/>
          <w:sz w:val="28"/>
          <w:szCs w:val="28"/>
        </w:rPr>
        <w:lastRenderedPageBreak/>
        <w:t xml:space="preserve">повышения степени ответственности; прозрачность информации о результатах деятельности на местном и национальном уровнях. </w:t>
      </w:r>
      <w:proofErr w:type="gramEnd"/>
    </w:p>
    <w:p w:rsid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>Для каждого PSA разрабатываются технические комментарии, где министерства подробно описывают, как именно будут измеряться результаты, включая источники данных, базовые показатели и т.д. В 2000 г. в дополнение к PSA появились соглашения о качестве услуг (</w:t>
      </w:r>
      <w:proofErr w:type="spellStart"/>
      <w:r w:rsidRPr="00C37841">
        <w:rPr>
          <w:color w:val="000000" w:themeColor="text1"/>
          <w:sz w:val="28"/>
          <w:szCs w:val="28"/>
        </w:rPr>
        <w:t>Service</w:t>
      </w:r>
      <w:proofErr w:type="spellEnd"/>
      <w:r w:rsidRPr="00C37841">
        <w:rPr>
          <w:color w:val="000000" w:themeColor="text1"/>
          <w:sz w:val="28"/>
          <w:szCs w:val="28"/>
        </w:rPr>
        <w:t xml:space="preserve"> </w:t>
      </w:r>
      <w:proofErr w:type="spellStart"/>
      <w:r w:rsidRPr="00C37841">
        <w:rPr>
          <w:color w:val="000000" w:themeColor="text1"/>
          <w:sz w:val="28"/>
          <w:szCs w:val="28"/>
        </w:rPr>
        <w:t>Delivery</w:t>
      </w:r>
      <w:proofErr w:type="spellEnd"/>
      <w:r w:rsidRPr="00C37841">
        <w:rPr>
          <w:color w:val="000000" w:themeColor="text1"/>
          <w:sz w:val="28"/>
          <w:szCs w:val="28"/>
        </w:rPr>
        <w:t xml:space="preserve"> </w:t>
      </w:r>
      <w:proofErr w:type="spellStart"/>
      <w:r w:rsidRPr="00C37841">
        <w:rPr>
          <w:color w:val="000000" w:themeColor="text1"/>
          <w:sz w:val="28"/>
          <w:szCs w:val="28"/>
        </w:rPr>
        <w:t>Agreements</w:t>
      </w:r>
      <w:proofErr w:type="spellEnd"/>
      <w:r w:rsidRPr="00C37841">
        <w:rPr>
          <w:color w:val="000000" w:themeColor="text1"/>
          <w:sz w:val="28"/>
          <w:szCs w:val="28"/>
        </w:rPr>
        <w:t xml:space="preserve"> – SDA), содержащие перечень мер и план достижения поставленных целей. </w:t>
      </w:r>
    </w:p>
    <w:p w:rsid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 xml:space="preserve">Целевые показатели отражают последствия или эффекты, которые правительственная деятельность окажет на общество и отдельных граждан. PSA и SDA определяют цели на уровне министерств, которые в свою очередь формируют перечень конкретных задач для функциональных агентств. </w:t>
      </w: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37841">
        <w:rPr>
          <w:color w:val="000000" w:themeColor="text1"/>
          <w:sz w:val="28"/>
          <w:szCs w:val="28"/>
        </w:rPr>
        <w:t>Постановка системы соглашений о государственных услугах и, в частности, соглашений о качестве предоставления услуг, может быть использована и в казахстанской практике в вопросах оценки эффективности госорганов.</w:t>
      </w: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Pr="00C37841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0A795C" w:rsidRDefault="000A795C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0A795C" w:rsidRDefault="000A795C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0A795C" w:rsidRDefault="000A795C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0A795C" w:rsidRDefault="000A795C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0A795C" w:rsidRDefault="000A795C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0A795C" w:rsidRDefault="000A795C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582A85" w:rsidRDefault="00582A85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582A85" w:rsidRDefault="00582A85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582A85" w:rsidRDefault="00582A85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582A85" w:rsidRPr="00C37841" w:rsidRDefault="00582A85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P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5"/>
          <w:color w:val="000000" w:themeColor="text1"/>
          <w:sz w:val="28"/>
          <w:szCs w:val="28"/>
        </w:rPr>
      </w:pPr>
      <w:r>
        <w:rPr>
          <w:rStyle w:val="a5"/>
          <w:color w:val="000000" w:themeColor="text1"/>
          <w:sz w:val="28"/>
          <w:szCs w:val="28"/>
        </w:rPr>
        <w:lastRenderedPageBreak/>
        <w:t>Заключение</w:t>
      </w: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  <w:r w:rsidRPr="003572CB">
        <w:rPr>
          <w:rStyle w:val="a5"/>
          <w:b w:val="0"/>
          <w:color w:val="000000" w:themeColor="text1"/>
          <w:sz w:val="28"/>
          <w:szCs w:val="28"/>
        </w:rPr>
        <w:t xml:space="preserve">Согласно анализу мирового опыта, следует, что индикативное планирование имело развитие в целом ряде стран рыночной экономики в различных формах, связанных с конкретной экономической, социальной и политической ситуацией, сложившейся в той или иной стране. При всех очевидных различиях между этими странами и по уровню развития (от развитых стран до стран с переходной экономикой), и по характеру процессов государственного планирования из их опыта можно извлечь важные уроки применительно к развитию системы планирования в Казахстане. </w:t>
      </w: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  <w:r w:rsidRPr="003572CB">
        <w:rPr>
          <w:rStyle w:val="a5"/>
          <w:b w:val="0"/>
          <w:color w:val="000000" w:themeColor="text1"/>
          <w:sz w:val="28"/>
          <w:szCs w:val="28"/>
        </w:rPr>
        <w:t>Опыт каждой из этих стран оригинален по-своему. В частности, практика США дает представление о том, как эволюционировала концепция программно-целевого бюджетирования, ориентированного на результаты; опыт Франции поучителен в плане определения стратегии, стратегических целей и целевых показателей; практика Великобритании, Швеции и Дании также представляет полезный опыт применения средств повышения оценки</w:t>
      </w:r>
      <w:r w:rsidR="000A795C">
        <w:rPr>
          <w:rStyle w:val="a5"/>
          <w:b w:val="0"/>
          <w:color w:val="000000" w:themeColor="text1"/>
          <w:sz w:val="28"/>
          <w:szCs w:val="28"/>
        </w:rPr>
        <w:t>,</w:t>
      </w:r>
      <w:r w:rsidRPr="003572CB">
        <w:rPr>
          <w:rStyle w:val="a5"/>
          <w:b w:val="0"/>
          <w:color w:val="000000" w:themeColor="text1"/>
          <w:sz w:val="28"/>
          <w:szCs w:val="28"/>
        </w:rPr>
        <w:t xml:space="preserve"> эффективности расходования бюджетных средств и механизмов отчетности и контроля.</w:t>
      </w: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5"/>
          <w:color w:val="000000" w:themeColor="text1"/>
          <w:sz w:val="28"/>
          <w:szCs w:val="28"/>
        </w:rPr>
      </w:pPr>
      <w:r>
        <w:rPr>
          <w:rStyle w:val="a5"/>
          <w:color w:val="000000" w:themeColor="text1"/>
          <w:sz w:val="28"/>
          <w:szCs w:val="28"/>
        </w:rPr>
        <w:lastRenderedPageBreak/>
        <w:t>Список литературы</w:t>
      </w:r>
    </w:p>
    <w:p w:rsidR="00C97081" w:rsidRDefault="00C97081" w:rsidP="00C970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1. Абрамов, В. С. Стратегии развития компаний. Учебное пособие / В.С. Абрамов, С.В. Абрамов. - М.: МГИМО-Университет, 014. - 11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c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C97081" w:rsidRDefault="00C97081" w:rsidP="00C970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Айзексон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Уолтер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 Стив Джобс /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Уолтер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Айзексон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. - М.: АСТ,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Corpus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, 01</w:t>
      </w:r>
      <w:r>
        <w:rPr>
          <w:color w:val="000000" w:themeColor="text1"/>
          <w:sz w:val="28"/>
          <w:szCs w:val="28"/>
          <w:shd w:val="clear" w:color="auto" w:fill="FFFFFF"/>
        </w:rPr>
        <w:t>3</w:t>
      </w:r>
      <w:r w:rsidRPr="00C97081">
        <w:rPr>
          <w:color w:val="000000" w:themeColor="text1"/>
          <w:sz w:val="28"/>
          <w:szCs w:val="28"/>
          <w:shd w:val="clear" w:color="auto" w:fill="FFFFFF"/>
        </w:rPr>
        <w:t>. -</w:t>
      </w:r>
      <w:r w:rsidRPr="00C97081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C97081">
        <w:rPr>
          <w:rStyle w:val="a5"/>
          <w:color w:val="000000" w:themeColor="text1"/>
          <w:sz w:val="28"/>
          <w:szCs w:val="28"/>
          <w:shd w:val="clear" w:color="auto" w:fill="FFFFFF"/>
        </w:rPr>
        <w:t>593</w:t>
      </w:r>
      <w:r w:rsidRPr="00C97081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c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C97081" w:rsidRDefault="00C97081" w:rsidP="00C970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3. Баринов, В. А. Организационное проектирование. Учебник / В.А. Баринов. - М.: ИНФРА-М, 015. - 384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c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C97081" w:rsidRDefault="00C97081" w:rsidP="00C970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4. Во что мы верим, но не можем доказать. Интеллектуалы XXI века о современной науке. - М.: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Альпина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 нон-фикшн, 013. - 336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c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C97081" w:rsidRDefault="00C97081" w:rsidP="00C970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5.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Гарретт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Саттон</w:t>
      </w:r>
      <w:proofErr w:type="spellEnd"/>
      <w:proofErr w:type="gramStart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 К</w:t>
      </w:r>
      <w:proofErr w:type="gram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ак купить и продать бизнес /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Саттон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Гарретт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. - М.: Попурри,</w:t>
      </w:r>
      <w:r w:rsidRPr="00C97081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C97081">
        <w:rPr>
          <w:rStyle w:val="a5"/>
          <w:color w:val="000000" w:themeColor="text1"/>
          <w:sz w:val="28"/>
          <w:szCs w:val="28"/>
          <w:shd w:val="clear" w:color="auto" w:fill="FFFFFF"/>
        </w:rPr>
        <w:t>01</w:t>
      </w:r>
      <w:r>
        <w:rPr>
          <w:rStyle w:val="a5"/>
          <w:color w:val="000000" w:themeColor="text1"/>
          <w:sz w:val="28"/>
          <w:szCs w:val="28"/>
          <w:shd w:val="clear" w:color="auto" w:fill="FFFFFF"/>
        </w:rPr>
        <w:t>4</w:t>
      </w:r>
      <w:r w:rsidRPr="00C97081">
        <w:rPr>
          <w:color w:val="000000" w:themeColor="text1"/>
          <w:sz w:val="28"/>
          <w:szCs w:val="28"/>
          <w:shd w:val="clear" w:color="auto" w:fill="FFFFFF"/>
        </w:rPr>
        <w:t>. -</w:t>
      </w:r>
      <w:r w:rsidRPr="00C97081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C97081">
        <w:rPr>
          <w:rStyle w:val="a5"/>
          <w:color w:val="000000" w:themeColor="text1"/>
          <w:sz w:val="28"/>
          <w:szCs w:val="28"/>
          <w:shd w:val="clear" w:color="auto" w:fill="FFFFFF"/>
        </w:rPr>
        <w:t>630</w:t>
      </w:r>
      <w:r w:rsidRPr="00C97081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c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C97081" w:rsidRDefault="00C97081" w:rsidP="00C970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6.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Грэйс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, Наталья Записки миллионера. Книга о том, как богатеть / Наталья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Грэйс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. - М.: Центрполиграф,</w:t>
      </w:r>
      <w:r w:rsidRPr="00C97081">
        <w:rPr>
          <w:rStyle w:val="a5"/>
          <w:color w:val="000000" w:themeColor="text1"/>
          <w:sz w:val="28"/>
          <w:szCs w:val="28"/>
          <w:shd w:val="clear" w:color="auto" w:fill="FFFFFF"/>
        </w:rPr>
        <w:t>01</w:t>
      </w:r>
      <w:r>
        <w:rPr>
          <w:rStyle w:val="a5"/>
          <w:color w:val="000000" w:themeColor="text1"/>
          <w:sz w:val="28"/>
          <w:szCs w:val="28"/>
          <w:shd w:val="clear" w:color="auto" w:fill="FFFFFF"/>
        </w:rPr>
        <w:t>4</w:t>
      </w:r>
      <w:r w:rsidRPr="00C97081">
        <w:rPr>
          <w:color w:val="000000" w:themeColor="text1"/>
          <w:sz w:val="28"/>
          <w:szCs w:val="28"/>
          <w:shd w:val="clear" w:color="auto" w:fill="FFFFFF"/>
        </w:rPr>
        <w:t>. -</w:t>
      </w:r>
      <w:r w:rsidRPr="00C97081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C97081">
        <w:rPr>
          <w:rStyle w:val="a5"/>
          <w:color w:val="000000" w:themeColor="text1"/>
          <w:sz w:val="28"/>
          <w:szCs w:val="28"/>
          <w:shd w:val="clear" w:color="auto" w:fill="FFFFFF"/>
        </w:rPr>
        <w:t>443</w:t>
      </w:r>
      <w:r w:rsidRPr="00C97081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c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C97081" w:rsidRDefault="00C97081" w:rsidP="00C970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7.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Грэхэм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Лорен</w:t>
      </w:r>
      <w:proofErr w:type="spellEnd"/>
      <w:proofErr w:type="gramStart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 С</w:t>
      </w:r>
      <w:proofErr w:type="gram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может ли Россия конкурировать? История инноваций в царской, советской и современной России /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Лорен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Грэхэм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. - М.: Манн, Иванов и Фербер, 014. - 7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c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C97081" w:rsidRDefault="00C97081" w:rsidP="00C970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8.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Детмер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, Уильям Теория ограничений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Голдратта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. Системный подход к непрерывному совершенствованию / Уильям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Детмер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. - М.: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Альпина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Паблишер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, 015. - 444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c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3572CB" w:rsidRDefault="00C97081" w:rsidP="00C970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9.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Джеффри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, А.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Мур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 Внутри торнадо. Стратегии развития, успеха и выживания на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гиперрастущих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 рынках /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Джеффри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 А.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Мур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. - М.: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BestBusinessBooks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, 01</w:t>
      </w:r>
      <w:r>
        <w:rPr>
          <w:color w:val="000000" w:themeColor="text1"/>
          <w:sz w:val="28"/>
          <w:szCs w:val="28"/>
          <w:shd w:val="clear" w:color="auto" w:fill="FFFFFF"/>
        </w:rPr>
        <w:t>4</w:t>
      </w:r>
      <w:r w:rsidRPr="00C97081">
        <w:rPr>
          <w:color w:val="000000" w:themeColor="text1"/>
          <w:sz w:val="28"/>
          <w:szCs w:val="28"/>
          <w:shd w:val="clear" w:color="auto" w:fill="FFFFFF"/>
        </w:rPr>
        <w:t xml:space="preserve">. - 96 </w:t>
      </w:r>
      <w:proofErr w:type="spellStart"/>
      <w:r w:rsidRPr="00C97081">
        <w:rPr>
          <w:color w:val="000000" w:themeColor="text1"/>
          <w:sz w:val="28"/>
          <w:szCs w:val="28"/>
          <w:shd w:val="clear" w:color="auto" w:fill="FFFFFF"/>
        </w:rPr>
        <w:t>c</w:t>
      </w:r>
      <w:proofErr w:type="spellEnd"/>
      <w:r w:rsidRPr="00C9708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0A795C" w:rsidRPr="00C97081" w:rsidRDefault="000A795C" w:rsidP="00C970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p w:rsidR="003572CB" w:rsidRDefault="003572CB" w:rsidP="003572C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</w:p>
    <w:sectPr w:rsidR="003572CB" w:rsidSect="00D34F75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A80" w:rsidRDefault="00F31A80" w:rsidP="00C06294">
      <w:pPr>
        <w:spacing w:after="0" w:line="240" w:lineRule="auto"/>
      </w:pPr>
      <w:r>
        <w:separator/>
      </w:r>
    </w:p>
  </w:endnote>
  <w:endnote w:type="continuationSeparator" w:id="0">
    <w:p w:rsidR="00F31A80" w:rsidRDefault="00F31A80" w:rsidP="00C06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497196"/>
      <w:docPartObj>
        <w:docPartGallery w:val="Page Numbers (Bottom of Page)"/>
        <w:docPartUnique/>
      </w:docPartObj>
    </w:sdtPr>
    <w:sdtContent>
      <w:p w:rsidR="00D34F75" w:rsidRDefault="003B4693">
        <w:pPr>
          <w:pStyle w:val="a8"/>
          <w:jc w:val="center"/>
        </w:pPr>
        <w:fldSimple w:instr=" PAGE   \* MERGEFORMAT ">
          <w:r w:rsidR="00BD71FF">
            <w:rPr>
              <w:noProof/>
            </w:rPr>
            <w:t>12</w:t>
          </w:r>
        </w:fldSimple>
      </w:p>
    </w:sdtContent>
  </w:sdt>
  <w:p w:rsidR="00C06294" w:rsidRDefault="00C0629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A80" w:rsidRDefault="00F31A80" w:rsidP="00C06294">
      <w:pPr>
        <w:spacing w:after="0" w:line="240" w:lineRule="auto"/>
      </w:pPr>
      <w:r>
        <w:separator/>
      </w:r>
    </w:p>
  </w:footnote>
  <w:footnote w:type="continuationSeparator" w:id="0">
    <w:p w:rsidR="00F31A80" w:rsidRDefault="00F31A80" w:rsidP="00C062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31CD"/>
    <w:rsid w:val="000A6EA5"/>
    <w:rsid w:val="000A795C"/>
    <w:rsid w:val="003572CB"/>
    <w:rsid w:val="003B4693"/>
    <w:rsid w:val="00423326"/>
    <w:rsid w:val="004270AB"/>
    <w:rsid w:val="0047391F"/>
    <w:rsid w:val="004E5231"/>
    <w:rsid w:val="00510503"/>
    <w:rsid w:val="00582A85"/>
    <w:rsid w:val="00807639"/>
    <w:rsid w:val="009A06B8"/>
    <w:rsid w:val="00AA375D"/>
    <w:rsid w:val="00AF5F6C"/>
    <w:rsid w:val="00B049D5"/>
    <w:rsid w:val="00B11268"/>
    <w:rsid w:val="00B25833"/>
    <w:rsid w:val="00B531CD"/>
    <w:rsid w:val="00B7460F"/>
    <w:rsid w:val="00BD71FF"/>
    <w:rsid w:val="00BE5280"/>
    <w:rsid w:val="00C05618"/>
    <w:rsid w:val="00C06294"/>
    <w:rsid w:val="00C37841"/>
    <w:rsid w:val="00C97081"/>
    <w:rsid w:val="00D34F75"/>
    <w:rsid w:val="00DC1A35"/>
    <w:rsid w:val="00DC4B7D"/>
    <w:rsid w:val="00EF5B71"/>
    <w:rsid w:val="00EF64C0"/>
    <w:rsid w:val="00F04361"/>
    <w:rsid w:val="00F26FB1"/>
    <w:rsid w:val="00F31906"/>
    <w:rsid w:val="00F31A80"/>
    <w:rsid w:val="00F4619C"/>
    <w:rsid w:val="00F9021D"/>
    <w:rsid w:val="00F93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1A35"/>
    <w:pPr>
      <w:ind w:left="720"/>
      <w:contextualSpacing/>
    </w:pPr>
  </w:style>
  <w:style w:type="character" w:styleId="a5">
    <w:name w:val="Strong"/>
    <w:basedOn w:val="a0"/>
    <w:uiPriority w:val="22"/>
    <w:qFormat/>
    <w:rsid w:val="003572CB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C062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06294"/>
  </w:style>
  <w:style w:type="paragraph" w:styleId="a8">
    <w:name w:val="footer"/>
    <w:basedOn w:val="a"/>
    <w:link w:val="a9"/>
    <w:uiPriority w:val="99"/>
    <w:unhideWhenUsed/>
    <w:rsid w:val="00C062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6294"/>
  </w:style>
  <w:style w:type="character" w:customStyle="1" w:styleId="apple-converted-space">
    <w:name w:val="apple-converted-space"/>
    <w:basedOn w:val="a0"/>
    <w:rsid w:val="00C97081"/>
  </w:style>
  <w:style w:type="paragraph" w:styleId="aa">
    <w:name w:val="footnote text"/>
    <w:basedOn w:val="a"/>
    <w:link w:val="ab"/>
    <w:uiPriority w:val="99"/>
    <w:semiHidden/>
    <w:unhideWhenUsed/>
    <w:rsid w:val="00C3784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3784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C37841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74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6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DC72F-EB3B-480C-BFFB-57C74FE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2600</Words>
  <Characters>14825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2016-12-15T07:57:00Z</cp:lastPrinted>
  <dcterms:created xsi:type="dcterms:W3CDTF">2017-01-16T12:56:00Z</dcterms:created>
  <dcterms:modified xsi:type="dcterms:W3CDTF">2017-01-16T12:56:00Z</dcterms:modified>
</cp:coreProperties>
</file>