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73" w:rsidRDefault="00A34C73" w:rsidP="000F0A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4C73" w:rsidRPr="001E6554" w:rsidRDefault="00A34C73" w:rsidP="000F0A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0F0A3E" w:rsidRDefault="000F0A3E" w:rsidP="000F0A3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241"/>
      </w:tblGrid>
      <w:tr w:rsidR="000F0A3E" w:rsidRPr="008A3BAB" w:rsidTr="00A34C73">
        <w:tc>
          <w:tcPr>
            <w:tcW w:w="8330" w:type="dxa"/>
          </w:tcPr>
          <w:p w:rsidR="000F0A3E" w:rsidRDefault="000F0A3E" w:rsidP="000F0A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</w:t>
            </w:r>
          </w:p>
        </w:tc>
        <w:tc>
          <w:tcPr>
            <w:tcW w:w="1241" w:type="dxa"/>
          </w:tcPr>
          <w:p w:rsidR="000F0A3E" w:rsidRDefault="00EC6464" w:rsidP="005E17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0A3E" w:rsidRPr="008A3BAB" w:rsidTr="00A34C73">
        <w:tc>
          <w:tcPr>
            <w:tcW w:w="8330" w:type="dxa"/>
          </w:tcPr>
          <w:p w:rsidR="000F0A3E" w:rsidRPr="008A3BAB" w:rsidRDefault="00EC6464" w:rsidP="005E17A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</w:t>
            </w:r>
          </w:p>
        </w:tc>
        <w:tc>
          <w:tcPr>
            <w:tcW w:w="1241" w:type="dxa"/>
          </w:tcPr>
          <w:p w:rsidR="000F0A3E" w:rsidRPr="008A3BAB" w:rsidRDefault="00EE58DA" w:rsidP="005E17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F0A3E" w:rsidRPr="008A3BAB" w:rsidTr="00A34C73">
        <w:tc>
          <w:tcPr>
            <w:tcW w:w="8330" w:type="dxa"/>
          </w:tcPr>
          <w:p w:rsidR="000F0A3E" w:rsidRPr="008A3BAB" w:rsidRDefault="00EC6464" w:rsidP="005E17A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1. Составление учетной политики</w:t>
            </w:r>
          </w:p>
        </w:tc>
        <w:tc>
          <w:tcPr>
            <w:tcW w:w="1241" w:type="dxa"/>
          </w:tcPr>
          <w:p w:rsidR="000F0A3E" w:rsidRPr="008A3BAB" w:rsidRDefault="00EE58DA" w:rsidP="005E17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F0A3E" w:rsidRPr="008A3BAB" w:rsidTr="00A34C73">
        <w:tc>
          <w:tcPr>
            <w:tcW w:w="8330" w:type="dxa"/>
          </w:tcPr>
          <w:p w:rsidR="000F0A3E" w:rsidRPr="008A3BAB" w:rsidRDefault="00EC6464" w:rsidP="005E17A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2.Практическое задание</w:t>
            </w:r>
          </w:p>
        </w:tc>
        <w:tc>
          <w:tcPr>
            <w:tcW w:w="1241" w:type="dxa"/>
          </w:tcPr>
          <w:p w:rsidR="000F0A3E" w:rsidRPr="008A3BAB" w:rsidRDefault="00EE58DA" w:rsidP="005E17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C6464" w:rsidRPr="008A3BAB" w:rsidTr="00A34C73">
        <w:tc>
          <w:tcPr>
            <w:tcW w:w="8330" w:type="dxa"/>
          </w:tcPr>
          <w:p w:rsidR="00EC6464" w:rsidRPr="008A3BAB" w:rsidRDefault="00EC6464" w:rsidP="005E17A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3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используемой литературы</w:t>
            </w:r>
          </w:p>
        </w:tc>
        <w:tc>
          <w:tcPr>
            <w:tcW w:w="1241" w:type="dxa"/>
          </w:tcPr>
          <w:p w:rsidR="00EC6464" w:rsidRDefault="00A34C73" w:rsidP="00EE58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58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F0A3E" w:rsidRDefault="000F0A3E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4C73" w:rsidRDefault="00A34C73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A3E" w:rsidRDefault="000F0A3E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05EC" w:rsidRDefault="003105EC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Контрольная № 1</w:t>
      </w:r>
    </w:p>
    <w:p w:rsidR="00EC6464" w:rsidRDefault="00EC6464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3052" w:rsidRPr="00D73052" w:rsidRDefault="00D73052" w:rsidP="00D7305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052">
        <w:rPr>
          <w:rFonts w:ascii="Times New Roman" w:eastAsia="Calibri" w:hAnsi="Times New Roman" w:cs="Times New Roman"/>
          <w:b/>
          <w:sz w:val="28"/>
          <w:szCs w:val="28"/>
        </w:rPr>
        <w:t>График документооборота в организации первичного учета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052">
        <w:rPr>
          <w:rFonts w:ascii="Times New Roman" w:hAnsi="Times New Roman" w:cs="Times New Roman"/>
          <w:sz w:val="28"/>
          <w:szCs w:val="28"/>
        </w:rPr>
        <w:t>Документооборот - это создание первичных учетных документов или получение их от других организаций, их принятие к учету, обработка, передача в архив. Движение первичных документов в бухгалтерском учете регламентируется графиком документооборота.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хозяйственная операция отражается в бухгалтерском и налоговом учете на основе первичного документа. Нет документа - нет расхода при налогообложении, нет отражения на счетах учета, а в итоге - нет права на вычет НДС. Попробуем разобраться, что представляет собой документооборот и как его правильно организовать.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главные бухгалтеры не уделяют должного внимания правилам формирования документооборота в организации. И напрасно. Ведь от того, как оформлен документ, вовремя ли он передан соответствующему подразделению организации, зависит не только точность составленного баланса, который отражает финансовое состояние организации, но и то, насколько правильно определена сумма подлежащих уплате в бюджет налогов.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График документооборота - это график или схема, которые описывают движение первичных документов на предприятии от момента их создания до момента передачи на хранение.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 xml:space="preserve">Унифицированной формы графика документооборота нет. Каждое предприятие составляет график самостоятельно, исходя из особенностей деятельности. 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 xml:space="preserve">Разрабатывает график документооборота главный бухгалтер, а утверждает руководитель предприятия. 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В график документооборота рекомендуется включать следующие разделы: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lastRenderedPageBreak/>
        <w:t>1. Порядок создания документа: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количество экземпляров;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ответственный за выписку;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ответственный за оформление;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ответственный за исполнение;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срок исполнения.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2. Порядок проверки документа: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ответственный за проверку;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кто представляет;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порядок представления;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срок представления.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3. Порядок обработки документа: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исполнитель;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срок исполнения.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4. Порядок передачи документа в архив: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исполнитель;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- срок передачи.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>График должен устанавливать рациональный документооборот, т.е. предусматривать оптимальное число подразделений и исполнителей для прохождения каждого первичного документа, определять минимальный срок его нахождения в подразделении.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 xml:space="preserve">График документооборота может быть оформлен в виде схемы или перечня работ по созданию, проверке и обработке документов, выполняемых каждым подразделением предприятия, учреждения, а также всеми исполнителями с указанием их взаимосвязи и сроков выполнения работ. 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 xml:space="preserve">Правильное составление графика документооборота и его соблюдение способствуют оптимальному распределению должностных обязанностей между работниками, укреплению контрольной функции бухгалтерского учета и обеспечивают своевременность составления отчетности. 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lastRenderedPageBreak/>
        <w:t xml:space="preserve">Ответственность за соблюдение графика документооборота, а также за своевременную и качественную разработку документов, своевременную передачу их для отражения в бухгалтерском учете и отчетности, за достоверность содержащихся в документах данных несут лица, создавшие и подписавшие эти документы. </w:t>
      </w:r>
    </w:p>
    <w:p w:rsidR="00D73052" w:rsidRPr="00D73052" w:rsidRDefault="00D73052" w:rsidP="00D7305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052">
        <w:rPr>
          <w:sz w:val="28"/>
          <w:szCs w:val="28"/>
        </w:rPr>
        <w:t xml:space="preserve">Контроль за соблюдением исполнителями графика документооборота в организации осуществляет главный бухгалтер. Целесообразно вручить каждому работнику выписку из графика документооборота, в которой перечислены документы, относящиеся к сфере его деятельности. 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графика документооборота в управлении предприятием позволяет сократить трудозатраты на обработку документов на предприятии за счет: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st100292"/>
      <w:bookmarkEnd w:id="0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ответственности исполнителей за соблюдение сроков составления и обработки документов;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100293"/>
      <w:bookmarkEnd w:id="1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выявления и исключения из документооборота неиспользуемых (излишних) документов (особенно это касается сводных документов и регистров бухгалтерского учета).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100294"/>
      <w:bookmarkEnd w:id="2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четкости составления графика документооборота в значительной степени зависит своевременность получения информации для нужд управления.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документооборота является: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st100296"/>
      <w:bookmarkEnd w:id="3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важнейшим организационным регламентом, обеспечивающим создание стройности системы организации бухгалтерского учета на предприятии;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100297"/>
      <w:bookmarkEnd w:id="4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средством обслуживания рабочего места;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dst100298"/>
      <w:bookmarkEnd w:id="5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средством повышения качества работы службы бухгалтерского учета и финансовой деятельности.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dst100299"/>
      <w:bookmarkEnd w:id="6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средство обслуживания рабочего места график документооборота обеспечивает: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dst100300"/>
      <w:bookmarkEnd w:id="7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ритмичность работы работников учета на каждом рабочем месте и службы в целом;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dst100301"/>
      <w:bookmarkEnd w:id="8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работ в соответствии с планом индивидуального распределения обязанностей, то есть каждый работник учета выполняет работу, соответствующую его должностным обязанностям;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dst100302"/>
      <w:bookmarkEnd w:id="9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работ, установленных планом распределения обязанностей;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dst100303"/>
      <w:bookmarkEnd w:id="10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работ в течение установленной продолжительности рабочего дня.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dst100304"/>
      <w:bookmarkEnd w:id="11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средство повышения качества работы службы бухгалтерского учета и финансовой деятельности: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dst100305"/>
      <w:bookmarkEnd w:id="12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 составление и представление бухгалтерской и статистической отчетности в установленные адреса;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dst100306"/>
      <w:bookmarkEnd w:id="13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 получение учетной информации для оперативного руководства организации.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документы, регламентирующие организацию бухгалтерского документооборота, можно условно разделить на следующие группы: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dst100308"/>
      <w:bookmarkEnd w:id="14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регламентирующие общие принципы организации бухгалтерского документооборота;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dst100309"/>
      <w:bookmarkEnd w:id="15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регламентирующие особенности документооборота первичной учетной документации в части применения и заполнения отраслевых унифицированных форм;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dst100310"/>
      <w:bookmarkEnd w:id="16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регламентирующие особенности документооборота первичной учетной документации в части применения и заполнения унифицированных форм (без отраслевых);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dst100311"/>
      <w:bookmarkEnd w:id="17"/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регламентирующие особенности документооборота бухгалтерской отчетности организаций.</w:t>
      </w:r>
    </w:p>
    <w:p w:rsidR="00D73052" w:rsidRPr="00D73052" w:rsidRDefault="00D73052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состав нормативных документов, регламентирующих общие принципы организации бухгалтерского документооборота, входят следующие:</w:t>
      </w:r>
    </w:p>
    <w:p w:rsidR="00D73052" w:rsidRPr="00D73052" w:rsidRDefault="00B80D79" w:rsidP="00D7305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dst100313"/>
      <w:bookmarkEnd w:id="18"/>
      <w:r w:rsidRPr="00B80D7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06.12.2011 N 402-ФЗ "О бухгалтерском учете"</w:t>
      </w:r>
      <w:r w:rsidR="00D73052" w:rsidRPr="00D730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0D79" w:rsidRPr="00B80D79" w:rsidRDefault="00B80D79" w:rsidP="00B80D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9" w:name="dst100314"/>
      <w:bookmarkStart w:id="20" w:name="dst100315"/>
      <w:bookmarkEnd w:id="19"/>
      <w:bookmarkEnd w:id="20"/>
      <w:r w:rsidRPr="00B80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Минфина РФ от 29.07.1998 N 34н (ред. от 24.12.2010, с изм. от 08.07.2016) "Об утверждении Положения по ведению бухгалтерского учета и бухгалтерской отчетности в Российской Федерации" (Зарегистрировано в Минюсте РФ 27.08.1998 N 1598)</w:t>
      </w:r>
    </w:p>
    <w:p w:rsidR="00D102B3" w:rsidRDefault="00D102B3" w:rsidP="00D730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dst100316"/>
      <w:bookmarkStart w:id="22" w:name="dst100318"/>
      <w:bookmarkEnd w:id="21"/>
      <w:bookmarkEnd w:id="22"/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2013 года формы первичных учетных документов, содержащиеся в альбомах унифицированных форм первичной учетной документации, не являются обязательными к применению. Вместе с тем обязательными к применению продолжают оставаться формы документов, используемых в качестве первичных учетных документов, установленные уполномоченными органами в соответствии и на основании других федеральных законов (например, кассовые документы)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02B3" w:rsidRPr="00D102B3" w:rsidRDefault="00D102B3" w:rsidP="00D102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обязательном порядке в настоящее время продолжают применяться кассовые документы (Указание Банка России от 11.03.2014 № 3210-У):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кассовая книга (форма 0310004);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приходный кассовый ордер (форма 0310001);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расходный кассовый ордер (форма 0310002);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расчетно-платежная ведомость (форма 0301009);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платежная ведомость (форма 0301011);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 учета принятых и выданных кассиром денежных средств (форма 0310005);</w:t>
      </w:r>
    </w:p>
    <w:p w:rsidR="00D102B3" w:rsidRPr="00D102B3" w:rsidRDefault="00D102B3" w:rsidP="00D102B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кассовой книги (форма 0310004).</w:t>
      </w:r>
    </w:p>
    <w:p w:rsidR="00D73052" w:rsidRDefault="00D73052" w:rsidP="00D73052">
      <w:pPr>
        <w:spacing w:after="0" w:line="36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73052">
        <w:rPr>
          <w:rStyle w:val="blk"/>
          <w:rFonts w:ascii="Times New Roman" w:hAnsi="Times New Roman" w:cs="Times New Roman"/>
          <w:sz w:val="28"/>
          <w:szCs w:val="28"/>
        </w:rPr>
        <w:t xml:space="preserve">График документооборота может быть оформлен в виде схемы или перечня работ по созданию, проверке и обработке документов, выполняемых </w:t>
      </w:r>
      <w:r w:rsidRPr="00D73052">
        <w:rPr>
          <w:rStyle w:val="blk"/>
          <w:rFonts w:ascii="Times New Roman" w:hAnsi="Times New Roman" w:cs="Times New Roman"/>
          <w:sz w:val="28"/>
          <w:szCs w:val="28"/>
        </w:rPr>
        <w:lastRenderedPageBreak/>
        <w:t>каждым подразделением предприятия, учреждения, а также всеми исполнителями с указанием их взаимосвязи и сроков выполнения работ.</w:t>
      </w:r>
    </w:p>
    <w:p w:rsidR="003105EC" w:rsidRDefault="003105EC" w:rsidP="00D73052">
      <w:pPr>
        <w:spacing w:after="0" w:line="36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D73052">
      <w:pPr>
        <w:spacing w:after="0" w:line="36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3105EC" w:rsidRPr="00D01FC4" w:rsidRDefault="003105EC" w:rsidP="003105EC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D01FC4">
        <w:rPr>
          <w:rStyle w:val="blk"/>
          <w:rFonts w:ascii="Times New Roman" w:hAnsi="Times New Roman" w:cs="Times New Roman"/>
          <w:b/>
          <w:sz w:val="28"/>
          <w:szCs w:val="28"/>
        </w:rPr>
        <w:t>Контрольная №2</w:t>
      </w:r>
    </w:p>
    <w:p w:rsidR="008650E4" w:rsidRDefault="008650E4" w:rsidP="003105EC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>
        <w:rPr>
          <w:rStyle w:val="blk"/>
          <w:rFonts w:ascii="Times New Roman" w:hAnsi="Times New Roman" w:cs="Times New Roman"/>
          <w:b/>
          <w:sz w:val="28"/>
          <w:szCs w:val="28"/>
        </w:rPr>
        <w:t>Часть 1.</w:t>
      </w:r>
    </w:p>
    <w:p w:rsidR="00EC6464" w:rsidRDefault="00EC6464" w:rsidP="003105EC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3105EC" w:rsidRDefault="003105EC" w:rsidP="003105EC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D01FC4">
        <w:rPr>
          <w:rStyle w:val="blk"/>
          <w:rFonts w:ascii="Times New Roman" w:hAnsi="Times New Roman" w:cs="Times New Roman"/>
          <w:b/>
          <w:sz w:val="28"/>
          <w:szCs w:val="28"/>
        </w:rPr>
        <w:t>Со</w:t>
      </w:r>
      <w:r w:rsidR="00D01FC4" w:rsidRPr="00D01FC4">
        <w:rPr>
          <w:rStyle w:val="blk"/>
          <w:rFonts w:ascii="Times New Roman" w:hAnsi="Times New Roman" w:cs="Times New Roman"/>
          <w:b/>
          <w:sz w:val="28"/>
          <w:szCs w:val="28"/>
        </w:rPr>
        <w:t>ставление учетной политики</w:t>
      </w:r>
    </w:p>
    <w:p w:rsid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«ТИАНЛИ ЦЕНТР» </w:t>
      </w:r>
    </w:p>
    <w:p w:rsid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FC4" w:rsidRP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№ 1</w:t>
      </w:r>
    </w:p>
    <w:p w:rsidR="00D01FC4" w:rsidRP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учетной политике ООО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ТИАНЛИ ЦЕНТР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D01FC4" w:rsidRP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01FC4" w:rsidRPr="00D01FC4" w:rsidRDefault="00D01FC4" w:rsidP="00D01FC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г.Москва                                                                                         31.12.201</w:t>
      </w:r>
      <w:r w:rsidR="00BF6CDE" w:rsidRPr="00D168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23" w:name="_GoBack"/>
      <w:bookmarkEnd w:id="23"/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Налогов</w:t>
      </w:r>
      <w:r w:rsidR="0016763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16763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Федеральным законом от 06.12.2011 N 402-ФЗ "О бухгалтерском учете", Положением по бухгалтерскому учету "Учетная политика организации" (ПБУ 1/2008), утвержденным Приказом Минфина России от 06.10.2008 N 106н, иными нормативными актами</w:t>
      </w: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на 201</w:t>
      </w:r>
      <w:r w:rsidR="00A30A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учетную политику ООО «ТИАНЛИ ЦЕНТР» для целей бухгалтерского учета и налогообложения согласно приложению к настоящему приказу.</w:t>
      </w: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Установить, что данные учетной политики применяются с 1 января 2016 г. </w:t>
      </w:r>
      <w:r w:rsidR="00C06E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 работниками ООО «ТИАНЛИ ЦЕНТР»</w:t>
      </w:r>
    </w:p>
    <w:p w:rsidR="00D01FC4" w:rsidRPr="00D01FC4" w:rsidRDefault="00D01FC4" w:rsidP="00D01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C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Приказа возложить на главного бухгалтера ООО «ТИАНЛИ ЦЕНТР»</w:t>
      </w:r>
    </w:p>
    <w:p w:rsidR="00D01FC4" w:rsidRPr="00D01FC4" w:rsidRDefault="00D01FC4" w:rsidP="00D01F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FC4" w:rsidRPr="00D01FC4" w:rsidRDefault="00D01FC4" w:rsidP="00D0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FC4" w:rsidRDefault="00D01FC4" w:rsidP="00D01FC4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  <w:r w:rsidRPr="00D01FC4">
        <w:rPr>
          <w:rStyle w:val="blk"/>
          <w:rFonts w:ascii="Times New Roman" w:hAnsi="Times New Roman" w:cs="Times New Roman"/>
          <w:sz w:val="28"/>
          <w:szCs w:val="28"/>
        </w:rPr>
        <w:t>Генеральный директор                                     Юдин С.П.</w:t>
      </w:r>
    </w:p>
    <w:p w:rsidR="00D01FC4" w:rsidRDefault="00D01FC4" w:rsidP="00D01FC4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EC6464" w:rsidRDefault="00EC6464" w:rsidP="00D01FC4">
      <w:pPr>
        <w:spacing w:after="0" w:line="360" w:lineRule="auto"/>
        <w:ind w:firstLine="709"/>
        <w:jc w:val="right"/>
        <w:rPr>
          <w:rStyle w:val="blk"/>
          <w:rFonts w:ascii="Times New Roman" w:hAnsi="Times New Roman" w:cs="Times New Roman"/>
          <w:sz w:val="28"/>
          <w:szCs w:val="28"/>
        </w:rPr>
      </w:pPr>
    </w:p>
    <w:p w:rsidR="00AC7EEE" w:rsidRDefault="00AC7EEE" w:rsidP="00D01FC4">
      <w:pPr>
        <w:spacing w:after="0" w:line="360" w:lineRule="auto"/>
        <w:ind w:firstLine="709"/>
        <w:jc w:val="right"/>
        <w:rPr>
          <w:rStyle w:val="blk"/>
          <w:rFonts w:ascii="Times New Roman" w:hAnsi="Times New Roman" w:cs="Times New Roman"/>
          <w:sz w:val="28"/>
          <w:szCs w:val="28"/>
        </w:rPr>
      </w:pPr>
    </w:p>
    <w:p w:rsidR="00AC7EEE" w:rsidRDefault="00AC7EEE" w:rsidP="00D01FC4">
      <w:pPr>
        <w:spacing w:after="0" w:line="360" w:lineRule="auto"/>
        <w:ind w:firstLine="709"/>
        <w:jc w:val="right"/>
        <w:rPr>
          <w:rStyle w:val="blk"/>
          <w:rFonts w:ascii="Times New Roman" w:hAnsi="Times New Roman" w:cs="Times New Roman"/>
          <w:sz w:val="28"/>
          <w:szCs w:val="28"/>
        </w:rPr>
      </w:pPr>
    </w:p>
    <w:p w:rsidR="00D01FC4" w:rsidRDefault="00D01FC4" w:rsidP="00D01FC4">
      <w:pPr>
        <w:spacing w:after="0" w:line="360" w:lineRule="auto"/>
        <w:ind w:firstLine="709"/>
        <w:jc w:val="right"/>
        <w:rPr>
          <w:rStyle w:val="blk"/>
          <w:rFonts w:ascii="Times New Roman" w:hAnsi="Times New Roman" w:cs="Times New Roman"/>
          <w:sz w:val="28"/>
          <w:szCs w:val="28"/>
        </w:rPr>
      </w:pPr>
      <w:r w:rsidRPr="00D01FC4">
        <w:rPr>
          <w:rStyle w:val="blk"/>
          <w:rFonts w:ascii="Times New Roman" w:hAnsi="Times New Roman" w:cs="Times New Roman"/>
          <w:sz w:val="28"/>
          <w:szCs w:val="28"/>
        </w:rPr>
        <w:t xml:space="preserve">Приложение к Приказу № 1 от </w:t>
      </w:r>
      <w:r>
        <w:rPr>
          <w:rStyle w:val="blk"/>
          <w:rFonts w:ascii="Times New Roman" w:hAnsi="Times New Roman" w:cs="Times New Roman"/>
          <w:sz w:val="28"/>
          <w:szCs w:val="28"/>
        </w:rPr>
        <w:t>31</w:t>
      </w:r>
      <w:r w:rsidRPr="00D01FC4">
        <w:rPr>
          <w:rStyle w:val="blk"/>
          <w:rFonts w:ascii="Times New Roman" w:hAnsi="Times New Roman" w:cs="Times New Roman"/>
          <w:sz w:val="28"/>
          <w:szCs w:val="28"/>
        </w:rPr>
        <w:t>.1</w:t>
      </w:r>
      <w:r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D01FC4">
        <w:rPr>
          <w:rStyle w:val="blk"/>
          <w:rFonts w:ascii="Times New Roman" w:hAnsi="Times New Roman" w:cs="Times New Roman"/>
          <w:sz w:val="28"/>
          <w:szCs w:val="28"/>
        </w:rPr>
        <w:t>.201</w:t>
      </w:r>
      <w:r>
        <w:rPr>
          <w:rStyle w:val="blk"/>
          <w:rFonts w:ascii="Times New Roman" w:hAnsi="Times New Roman" w:cs="Times New Roman"/>
          <w:sz w:val="28"/>
          <w:szCs w:val="28"/>
        </w:rPr>
        <w:t>5</w:t>
      </w:r>
      <w:r w:rsidRPr="00D01FC4">
        <w:rPr>
          <w:rStyle w:val="blk"/>
          <w:rFonts w:ascii="Times New Roman" w:hAnsi="Times New Roman" w:cs="Times New Roman"/>
          <w:sz w:val="28"/>
          <w:szCs w:val="28"/>
        </w:rPr>
        <w:t xml:space="preserve"> г.</w:t>
      </w:r>
    </w:p>
    <w:p w:rsidR="00D01FC4" w:rsidRDefault="00002528" w:rsidP="00002528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Учетная политика для целей бухгалтерского учета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3686"/>
        <w:gridCol w:w="3402"/>
      </w:tblGrid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Элементы учетной политики</w:t>
            </w:r>
          </w:p>
        </w:tc>
        <w:tc>
          <w:tcPr>
            <w:tcW w:w="368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Вариант, принятый в организации</w:t>
            </w:r>
          </w:p>
        </w:tc>
        <w:tc>
          <w:tcPr>
            <w:tcW w:w="340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Основание (законода</w:t>
            </w: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тельные акты и норма</w:t>
            </w: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тивные документы)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ведения бухгалтерского учета</w:t>
            </w:r>
          </w:p>
        </w:tc>
        <w:tc>
          <w:tcPr>
            <w:tcW w:w="3686" w:type="dxa"/>
            <w:shd w:val="clear" w:color="auto" w:fill="auto"/>
          </w:tcPr>
          <w:p w:rsidR="00002528" w:rsidRPr="00D102B3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Бухгалтерский учет организации ведет бухгалтерская служба как структурное подразделение, возглавляемое главным бухгалтером.</w:t>
            </w:r>
          </w:p>
        </w:tc>
        <w:tc>
          <w:tcPr>
            <w:tcW w:w="3402" w:type="dxa"/>
            <w:shd w:val="clear" w:color="auto" w:fill="auto"/>
          </w:tcPr>
          <w:p w:rsidR="00D102B3" w:rsidRPr="00D102B3" w:rsidRDefault="00D102B3" w:rsidP="00D102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закон "О бухгалтерском учете" от 06.12.2011 N 402-ФЗ</w:t>
            </w:r>
          </w:p>
          <w:p w:rsidR="00002528" w:rsidRPr="00D102B3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08C8" w:rsidRPr="00002528" w:rsidTr="00D102B3">
        <w:tc>
          <w:tcPr>
            <w:tcW w:w="2376" w:type="dxa"/>
            <w:shd w:val="clear" w:color="auto" w:fill="auto"/>
          </w:tcPr>
          <w:p w:rsidR="002908C8" w:rsidRPr="00002528" w:rsidRDefault="002908C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первичных документов </w:t>
            </w:r>
          </w:p>
        </w:tc>
        <w:tc>
          <w:tcPr>
            <w:tcW w:w="3686" w:type="dxa"/>
            <w:shd w:val="clear" w:color="auto" w:fill="auto"/>
          </w:tcPr>
          <w:p w:rsidR="002908C8" w:rsidRPr="00EC6464" w:rsidRDefault="002908C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Первичные учетные документы, составленные по унифицированным формам, утвержденным органами государственной статистики и отраслевыми министерствами</w:t>
            </w:r>
          </w:p>
        </w:tc>
        <w:tc>
          <w:tcPr>
            <w:tcW w:w="3402" w:type="dxa"/>
            <w:shd w:val="clear" w:color="auto" w:fill="auto"/>
          </w:tcPr>
          <w:p w:rsidR="002908C8" w:rsidRPr="00002528" w:rsidRDefault="002908C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4 ст. 9 Федерального закона от 06.12.2011 г. N 402-ФЗ "О бухгалтерском учете"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Стоимостной лимит основных средств</w:t>
            </w:r>
          </w:p>
        </w:tc>
        <w:tc>
          <w:tcPr>
            <w:tcW w:w="368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относятся к основным средствам и отражаются в бухгалтерском учете и отчетности в составе материально-производственных запасов активы стоимостью не более 40000 руб</w:t>
            </w:r>
          </w:p>
        </w:tc>
        <w:tc>
          <w:tcPr>
            <w:tcW w:w="340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5 ПБУ 6/01 "Учет основных средств" (утв. Приказом Минфина РФ от 30.03.2001 г. N 26н)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начисления амортизационных отчислений по основным средствам</w:t>
            </w:r>
          </w:p>
        </w:tc>
        <w:tc>
          <w:tcPr>
            <w:tcW w:w="368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линейный способ </w:t>
            </w:r>
          </w:p>
        </w:tc>
        <w:tc>
          <w:tcPr>
            <w:tcW w:w="340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18, 19 ПБУ 6/01 "Учет основных средств" (утв. Приказом Минфина РФ от 30.03.2001 г. N 26н)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48 "Положения по ведению бухгалтерского учета и бухгалтерской отчетности в РФ" (утв. приказом МФ РФ от 29.07.1998 г. N 34н.)</w:t>
            </w:r>
          </w:p>
        </w:tc>
      </w:tr>
    </w:tbl>
    <w:p w:rsidR="00D102B3" w:rsidRDefault="00D102B3">
      <w:r>
        <w:lastRenderedPageBreak/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678"/>
        <w:gridCol w:w="2835"/>
      </w:tblGrid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Переоценка первоначальной стоимости основных средств</w:t>
            </w:r>
          </w:p>
        </w:tc>
        <w:tc>
          <w:tcPr>
            <w:tcW w:w="467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производится.</w:t>
            </w:r>
          </w:p>
        </w:tc>
        <w:tc>
          <w:tcPr>
            <w:tcW w:w="2835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14, 15 ПБУ 6/01 "Учет основных средств" (утв. Приказом Минфина РФ от 30.03.2001 г. N 26н)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49 "Положения по ведению бухгалтерского учета и бухгалтерской отчетности в РФ" (утв. приказом МФ РФ от 29.07.1998 г. N 34н.)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Переоценка нематериальных активов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производится.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п.17 ПБУ 14/2007 "Учет нематериальных активов" (утв. Приказом Минфина № 153н от 27.12.2007)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материально-производственных запасов организациями, осуществляющими торговую деятельность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Затраты по заготовке и доставке товаров до центральных складов (баз), производимые до момента их передачи в продажу учитывать в составе расходов на продажу (счет 44 "Расходы на продажу").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6, 13 ПБУ 5/01 "Учет материально-производственных запасов" (утв. Приказом Минфина РФ от </w:t>
            </w:r>
            <w:smartTag w:uri="urn:schemas-microsoft-com:office:smarttags" w:element="metricconverter">
              <w:smartTagPr>
                <w:attr w:name="ProductID" w:val="09.062001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09.062001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44н)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списания материально-производственных запасов (включая товары, кроме учитываемых по продажным ценам)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средней себестоимости.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D102B3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58, 60 "Положения по ведению бухгалтерского учета и бухгалтерской отчетности в РФ" (утв. приказом МФ РФ от 29.07.1998 г. N 34н.)п. 16 ПБУ 5/01 "Учет материально-производственных запасов" (утв. Приказом Минфина РФ от </w:t>
            </w:r>
            <w:smartTag w:uri="urn:schemas-microsoft-com:office:smarttags" w:element="metricconverter">
              <w:smartTagPr>
                <w:attr w:name="ProductID" w:val="09.062001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09.062001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44н)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D102B3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lastRenderedPageBreak/>
              <w:br w:type="page"/>
            </w:r>
            <w:r w:rsidR="00002528"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Синтетический учет заготовления материалов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фактической себестоимости заготовления.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 счетов бухгалтерского учета финансово-хозяйственной деятельности организаций (утв. приказом Минфина РФ от 31 октября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94н)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Синтетический учет полуфабрикатов собственного производства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использования счета 21 и отражением полуфабрикатов собственного производства в составе незавершенного производства на счете 20.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Инструкция по применению Плана счетов бухгалтерского учета финансово-хозяйственной деятельности организаций (утв. приказом Минфина РФ от 31 октября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94н) (пояснения к счету 21)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Списание затрат по ремонту основных средств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сразу на издержки производства и обращения.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п.72 "Положения по ведению бухгалтерского учета и бухгалтерской отчетности в РФ" (утв. приказом МФ РФ от 29.07.1998 г. N 34н)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Инструкция по применению Плана счетов бухгалтерского учета финансово-хозяйственной деятельности организаций (утв. приказом Минфина РФ от 31 октября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94н)</w:t>
            </w:r>
          </w:p>
        </w:tc>
      </w:tr>
    </w:tbl>
    <w:p w:rsidR="00D102B3" w:rsidRDefault="00D102B3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678"/>
        <w:gridCol w:w="2835"/>
      </w:tblGrid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База распределения общепроизводственных расходов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Общепроизводственные расходы распределяются между объектами калькулирования себестоимости пропорционально прямым статьям затрат.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Отраслевые методические рекомендации по вопросам планирования, учета и калькулирования себестоимости продукции (работ, услуг)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Списание общехозяйственных расходов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общехозяйственные расходы в качестве условно-постоянных ежемесячно списываются Д-т сч. 90 "Продажи".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Инструкция по применению Плана счетов бухгалтерского учета финансово-хозяйственной деятельности организаций (утв. приказом Минфина РФ от 31 октября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94н) (пояснения к счету 26)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готовой продукции, отгруженной продукции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 готовой продукции ведется по фактической производственной себестоимости (счет 40 "Выпуск продукции (работ, услуг)" не используется).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59, 61 "Положения по ведению бухгалтерского учета и бухгалтерской отчетности в РФ", утв. приказом МФ РФ от 29.07.1998 г. N 34н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расходов на продажу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продажу (счет 44) полностью списываются в дебет счета 90 "Продажи".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Инструкция по применению Плана счетов бухгалтерского учета финансово-хозяйственной деятельности организаций (утв. приказом Минфина РФ от 31 октября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94н) (пояснения к счету 44)</w:t>
            </w:r>
          </w:p>
        </w:tc>
      </w:tr>
    </w:tbl>
    <w:p w:rsidR="00D102B3" w:rsidRDefault="00D102B3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678"/>
        <w:gridCol w:w="2835"/>
      </w:tblGrid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незавершенного производства в массовом и серийном производстве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фактической себестоимости.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64 "Положения по ведению бухгалтерского учета и бухгалтерской отчетности в РФ" (утв. приказом МФ РФ от 29.07.1998 г. N 34н)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товаров в организациях розничной торговли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покупным ценам.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60 "Положения по ведению бухгалтерского учета и бухгалтерской отчетности в РФ" (утв. приказом МФ РФ от 29.07.1998 г. N 34н)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13 ПБУ 5/01 "Учет материально-производственных запасов" (утв. Приказом Минфина РФ от </w:t>
            </w:r>
            <w:smartTag w:uri="urn:schemas-microsoft-com:office:smarttags" w:element="metricconverter">
              <w:smartTagPr>
                <w:attr w:name="ProductID" w:val="09.062001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09.062001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44н)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выручки от выполнения работ, оказания услуг, продажи продукции с длительным циклом изготовления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завершению выполнения работы, оказания услуги, изготовления продукции в целом.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13 и п. 17 ПБУ 9/99 "Доходы организации" (утв. Приказом Минфина РФ от 6 мая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EC646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1999 г</w:t>
              </w:r>
            </w:smartTag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N 32н)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резервов за счет себестоимости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создает резервы: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 на предстоящую оплату отпусков в размере 10% от начисленной заработной платы.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72 "Положения по ведению бухгалтерского учета и бухгалтерской отчетности в РФ" (утв. приказом МФ РФ от 29.07.1998 г. N 34н)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102B3" w:rsidRDefault="00D102B3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678"/>
        <w:gridCol w:w="2835"/>
      </w:tblGrid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резервов за счет финансовых результатов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создает резервы:</w:t>
            </w:r>
          </w:p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 по сомнительным долгам.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45, 70 "Положения по ведению бухгалтерского учета и бухгалтерской отчетности в РФ" (утв. приказом МФ РФ от 29.07.1998 г. N 34н)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 процентов по выданным векселям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Проценты по выданным векселям учитываются в составе прочих расходов в тех отчетных периодах, к которым относятся данные начисления.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15 ПБУ 15/2008 "Учет расходов по займам и кредитам" (утв. Приказом Минфина РФ от 06.10.2008 г. N 107н)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 процентов (дисконта) по причитающимся к оплате облигациям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Проценты по причитающимся к оплате облигациям учитываются в составе прочих расходов в тех отчетных периодах, к которым относятся данные начисления.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16 ПБУ 15/2008 "Учет расходов по займам и кредитам" (утв. Приказом Минфина РФ от 06.10.2008 г. N 107н)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определения стоимости финансового актива при его выбытии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 по первоначальной стоимости каждой единицы бухгалтерского учета финансовых вложени.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26 ПБУ 19/02 "Учет финансовых вложений " (утв. Приказом Минфина РФ от 10.12.2002 г. N 126н)</w:t>
            </w:r>
          </w:p>
        </w:tc>
      </w:tr>
      <w:tr w:rsidR="00002528" w:rsidRPr="00002528" w:rsidTr="00D102B3"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Отражение в бухгалтерской отчетности прочих доходов и расходов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отражаются в отчете прибылях и убытках развернуто.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18.2 ПБУ 9/99 "Доходы организации" (утв. Приказом Минфина РФ от 06.05.1999 г. N 32н)</w:t>
            </w:r>
          </w:p>
        </w:tc>
      </w:tr>
      <w:tr w:rsidR="00002528" w:rsidRPr="00002528" w:rsidTr="00D102B3">
        <w:trPr>
          <w:trHeight w:val="1731"/>
        </w:trPr>
        <w:tc>
          <w:tcPr>
            <w:tcW w:w="2376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ПБУ 18/02 "Учет расчетов по налогу на прибыль" малыми предприятиями</w:t>
            </w:r>
          </w:p>
        </w:tc>
        <w:tc>
          <w:tcPr>
            <w:tcW w:w="4678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ПБУ 18/02 "Учет расчетов по налогу на прибыль" не применять.</w:t>
            </w:r>
          </w:p>
        </w:tc>
        <w:tc>
          <w:tcPr>
            <w:tcW w:w="2835" w:type="dxa"/>
            <w:shd w:val="clear" w:color="auto" w:fill="auto"/>
          </w:tcPr>
          <w:p w:rsidR="00002528" w:rsidRPr="00EC6464" w:rsidRDefault="00002528" w:rsidP="0000252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2 ПБУ 18/02 "Учет расчетов по налогу на прибыль" (утв. Приказом Минфина РФ от 19.11.2002 г. N 114н)</w:t>
            </w:r>
          </w:p>
        </w:tc>
      </w:tr>
    </w:tbl>
    <w:p w:rsidR="00002528" w:rsidRPr="00002528" w:rsidRDefault="00002528" w:rsidP="00002528">
      <w:pPr>
        <w:spacing w:after="0" w:line="0" w:lineRule="atLeast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D01FC4" w:rsidRDefault="00002528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  <w:r w:rsidRPr="00002528">
        <w:rPr>
          <w:rStyle w:val="blk"/>
          <w:rFonts w:ascii="Times New Roman" w:hAnsi="Times New Roman" w:cs="Times New Roman"/>
          <w:sz w:val="28"/>
          <w:szCs w:val="28"/>
        </w:rPr>
        <w:lastRenderedPageBreak/>
        <w:t>Учетная политика для целей налогового учета</w:t>
      </w:r>
    </w:p>
    <w:p w:rsidR="00002528" w:rsidRPr="00002528" w:rsidRDefault="00002528" w:rsidP="00002528">
      <w:pPr>
        <w:spacing w:after="0" w:line="0" w:lineRule="atLeast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68"/>
      </w:tblGrid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Элементы учетной политики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Вариант, принятый в организации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t>Основание (законода</w:t>
            </w: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тельные акты и норма</w:t>
            </w:r>
            <w:r w:rsidRPr="00002528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тивные документы)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налогового учета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Налоговый учет в организации ведется на основе регистров бухгалтерского учета с добавлением в них реквизитов, необходимых для налогового учета в соответствии с требованиями Налогового кодекса РФ.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313, 314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2908C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даты получения дохода (расхода)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Налоговый учет в организации ведется по методу начисления.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271, 273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списания сырья и материалов при определении размера материальных расходов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средней себестоимости.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254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оценки стоимости покупных товаров, уменьшающей доходы от их реализации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средней стоимости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268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начисления амортизации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2908C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линейный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259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учета расходов на капитальные вложения в основные средства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увеличивают первоначальн</w:t>
            </w:r>
            <w:r w:rsidR="002908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 стоимость основного средства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9 ст. 258 Налогового кодекса РФ (до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02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2009 г</w:t>
              </w:r>
            </w:smartTag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п. 1.1. ст. 259 НК РФ)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повышенных норм амортизации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D102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повышенные норма амортизации в отношении:· основных средств, которые являются предметом договора финансовой аренды (дого</w:t>
            </w:r>
            <w:r w:rsidR="002908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вора лизинга) – коэффициент 3,0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259.3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Распределение по периодам дохода от реализации в производствах с длительным (более одного года) технологическим циклом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равномерно пропорционально понесенным в отчетном (налоговом) периоде расходам в общих расходах на производство продукта (выполнение работ</w:t>
            </w:r>
            <w:r w:rsidR="002908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ы, оказание услуги)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316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прямых расходов, связанных с производством товаров (выполнением работ, оказанием услуг)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материальные затраты, определяемые в соответствии с пп. 1 и 4 п. 1 ст. 254 НК РФ;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 расходы на оплату труда персонала, участвующего в процессе производства товаров, выполнения работ, оказания услуг;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 расходы на обязательное пенсионное страхование персонала, участвующего в процессе производства товаров, выполнения работ, оказания услуг;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 расходы на обязательное страхование от несчастных случаев на производстве;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 суммы начисленной амортизации по основным средствам, используемым при производстве товаров, работ, услуг.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318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 прямых расходов налогоплательщиками, оказывающими услуги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Прямые расходы, связанные с оказанием услуг в полном объеме относятся на уменьшение доходов от производства и реализации данного отчетного (налогового) периода без распределения на остатки незавершенного производства.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2 ст. 318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D102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распределения прямых расходов на НЗП и на изготовленную в текущем месяце продукцию (выполненные работы, услуги)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прямым статьям расходов.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319 Налогового кодекса РФ</w:t>
            </w:r>
          </w:p>
        </w:tc>
      </w:tr>
    </w:tbl>
    <w:p w:rsidR="00D102B3" w:rsidRDefault="00D102B3"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68"/>
      </w:tblGrid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формирования стоимости приобретения товаров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стоимость приобретения товаров включается cумма всех расходов, указанных в п. 6 ПБУ 5/01 "Учет материально - производственных запасов" (утв. Приказом Минфина РФ от 09.06.2001 N 44н).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320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резервов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резервы:</w:t>
            </w:r>
          </w:p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 предстоящих расходов на оплату отпусков в размере Х% от начисленной заработной платы.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1 ст. 324.1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списания на расходы стоимости выбывших ценных бумаг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2908C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стоимости единицы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9 ст. 280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расчетной цены акции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Расчетная цена акций, не обращающихся на организованном рынке ценных бумаг, в случае отсутствия информации о результатах торгов по аналогичным (идентичным, однородным) ценным бумагам, для целей налогообложения определяется с привлечением оценщика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6 ст. 280 Налогового кодекса РФ</w:t>
            </w:r>
          </w:p>
        </w:tc>
      </w:tr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платежей по налогу на прибыль и авансовых платежей, подлежащих зачислению в доходную часть бюджетов субъектов Российской Федерации и бюджетов муниципальных образований, между обособленными подразделениями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с использованием показателя суммы расходов на оплату труда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2 ст. 288 Налогового кодекса РФ</w:t>
            </w:r>
          </w:p>
        </w:tc>
      </w:tr>
    </w:tbl>
    <w:p w:rsidR="00D102B3" w:rsidRDefault="00D102B3"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68"/>
      </w:tblGrid>
      <w:tr w:rsidR="00002528" w:rsidRPr="00002528" w:rsidTr="002908C8">
        <w:tc>
          <w:tcPr>
            <w:tcW w:w="2376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уплаты ежемесячных авансовых платежей по налогу на прибыль</w:t>
            </w:r>
          </w:p>
        </w:tc>
        <w:tc>
          <w:tcPr>
            <w:tcW w:w="4962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случае, если организация является плательщиком ежемесячных авансовых платежей, осуществлять их уплату в размере 1/3 квартального авансового платежа.</w:t>
            </w:r>
          </w:p>
        </w:tc>
        <w:tc>
          <w:tcPr>
            <w:tcW w:w="2268" w:type="dxa"/>
            <w:shd w:val="clear" w:color="auto" w:fill="auto"/>
          </w:tcPr>
          <w:p w:rsidR="00002528" w:rsidRPr="00002528" w:rsidRDefault="00002528" w:rsidP="0000252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2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2 ст. 286 Налогового кодекса РФ</w:t>
            </w:r>
          </w:p>
        </w:tc>
      </w:tr>
    </w:tbl>
    <w:p w:rsidR="00002528" w:rsidRDefault="00002528" w:rsidP="003105EC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002528" w:rsidRDefault="00002528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Генеральный директор                                                 Юдин С.П.</w:t>
      </w: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3F6CE6" w:rsidRDefault="003F6CE6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EC6464" w:rsidRDefault="00EC646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EC6464" w:rsidRDefault="00EC646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EC6464" w:rsidRDefault="00EC646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EC6464" w:rsidRDefault="00EC646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D102B3" w:rsidRDefault="00D102B3" w:rsidP="00002528">
      <w:pPr>
        <w:spacing w:after="0" w:line="360" w:lineRule="auto"/>
        <w:ind w:firstLine="709"/>
        <w:rPr>
          <w:rStyle w:val="blk"/>
          <w:rFonts w:ascii="Times New Roman" w:hAnsi="Times New Roman" w:cs="Times New Roman"/>
          <w:sz w:val="28"/>
          <w:szCs w:val="28"/>
        </w:rPr>
      </w:pPr>
    </w:p>
    <w:p w:rsidR="008650E4" w:rsidRDefault="008650E4" w:rsidP="008650E4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8650E4">
        <w:rPr>
          <w:rStyle w:val="blk"/>
          <w:rFonts w:ascii="Times New Roman" w:hAnsi="Times New Roman" w:cs="Times New Roman"/>
          <w:b/>
          <w:sz w:val="28"/>
          <w:szCs w:val="28"/>
        </w:rPr>
        <w:lastRenderedPageBreak/>
        <w:t>Часть 2</w:t>
      </w:r>
    </w:p>
    <w:p w:rsidR="00EC6464" w:rsidRPr="008650E4" w:rsidRDefault="00EC6464" w:rsidP="008650E4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8650E4" w:rsidRDefault="008650E4" w:rsidP="008650E4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8650E4">
        <w:rPr>
          <w:rStyle w:val="blk"/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Условие задачи: бухгалтерская служба предприятия состоит из 5-ти человек: главный бухгалтер, зам. гл. бухгалтера, бухгалтер по материальному учету, бухгалтер расчетного стола, счетовод-кассир. В апреле месяце бухгалтерии предстоит выполнить следующие виды работ примерной трудоемкости (час.):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1) оформление табелей выхода на работу, нарядов, путевых листов (35)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2) обработка первичных документов (170)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3) составление квартального отчета (130)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4) оформление краткосрочного кредита (15)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5) разноска учетных данных по бухгалтерским счетам (100)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6) начисление премии и зарплаты (15)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7) выдача премии и зарплаты (30)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8) выверка начисленной зарплаты (5)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9) участие при передаче склада запчастей, проведение инвентаризации (20)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10) прием и выдача денег (12)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11) выверка счетов в других организациях (25)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12) оформление и выписка распорядительных и учетных документов (15)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13) оформление банковских документов (25)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14) подготовка материалов для заседания совета трудового коллектива по итогам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за квартал (40)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Из всего лимита рабочего времени ( час.) используется на: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15) общее руководство - 6% ( 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16) общее делопроизводство - 6% ( 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17) работа с литературой - 6% ( 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lastRenderedPageBreak/>
        <w:t>18) участие в совещаниях - 4% ( 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  <w:lang w:eastAsia="ru-RU"/>
        </w:rPr>
      </w:pPr>
      <w:r w:rsidRPr="003F6CE6">
        <w:rPr>
          <w:rFonts w:ascii="Times New Roman" w:eastAsia="TimesNewRomanPSMT-Identity-H" w:hAnsi="Times New Roman" w:cs="Times New Roman"/>
          <w:sz w:val="28"/>
          <w:szCs w:val="28"/>
          <w:lang w:eastAsia="ru-RU"/>
        </w:rPr>
        <w:t>19) прочие затраты времени - 12% ( )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BoldItalicMT-Id" w:hAnsi="Times New Roman" w:cs="Times New Roman"/>
          <w:bCs/>
          <w:iCs/>
          <w:sz w:val="28"/>
          <w:szCs w:val="28"/>
        </w:rPr>
      </w:pPr>
      <w:r w:rsidRPr="003F6CE6">
        <w:rPr>
          <w:rFonts w:ascii="Times New Roman" w:eastAsia="TimesNewRomanPS-BoldItalicMT-Id" w:hAnsi="Times New Roman" w:cs="Times New Roman"/>
          <w:bCs/>
          <w:iCs/>
          <w:sz w:val="28"/>
          <w:szCs w:val="28"/>
        </w:rPr>
        <w:t>Задание:</w:t>
      </w: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-Identi" w:hAnsi="Times New Roman" w:cs="Times New Roman"/>
          <w:iCs/>
          <w:sz w:val="28"/>
          <w:szCs w:val="28"/>
        </w:rPr>
      </w:pPr>
      <w:r w:rsidRPr="003F6CE6">
        <w:rPr>
          <w:rFonts w:ascii="Times New Roman" w:eastAsia="TimesNewRomanPS-ItalicMT-Identi" w:hAnsi="Times New Roman" w:cs="Times New Roman"/>
          <w:iCs/>
          <w:sz w:val="28"/>
          <w:szCs w:val="28"/>
        </w:rPr>
        <w:t>- разработка личного плана и графика рабочего дня главного бухгалтера.</w:t>
      </w:r>
    </w:p>
    <w:p w:rsid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-Identi" w:hAnsi="Times New Roman" w:cs="Times New Roman"/>
          <w:iCs/>
          <w:sz w:val="28"/>
          <w:szCs w:val="28"/>
        </w:rPr>
      </w:pPr>
      <w:r w:rsidRPr="003F6CE6">
        <w:rPr>
          <w:rFonts w:ascii="Times New Roman" w:eastAsia="TimesNewRomanPS-ItalicMT-Identi" w:hAnsi="Times New Roman" w:cs="Times New Roman"/>
          <w:iCs/>
          <w:sz w:val="28"/>
          <w:szCs w:val="28"/>
        </w:rPr>
        <w:t>Решение</w:t>
      </w:r>
      <w:r>
        <w:rPr>
          <w:rFonts w:ascii="Times New Roman" w:eastAsia="TimesNewRomanPS-ItalicMT-Identi" w:hAnsi="Times New Roman" w:cs="Times New Roman"/>
          <w:iCs/>
          <w:sz w:val="28"/>
          <w:szCs w:val="28"/>
        </w:rPr>
        <w:t>.</w:t>
      </w:r>
    </w:p>
    <w:p w:rsid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-Identi" w:hAnsi="Times New Roman" w:cs="Times New Roman"/>
          <w:iCs/>
          <w:sz w:val="28"/>
          <w:szCs w:val="28"/>
        </w:rPr>
      </w:pPr>
      <w:r>
        <w:rPr>
          <w:rFonts w:ascii="Times New Roman" w:eastAsia="TimesNewRomanPS-ItalicMT-Identi" w:hAnsi="Times New Roman" w:cs="Times New Roman"/>
          <w:iCs/>
          <w:sz w:val="28"/>
          <w:szCs w:val="28"/>
        </w:rPr>
        <w:t>Личный план и график рабочего дня главного бухгалтера на рабочий день представлен в таблице 2.</w:t>
      </w:r>
    </w:p>
    <w:p w:rsid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-ItalicMT-Identi" w:hAnsi="Times New Roman" w:cs="Times New Roman"/>
          <w:iCs/>
          <w:sz w:val="28"/>
          <w:szCs w:val="28"/>
        </w:rPr>
      </w:pPr>
      <w:r>
        <w:rPr>
          <w:rFonts w:ascii="Times New Roman" w:eastAsia="TimesNewRomanPS-ItalicMT-Identi" w:hAnsi="Times New Roman" w:cs="Times New Roman"/>
          <w:iCs/>
          <w:sz w:val="28"/>
          <w:szCs w:val="28"/>
        </w:rPr>
        <w:t>Таблица 2</w:t>
      </w:r>
    </w:p>
    <w:tbl>
      <w:tblPr>
        <w:tblStyle w:val="a5"/>
        <w:tblW w:w="0" w:type="auto"/>
        <w:tblInd w:w="108" w:type="dxa"/>
        <w:tblLook w:val="04A0"/>
      </w:tblPr>
      <w:tblGrid>
        <w:gridCol w:w="1418"/>
        <w:gridCol w:w="1701"/>
        <w:gridCol w:w="6344"/>
      </w:tblGrid>
      <w:tr w:rsidR="000F0A3E" w:rsidTr="005E17A3">
        <w:tc>
          <w:tcPr>
            <w:tcW w:w="3119" w:type="dxa"/>
            <w:gridSpan w:val="2"/>
            <w:shd w:val="clear" w:color="auto" w:fill="auto"/>
          </w:tcPr>
          <w:p w:rsidR="000F0A3E" w:rsidRP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 w:rsidRPr="00677E59"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Время</w:t>
            </w:r>
          </w:p>
        </w:tc>
        <w:tc>
          <w:tcPr>
            <w:tcW w:w="6344" w:type="dxa"/>
            <w:vMerge w:val="restart"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Наименование работы</w:t>
            </w:r>
          </w:p>
        </w:tc>
      </w:tr>
      <w:tr w:rsidR="000F0A3E" w:rsidTr="00677E59">
        <w:tc>
          <w:tcPr>
            <w:tcW w:w="1418" w:type="dxa"/>
            <w:shd w:val="clear" w:color="auto" w:fill="auto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до</w:t>
            </w:r>
          </w:p>
        </w:tc>
        <w:tc>
          <w:tcPr>
            <w:tcW w:w="6344" w:type="dxa"/>
            <w:vMerge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8-00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8-10</w:t>
            </w:r>
          </w:p>
        </w:tc>
        <w:tc>
          <w:tcPr>
            <w:tcW w:w="6344" w:type="dxa"/>
          </w:tcPr>
          <w:p w:rsidR="00677E59" w:rsidRDefault="000F0A3E" w:rsidP="000F0A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Участие в совещание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8-10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8-20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формление и выписка распорядительных и учетных документов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8-20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12-00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оставление квартального отчета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12-00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12-45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Обед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12-45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14-00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оставление квартального отчета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14-00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15-00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одготовка материалов для заседания совета трудового коллектива по итогам за квартал</w:t>
            </w:r>
          </w:p>
        </w:tc>
      </w:tr>
      <w:tr w:rsidR="00677E59" w:rsidTr="00677E59">
        <w:tc>
          <w:tcPr>
            <w:tcW w:w="1418" w:type="dxa"/>
            <w:shd w:val="clear" w:color="auto" w:fill="auto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15-00</w:t>
            </w:r>
          </w:p>
        </w:tc>
        <w:tc>
          <w:tcPr>
            <w:tcW w:w="1701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15-40</w:t>
            </w:r>
          </w:p>
        </w:tc>
        <w:tc>
          <w:tcPr>
            <w:tcW w:w="6344" w:type="dxa"/>
          </w:tcPr>
          <w:p w:rsidR="00677E59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одготовка материалов для заседания совета трудового коллектива по итогам за квартал</w:t>
            </w:r>
          </w:p>
        </w:tc>
      </w:tr>
      <w:tr w:rsidR="000F0A3E" w:rsidTr="00677E59">
        <w:tc>
          <w:tcPr>
            <w:tcW w:w="1418" w:type="dxa"/>
            <w:shd w:val="clear" w:color="auto" w:fill="auto"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15-40</w:t>
            </w:r>
          </w:p>
        </w:tc>
        <w:tc>
          <w:tcPr>
            <w:tcW w:w="1701" w:type="dxa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15-55</w:t>
            </w:r>
          </w:p>
        </w:tc>
        <w:tc>
          <w:tcPr>
            <w:tcW w:w="6344" w:type="dxa"/>
          </w:tcPr>
          <w:p w:rsidR="000F0A3E" w:rsidRPr="00677E59" w:rsidRDefault="000F0A3E" w:rsidP="005E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бщее руководство</w:t>
            </w:r>
          </w:p>
        </w:tc>
      </w:tr>
      <w:tr w:rsidR="000F0A3E" w:rsidTr="00677E59">
        <w:tc>
          <w:tcPr>
            <w:tcW w:w="1418" w:type="dxa"/>
            <w:shd w:val="clear" w:color="auto" w:fill="auto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15-55</w:t>
            </w:r>
          </w:p>
        </w:tc>
        <w:tc>
          <w:tcPr>
            <w:tcW w:w="1701" w:type="dxa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16-10</w:t>
            </w:r>
          </w:p>
        </w:tc>
        <w:tc>
          <w:tcPr>
            <w:tcW w:w="6344" w:type="dxa"/>
          </w:tcPr>
          <w:p w:rsidR="000F0A3E" w:rsidRPr="00677E59" w:rsidRDefault="000F0A3E" w:rsidP="005E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бщее делопроизводство</w:t>
            </w:r>
          </w:p>
        </w:tc>
      </w:tr>
      <w:tr w:rsidR="000F0A3E" w:rsidTr="00677E59">
        <w:tc>
          <w:tcPr>
            <w:tcW w:w="1418" w:type="dxa"/>
            <w:shd w:val="clear" w:color="auto" w:fill="auto"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16-10</w:t>
            </w:r>
          </w:p>
        </w:tc>
        <w:tc>
          <w:tcPr>
            <w:tcW w:w="1701" w:type="dxa"/>
          </w:tcPr>
          <w:p w:rsidR="000F0A3E" w:rsidRDefault="000F0A3E" w:rsidP="000F0A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16-25</w:t>
            </w:r>
          </w:p>
        </w:tc>
        <w:tc>
          <w:tcPr>
            <w:tcW w:w="6344" w:type="dxa"/>
          </w:tcPr>
          <w:p w:rsidR="000F0A3E" w:rsidRPr="00677E59" w:rsidRDefault="000F0A3E" w:rsidP="005E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абота с литературой</w:t>
            </w:r>
          </w:p>
        </w:tc>
      </w:tr>
      <w:tr w:rsidR="000F0A3E" w:rsidTr="00677E59">
        <w:tc>
          <w:tcPr>
            <w:tcW w:w="1418" w:type="dxa"/>
            <w:shd w:val="clear" w:color="auto" w:fill="auto"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16-25</w:t>
            </w:r>
          </w:p>
        </w:tc>
        <w:tc>
          <w:tcPr>
            <w:tcW w:w="1701" w:type="dxa"/>
          </w:tcPr>
          <w:p w:rsidR="000F0A3E" w:rsidRDefault="000F0A3E" w:rsidP="003F6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NewRomanPS-ItalicMT-Identi" w:hAnsi="Times New Roman" w:cs="Times New Roman"/>
                <w:iCs/>
                <w:sz w:val="28"/>
                <w:szCs w:val="28"/>
              </w:rPr>
              <w:t>17-00</w:t>
            </w:r>
          </w:p>
        </w:tc>
        <w:tc>
          <w:tcPr>
            <w:tcW w:w="6344" w:type="dxa"/>
          </w:tcPr>
          <w:p w:rsidR="000F0A3E" w:rsidRPr="00677E59" w:rsidRDefault="000F0A3E" w:rsidP="005E1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77E59">
              <w:rPr>
                <w:rFonts w:ascii="Times New Roman" w:hAnsi="Times New Roman" w:cs="Times New Roman"/>
                <w:sz w:val="28"/>
                <w:szCs w:val="28"/>
              </w:rPr>
              <w:t>рочие затраты времени</w:t>
            </w:r>
          </w:p>
        </w:tc>
      </w:tr>
    </w:tbl>
    <w:p w:rsid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D102B3" w:rsidRDefault="00D102B3" w:rsidP="003F6C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D102B3" w:rsidRDefault="00D102B3" w:rsidP="003F6C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D102B3" w:rsidRDefault="00D102B3" w:rsidP="003F6C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3F6CE6" w:rsidRDefault="000F0A3E" w:rsidP="003F6C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-ItalicMT-Identi" w:hAnsi="Times New Roman" w:cs="Times New Roman"/>
          <w:iCs/>
          <w:sz w:val="28"/>
          <w:szCs w:val="28"/>
        </w:rPr>
      </w:pPr>
      <w:r>
        <w:rPr>
          <w:rFonts w:ascii="Times New Roman" w:eastAsia="TimesNewRomanPS-ItalicMT-Identi" w:hAnsi="Times New Roman" w:cs="Times New Roman"/>
          <w:iCs/>
          <w:sz w:val="28"/>
          <w:szCs w:val="28"/>
        </w:rPr>
        <w:lastRenderedPageBreak/>
        <w:t>Таблица 3</w:t>
      </w:r>
    </w:p>
    <w:tbl>
      <w:tblPr>
        <w:tblW w:w="5000" w:type="pct"/>
        <w:tblLook w:val="04A0"/>
      </w:tblPr>
      <w:tblGrid>
        <w:gridCol w:w="2011"/>
        <w:gridCol w:w="1345"/>
        <w:gridCol w:w="1464"/>
        <w:gridCol w:w="1962"/>
        <w:gridCol w:w="1471"/>
        <w:gridCol w:w="1318"/>
      </w:tblGrid>
      <w:tr w:rsidR="003F6CE6" w:rsidRPr="00677E59" w:rsidTr="00D102B3">
        <w:trPr>
          <w:trHeight w:val="780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зам. гл. бухгалтера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бухгалтер по материальному учету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бухгалтер расчетного стола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счетовод-кассир</w:t>
            </w:r>
          </w:p>
        </w:tc>
      </w:tr>
      <w:tr w:rsidR="003F6CE6" w:rsidRPr="00677E59" w:rsidTr="00D102B3">
        <w:trPr>
          <w:trHeight w:val="585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оформление табелей выхода на работу, нарядов, путевых листов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45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обработка первичных документов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F6CE6" w:rsidRPr="00677E59" w:rsidTr="00D102B3">
        <w:trPr>
          <w:trHeight w:val="36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составление квартального отчета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255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оформление краткосрочного кредита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375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разноска учетных данных по бухгалтерским счетам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345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начисление премии и зарплаты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315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выдача премии и зарплаты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D102B3" w:rsidRDefault="00D102B3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1263"/>
        <w:gridCol w:w="1378"/>
        <w:gridCol w:w="1857"/>
        <w:gridCol w:w="1386"/>
        <w:gridCol w:w="1239"/>
      </w:tblGrid>
      <w:tr w:rsidR="003F6CE6" w:rsidRPr="00677E59" w:rsidTr="00D102B3">
        <w:trPr>
          <w:trHeight w:val="34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выверка начисленной зарплаты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100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участие при передаче склада запчастей, проведение инвентаризации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37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прием и выдача денег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F6CE6" w:rsidRPr="00677E59" w:rsidTr="00D102B3">
        <w:trPr>
          <w:trHeight w:val="360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выверка счетов в других организациях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94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оформление и выписка распорядительных и учетных документов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6CE6" w:rsidRPr="00677E59" w:rsidTr="00D102B3">
        <w:trPr>
          <w:trHeight w:val="43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оформление банковских документов</w:t>
            </w:r>
          </w:p>
        </w:tc>
        <w:tc>
          <w:tcPr>
            <w:tcW w:w="68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0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4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F6CE6" w:rsidRPr="00677E59" w:rsidTr="00D102B3">
        <w:trPr>
          <w:trHeight w:val="1099"/>
        </w:trPr>
        <w:tc>
          <w:tcPr>
            <w:tcW w:w="1179" w:type="pct"/>
            <w:hideMark/>
          </w:tcPr>
          <w:p w:rsidR="003F6CE6" w:rsidRPr="000F0A3E" w:rsidRDefault="003F6C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для заседания совета трудового коллектива по итогам за квартал</w:t>
            </w:r>
          </w:p>
        </w:tc>
        <w:tc>
          <w:tcPr>
            <w:tcW w:w="680" w:type="pct"/>
            <w:hideMark/>
          </w:tcPr>
          <w:p w:rsidR="003F6CE6" w:rsidRPr="000F0A3E" w:rsidRDefault="00B214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0" w:type="pct"/>
            <w:hideMark/>
          </w:tcPr>
          <w:p w:rsidR="003F6CE6" w:rsidRPr="000F0A3E" w:rsidRDefault="00B214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0" w:type="pct"/>
            <w:hideMark/>
          </w:tcPr>
          <w:p w:rsidR="003F6CE6" w:rsidRPr="000F0A3E" w:rsidRDefault="00B2143F" w:rsidP="00B214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4" w:type="pct"/>
            <w:hideMark/>
          </w:tcPr>
          <w:p w:rsidR="003F6CE6" w:rsidRPr="000F0A3E" w:rsidRDefault="00B2143F" w:rsidP="00B214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7E59" w:rsidRPr="00677E59" w:rsidTr="00D102B3">
        <w:trPr>
          <w:trHeight w:val="390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общее руководство</w:t>
            </w:r>
          </w:p>
        </w:tc>
        <w:tc>
          <w:tcPr>
            <w:tcW w:w="68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hideMark/>
          </w:tcPr>
          <w:p w:rsidR="003F6CE6" w:rsidRPr="000F0A3E" w:rsidRDefault="003F6CE6" w:rsidP="00677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77E59"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7E59" w:rsidRPr="00677E59" w:rsidTr="00D102B3">
        <w:trPr>
          <w:trHeight w:val="330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общее делопроизводство</w:t>
            </w:r>
          </w:p>
        </w:tc>
        <w:tc>
          <w:tcPr>
            <w:tcW w:w="68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6CE6" w:rsidRPr="00677E59" w:rsidTr="00D102B3">
        <w:trPr>
          <w:trHeight w:val="25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работа с литературой</w:t>
            </w:r>
          </w:p>
        </w:tc>
        <w:tc>
          <w:tcPr>
            <w:tcW w:w="68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hideMark/>
          </w:tcPr>
          <w:p w:rsidR="003F6CE6" w:rsidRPr="000F0A3E" w:rsidRDefault="00677E59" w:rsidP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6CE6" w:rsidRPr="00677E59" w:rsidTr="00D102B3">
        <w:trPr>
          <w:trHeight w:val="300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совещаниях</w:t>
            </w:r>
          </w:p>
        </w:tc>
        <w:tc>
          <w:tcPr>
            <w:tcW w:w="68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4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hideMark/>
          </w:tcPr>
          <w:p w:rsidR="003F6CE6" w:rsidRPr="000F0A3E" w:rsidRDefault="003F6CE6" w:rsidP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77E59" w:rsidRPr="000F0A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6CE6" w:rsidRPr="00677E59" w:rsidTr="00D102B3">
        <w:trPr>
          <w:trHeight w:val="375"/>
        </w:trPr>
        <w:tc>
          <w:tcPr>
            <w:tcW w:w="1179" w:type="pct"/>
            <w:hideMark/>
          </w:tcPr>
          <w:p w:rsidR="003F6CE6" w:rsidRPr="000F0A3E" w:rsidRDefault="003F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прочие затраты времени</w:t>
            </w:r>
          </w:p>
        </w:tc>
        <w:tc>
          <w:tcPr>
            <w:tcW w:w="68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40" w:type="pct"/>
            <w:hideMark/>
          </w:tcPr>
          <w:p w:rsidR="00677E59" w:rsidRPr="000F0A3E" w:rsidRDefault="00677E59" w:rsidP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0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4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hideMark/>
          </w:tcPr>
          <w:p w:rsidR="003F6CE6" w:rsidRPr="000F0A3E" w:rsidRDefault="00677E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0A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3F6CE6" w:rsidRPr="003F6CE6" w:rsidRDefault="003F6CE6" w:rsidP="003F6C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-Identi" w:hAnsi="Times New Roman" w:cs="Times New Roman"/>
          <w:iCs/>
          <w:sz w:val="28"/>
          <w:szCs w:val="28"/>
        </w:rPr>
      </w:pPr>
    </w:p>
    <w:p w:rsidR="008650E4" w:rsidRDefault="008650E4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D102B3" w:rsidRDefault="00D102B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Default="005E17A3" w:rsidP="003F6CE6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5E17A3" w:rsidRPr="005E17A3" w:rsidRDefault="005E17A3" w:rsidP="005E17A3">
      <w:pPr>
        <w:spacing w:after="0" w:line="360" w:lineRule="auto"/>
        <w:ind w:firstLine="709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5E17A3">
        <w:rPr>
          <w:rStyle w:val="blk"/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eastAsia="Courier New" w:hAnsi="Times New Roman" w:cs="Times New Roman"/>
          <w:sz w:val="28"/>
          <w:szCs w:val="28"/>
          <w:lang w:eastAsia="ru-RU"/>
        </w:rPr>
        <w:t>Федеральный закон "О бухгалтерском учете" от 06.12.2011 N 402-ФЗ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(финансовый и управленческий): Учебник/Кондраков Н. П., 5-е изд., перераб. и доп. - М.: НИЦ ИНФРА-М, 2016. - 584 с.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учет и аудит: Учебное пособие / Ю.И. Сигидов, М.Ф. Сафонова, Г.Н. Ясменко и др. - М.: НИЦ ИНФРА-М, 2016. - 407 с.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hAnsi="Times New Roman" w:cs="Times New Roman"/>
          <w:sz w:val="28"/>
          <w:szCs w:val="28"/>
        </w:rPr>
        <w:t>Бухгалтерское дело. Швецкая В.М., Головко Н.А.2010.-304 с.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hAnsi="Times New Roman" w:cs="Times New Roman"/>
          <w:sz w:val="28"/>
          <w:szCs w:val="28"/>
        </w:rPr>
        <w:t>Бухгалтерское дело. Бардина И. В.; Юрайт - Москва, 2013. - 288 c.</w:t>
      </w:r>
    </w:p>
    <w:p w:rsidR="005E17A3" w:rsidRPr="005E17A3" w:rsidRDefault="005E17A3" w:rsidP="005E17A3">
      <w:pPr>
        <w:pStyle w:val="a4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hAnsi="Times New Roman" w:cs="Times New Roman"/>
          <w:sz w:val="28"/>
          <w:szCs w:val="28"/>
        </w:rPr>
        <w:t xml:space="preserve">Банковское дело.Жарковская Е. П.; Омега-Л - </w:t>
      </w:r>
      <w:r w:rsidRPr="001A5D5D">
        <w:rPr>
          <w:rFonts w:ascii="Times New Roman" w:hAnsi="Times New Roman" w:cs="Times New Roman"/>
          <w:sz w:val="28"/>
          <w:szCs w:val="28"/>
        </w:rPr>
        <w:t>Москва</w:t>
      </w:r>
      <w:r w:rsidRPr="001A5D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A5D5D">
        <w:rPr>
          <w:rStyle w:val="aa"/>
          <w:rFonts w:ascii="Times New Roman" w:hAnsi="Times New Roman" w:cs="Times New Roman"/>
          <w:b w:val="0"/>
          <w:sz w:val="28"/>
          <w:szCs w:val="28"/>
        </w:rPr>
        <w:t>2014</w:t>
      </w:r>
      <w:r w:rsidRPr="005E17A3">
        <w:rPr>
          <w:rFonts w:ascii="Times New Roman" w:hAnsi="Times New Roman" w:cs="Times New Roman"/>
          <w:sz w:val="28"/>
          <w:szCs w:val="28"/>
        </w:rPr>
        <w:t>. - 456 c</w:t>
      </w:r>
    </w:p>
    <w:p w:rsidR="005E17A3" w:rsidRPr="005E17A3" w:rsidRDefault="005E17A3" w:rsidP="005E17A3">
      <w:pPr>
        <w:pStyle w:val="a4"/>
        <w:numPr>
          <w:ilvl w:val="0"/>
          <w:numId w:val="4"/>
        </w:numPr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5E17A3">
        <w:rPr>
          <w:rFonts w:ascii="Times New Roman" w:eastAsia="Courier New" w:hAnsi="Times New Roman" w:cs="Times New Roman"/>
          <w:sz w:val="28"/>
          <w:szCs w:val="28"/>
          <w:lang w:eastAsia="ru-RU"/>
        </w:rPr>
        <w:t>Компьютерная справочно-правовая система «КОНСУЛЬТАНТ ПЛЮС» http://www.consultant.ru/  Дата обращения 23.10.16 г.</w:t>
      </w:r>
    </w:p>
    <w:p w:rsidR="005E17A3" w:rsidRPr="005E17A3" w:rsidRDefault="005E17A3" w:rsidP="005E17A3">
      <w:pPr>
        <w:pStyle w:val="a4"/>
        <w:widowControl w:val="0"/>
        <w:spacing w:after="0" w:line="360" w:lineRule="auto"/>
        <w:ind w:left="106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5E17A3" w:rsidRPr="008650E4" w:rsidRDefault="005E17A3" w:rsidP="005E17A3">
      <w:pPr>
        <w:spacing w:after="0" w:line="360" w:lineRule="auto"/>
        <w:ind w:firstLine="709"/>
        <w:rPr>
          <w:rStyle w:val="blk"/>
          <w:rFonts w:ascii="Times New Roman" w:hAnsi="Times New Roman" w:cs="Times New Roman"/>
          <w:b/>
          <w:sz w:val="28"/>
          <w:szCs w:val="28"/>
        </w:rPr>
      </w:pPr>
    </w:p>
    <w:sectPr w:rsidR="005E17A3" w:rsidRPr="008650E4" w:rsidSect="00EC646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AA0" w:rsidRDefault="00151AA0" w:rsidP="00EC6464">
      <w:pPr>
        <w:spacing w:after="0" w:line="240" w:lineRule="auto"/>
      </w:pPr>
      <w:r>
        <w:separator/>
      </w:r>
    </w:p>
  </w:endnote>
  <w:endnote w:type="continuationSeparator" w:id="1">
    <w:p w:rsidR="00151AA0" w:rsidRDefault="00151AA0" w:rsidP="00EC6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-I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-Ident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5552156"/>
      <w:docPartObj>
        <w:docPartGallery w:val="Page Numbers (Bottom of Page)"/>
        <w:docPartUnique/>
      </w:docPartObj>
    </w:sdtPr>
    <w:sdtContent>
      <w:p w:rsidR="001A5D5D" w:rsidRDefault="00044CD9">
        <w:pPr>
          <w:pStyle w:val="a8"/>
          <w:jc w:val="center"/>
        </w:pPr>
        <w:r>
          <w:fldChar w:fldCharType="begin"/>
        </w:r>
        <w:r w:rsidR="001A5D5D">
          <w:instrText>PAGE   \* MERGEFORMAT</w:instrText>
        </w:r>
        <w:r>
          <w:fldChar w:fldCharType="separate"/>
        </w:r>
        <w:r w:rsidR="00D168EE">
          <w:rPr>
            <w:noProof/>
          </w:rPr>
          <w:t>9</w:t>
        </w:r>
        <w:r>
          <w:fldChar w:fldCharType="end"/>
        </w:r>
      </w:p>
    </w:sdtContent>
  </w:sdt>
  <w:p w:rsidR="001A5D5D" w:rsidRDefault="001A5D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AA0" w:rsidRDefault="00151AA0" w:rsidP="00EC6464">
      <w:pPr>
        <w:spacing w:after="0" w:line="240" w:lineRule="auto"/>
      </w:pPr>
      <w:r>
        <w:separator/>
      </w:r>
    </w:p>
  </w:footnote>
  <w:footnote w:type="continuationSeparator" w:id="1">
    <w:p w:rsidR="00151AA0" w:rsidRDefault="00151AA0" w:rsidP="00EC6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2607"/>
    <w:multiLevelType w:val="hybridMultilevel"/>
    <w:tmpl w:val="4A749A2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0C6652A1"/>
    <w:multiLevelType w:val="hybridMultilevel"/>
    <w:tmpl w:val="07629D24"/>
    <w:lvl w:ilvl="0" w:tplc="C46862C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A37560"/>
    <w:multiLevelType w:val="hybridMultilevel"/>
    <w:tmpl w:val="73D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52993"/>
    <w:multiLevelType w:val="multilevel"/>
    <w:tmpl w:val="0CE4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35F"/>
    <w:rsid w:val="00002528"/>
    <w:rsid w:val="00044CD9"/>
    <w:rsid w:val="0006017C"/>
    <w:rsid w:val="00065897"/>
    <w:rsid w:val="000F0A3E"/>
    <w:rsid w:val="001376D5"/>
    <w:rsid w:val="00151AA0"/>
    <w:rsid w:val="0016763C"/>
    <w:rsid w:val="001A5D5D"/>
    <w:rsid w:val="002908C8"/>
    <w:rsid w:val="003105EC"/>
    <w:rsid w:val="003F6CE6"/>
    <w:rsid w:val="005E17A3"/>
    <w:rsid w:val="00677E59"/>
    <w:rsid w:val="00696B8D"/>
    <w:rsid w:val="008650E4"/>
    <w:rsid w:val="00A30A93"/>
    <w:rsid w:val="00A34C73"/>
    <w:rsid w:val="00AC7EEE"/>
    <w:rsid w:val="00B2143F"/>
    <w:rsid w:val="00B80D79"/>
    <w:rsid w:val="00BF6CDE"/>
    <w:rsid w:val="00C06E13"/>
    <w:rsid w:val="00CF27E5"/>
    <w:rsid w:val="00D01FC4"/>
    <w:rsid w:val="00D102B3"/>
    <w:rsid w:val="00D168EE"/>
    <w:rsid w:val="00D73052"/>
    <w:rsid w:val="00EC6464"/>
    <w:rsid w:val="00EE58DA"/>
    <w:rsid w:val="00F42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3052"/>
    <w:pPr>
      <w:ind w:left="720"/>
      <w:contextualSpacing/>
    </w:pPr>
  </w:style>
  <w:style w:type="character" w:customStyle="1" w:styleId="blk">
    <w:name w:val="blk"/>
    <w:basedOn w:val="a0"/>
    <w:rsid w:val="00D73052"/>
  </w:style>
  <w:style w:type="table" w:styleId="a5">
    <w:name w:val="Table Grid"/>
    <w:basedOn w:val="a1"/>
    <w:uiPriority w:val="59"/>
    <w:rsid w:val="003F6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C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464"/>
  </w:style>
  <w:style w:type="paragraph" w:styleId="a8">
    <w:name w:val="footer"/>
    <w:basedOn w:val="a"/>
    <w:link w:val="a9"/>
    <w:uiPriority w:val="99"/>
    <w:unhideWhenUsed/>
    <w:rsid w:val="00EC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464"/>
  </w:style>
  <w:style w:type="character" w:styleId="aa">
    <w:name w:val="Strong"/>
    <w:basedOn w:val="a0"/>
    <w:uiPriority w:val="22"/>
    <w:qFormat/>
    <w:rsid w:val="005E17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3052"/>
    <w:pPr>
      <w:ind w:left="720"/>
      <w:contextualSpacing/>
    </w:pPr>
  </w:style>
  <w:style w:type="character" w:customStyle="1" w:styleId="blk">
    <w:name w:val="blk"/>
    <w:basedOn w:val="a0"/>
    <w:rsid w:val="00D73052"/>
  </w:style>
  <w:style w:type="table" w:styleId="a5">
    <w:name w:val="Table Grid"/>
    <w:basedOn w:val="a1"/>
    <w:uiPriority w:val="59"/>
    <w:rsid w:val="003F6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C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464"/>
  </w:style>
  <w:style w:type="paragraph" w:styleId="a8">
    <w:name w:val="footer"/>
    <w:basedOn w:val="a"/>
    <w:link w:val="a9"/>
    <w:uiPriority w:val="99"/>
    <w:unhideWhenUsed/>
    <w:rsid w:val="00EC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464"/>
  </w:style>
  <w:style w:type="character" w:styleId="aa">
    <w:name w:val="Strong"/>
    <w:basedOn w:val="a0"/>
    <w:uiPriority w:val="22"/>
    <w:qFormat/>
    <w:rsid w:val="005E17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39052-32E8-4C51-B63A-BF29D306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3544</Words>
  <Characters>20204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Kir-PC</cp:lastModifiedBy>
  <cp:revision>4</cp:revision>
  <dcterms:created xsi:type="dcterms:W3CDTF">2016-11-23T11:09:00Z</dcterms:created>
  <dcterms:modified xsi:type="dcterms:W3CDTF">2016-12-27T09:55:00Z</dcterms:modified>
</cp:coreProperties>
</file>