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  <w:r w:rsidRPr="001B457B">
        <w:rPr>
          <w:b/>
          <w:sz w:val="28"/>
          <w:szCs w:val="28"/>
        </w:rPr>
        <w:lastRenderedPageBreak/>
        <w:t>Содержание</w:t>
      </w:r>
      <w:r>
        <w:rPr>
          <w:b/>
          <w:sz w:val="28"/>
          <w:szCs w:val="28"/>
        </w:rPr>
        <w:t>:</w:t>
      </w:r>
    </w:p>
    <w:p w:rsidR="005C144D" w:rsidRDefault="005C144D" w:rsidP="005C144D">
      <w:pPr>
        <w:spacing w:line="360" w:lineRule="auto"/>
        <w:jc w:val="center"/>
        <w:rPr>
          <w:b/>
          <w:sz w:val="28"/>
          <w:szCs w:val="28"/>
        </w:rPr>
      </w:pPr>
    </w:p>
    <w:p w:rsidR="005C144D" w:rsidRPr="005C144D" w:rsidRDefault="005C144D" w:rsidP="005C144D">
      <w:pPr>
        <w:pStyle w:val="a3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44D">
        <w:rPr>
          <w:rFonts w:ascii="Times New Roman" w:hAnsi="Times New Roman" w:cs="Times New Roman"/>
          <w:color w:val="000000" w:themeColor="text1"/>
          <w:sz w:val="28"/>
          <w:szCs w:val="28"/>
        </w:rPr>
        <w:t>Кредитование населения: сущность понятия, классификация, риски……3</w:t>
      </w:r>
    </w:p>
    <w:p w:rsidR="005C144D" w:rsidRDefault="005C144D" w:rsidP="005C14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1.2Факторы, определяющие кредитование населения в России и их анализ</w:t>
      </w:r>
      <w:r>
        <w:rPr>
          <w:rFonts w:ascii="Times New Roman" w:hAnsi="Times New Roman" w:cs="Times New Roman"/>
          <w:sz w:val="28"/>
          <w:szCs w:val="28"/>
        </w:rPr>
        <w:t>....7</w:t>
      </w:r>
    </w:p>
    <w:p w:rsidR="005C144D" w:rsidRDefault="005C144D" w:rsidP="005C14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2.Провести сравнительный анализ динамики объема потребительского кредитования и автокредитования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……………………………………………….9</w:t>
      </w:r>
    </w:p>
    <w:p w:rsidR="005C144D" w:rsidRPr="005C144D" w:rsidRDefault="005C144D" w:rsidP="005C1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………………………………………….…..14</w:t>
      </w:r>
    </w:p>
    <w:p w:rsidR="005C144D" w:rsidRDefault="005C144D" w:rsidP="005C14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144D" w:rsidRPr="005C144D" w:rsidRDefault="005C144D" w:rsidP="005C14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144D" w:rsidRPr="005C144D" w:rsidRDefault="005C144D" w:rsidP="005C144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C144D" w:rsidRPr="005C144D" w:rsidRDefault="005C144D" w:rsidP="005C144D">
      <w:pPr>
        <w:pStyle w:val="a3"/>
        <w:spacing w:line="360" w:lineRule="auto"/>
        <w:ind w:left="4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C37E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44D" w:rsidRDefault="005C144D" w:rsidP="005C14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5D7B" w:rsidRPr="00F75D7B" w:rsidRDefault="008004A5" w:rsidP="00F75D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5C144D">
        <w:rPr>
          <w:rFonts w:ascii="Times New Roman" w:hAnsi="Times New Roman" w:cs="Times New Roman"/>
          <w:b/>
          <w:sz w:val="28"/>
          <w:szCs w:val="28"/>
        </w:rPr>
        <w:t>1</w:t>
      </w:r>
      <w:r w:rsidR="00F75D7B" w:rsidRPr="00F75D7B">
        <w:rPr>
          <w:rFonts w:ascii="Times New Roman" w:hAnsi="Times New Roman" w:cs="Times New Roman"/>
          <w:b/>
          <w:sz w:val="28"/>
          <w:szCs w:val="28"/>
        </w:rPr>
        <w:t>Кредитование населения: сущность понятия, классификация, риски.</w:t>
      </w:r>
    </w:p>
    <w:p w:rsidR="00B02B15" w:rsidRDefault="00C37E3E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E3E">
        <w:rPr>
          <w:rFonts w:ascii="Times New Roman" w:hAnsi="Times New Roman" w:cs="Times New Roman"/>
          <w:sz w:val="28"/>
          <w:szCs w:val="28"/>
        </w:rPr>
        <w:t>На данный момент в России понятие «кредитование населения» законодательно не закреплено, однако существует официальное определение «потребительского кредитования». Оно представлено в письме Банка России от 05.05.2008 г. № 52-Т «О «Памятке заемщика по потребительскому кредиту», где потребительский кредит – это кредит, который предоставляет банк физическому лицу на приобретение товаров (работ или услуг) для личных, бытовых или иных непроизводственных нужд</w:t>
      </w:r>
      <w:hyperlink r:id="rId7" w:anchor="_edn4" w:history="1">
        <w:r w:rsidRPr="00C37E3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[1]</w:t>
        </w:r>
      </w:hyperlink>
      <w:r w:rsidRPr="00C37E3E">
        <w:rPr>
          <w:rFonts w:ascii="Times New Roman" w:hAnsi="Times New Roman" w:cs="Times New Roman"/>
          <w:sz w:val="28"/>
          <w:szCs w:val="28"/>
        </w:rPr>
        <w:t>.</w:t>
      </w:r>
    </w:p>
    <w:p w:rsidR="00C37E3E" w:rsidRPr="00C37E3E" w:rsidRDefault="00C37E3E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E3E">
        <w:rPr>
          <w:rFonts w:ascii="Times New Roman" w:hAnsi="Times New Roman" w:cs="Times New Roman"/>
          <w:sz w:val="28"/>
          <w:szCs w:val="28"/>
        </w:rPr>
        <w:t>Проект Федерального закона «О потребительском кредитовании» от 30.03.2012 года не рассматривал понятие «кредитования населения», однако приводил понятие потребительского кредитования, под которым понималось оказание финансовых услуг по предоставлению кредиторами (банками и другими кредитными организациями) потребителям (физическим лицам) денежных средств на основании договора потребительского кредита</w:t>
      </w:r>
      <w:hyperlink r:id="rId8" w:anchor="_edn5" w:history="1">
        <w:r w:rsidRPr="00C37E3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[2]</w:t>
        </w:r>
      </w:hyperlink>
      <w:r w:rsidRPr="00C37E3E">
        <w:rPr>
          <w:rFonts w:ascii="Times New Roman" w:hAnsi="Times New Roman" w:cs="Times New Roman"/>
          <w:sz w:val="28"/>
          <w:szCs w:val="28"/>
        </w:rPr>
        <w:t>.</w:t>
      </w:r>
    </w:p>
    <w:p w:rsidR="00C37E3E" w:rsidRPr="00C37E3E" w:rsidRDefault="00C37E3E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E3E">
        <w:rPr>
          <w:rFonts w:ascii="Times New Roman" w:hAnsi="Times New Roman" w:cs="Times New Roman"/>
          <w:sz w:val="28"/>
          <w:szCs w:val="28"/>
        </w:rPr>
        <w:t xml:space="preserve">Западный ученый М. </w:t>
      </w:r>
      <w:proofErr w:type="spellStart"/>
      <w:r w:rsidRPr="00C37E3E">
        <w:rPr>
          <w:rFonts w:ascii="Times New Roman" w:hAnsi="Times New Roman" w:cs="Times New Roman"/>
          <w:sz w:val="28"/>
          <w:szCs w:val="28"/>
        </w:rPr>
        <w:t>Хаггинс</w:t>
      </w:r>
      <w:proofErr w:type="spellEnd"/>
      <w:r w:rsidRPr="00C37E3E">
        <w:rPr>
          <w:rFonts w:ascii="Times New Roman" w:hAnsi="Times New Roman" w:cs="Times New Roman"/>
          <w:sz w:val="28"/>
          <w:szCs w:val="28"/>
        </w:rPr>
        <w:t xml:space="preserve"> определяет кредит населению, как предоставление товаров или денег в долг, как правило, под процент, стоимостную экономическую категорию, неотъемлемый элементом товарно-денежных отношений.</w:t>
      </w:r>
    </w:p>
    <w:p w:rsidR="00C37E3E" w:rsidRPr="00C37E3E" w:rsidRDefault="00C37E3E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E3E">
        <w:rPr>
          <w:rFonts w:ascii="Times New Roman" w:hAnsi="Times New Roman" w:cs="Times New Roman"/>
          <w:sz w:val="28"/>
          <w:szCs w:val="28"/>
        </w:rPr>
        <w:t xml:space="preserve">Российские ученые Г.Н. Белоглазова и Л.П. </w:t>
      </w:r>
      <w:proofErr w:type="spellStart"/>
      <w:r w:rsidRPr="00C37E3E">
        <w:rPr>
          <w:rFonts w:ascii="Times New Roman" w:hAnsi="Times New Roman" w:cs="Times New Roman"/>
          <w:sz w:val="28"/>
          <w:szCs w:val="28"/>
        </w:rPr>
        <w:t>Кроливецкая</w:t>
      </w:r>
      <w:proofErr w:type="spellEnd"/>
      <w:r w:rsidRPr="00C37E3E">
        <w:rPr>
          <w:rFonts w:ascii="Times New Roman" w:hAnsi="Times New Roman" w:cs="Times New Roman"/>
          <w:sz w:val="28"/>
          <w:szCs w:val="28"/>
        </w:rPr>
        <w:t xml:space="preserve"> дают свое определение «кредитованию населения». Кредиты населению – это кредиты, которые предоставляются потребителям (физическим лицам) в целях приобретения товаров (услуг, работ) для семейных, личных и других нужд, не связанных с ведением предпринимательской деятельности.</w:t>
      </w:r>
      <w:r w:rsidR="00E12EA4">
        <w:rPr>
          <w:rFonts w:ascii="Times New Roman" w:hAnsi="Times New Roman" w:cs="Times New Roman"/>
          <w:sz w:val="28"/>
          <w:szCs w:val="28"/>
        </w:rPr>
        <w:t>[3]</w:t>
      </w:r>
    </w:p>
    <w:p w:rsidR="00C37E3E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Следует отметить, что ученые выделяют такие отличительные характеристики «кредитования населения», как особое целевое направление – покупка товаров потребления, оплата разного рода затрат личного характера, и особый состав субъектов – заемщики – физические лица.</w:t>
      </w:r>
    </w:p>
    <w:p w:rsid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 xml:space="preserve">На сегодняшний день можно сформулировать следующее определение: кредитование населения – это кредитование физических лиц коммерческими банками и другими кредитными и коммерческими организациями для </w:t>
      </w:r>
      <w:r w:rsidRPr="00E12EA4">
        <w:rPr>
          <w:rFonts w:ascii="Times New Roman" w:hAnsi="Times New Roman" w:cs="Times New Roman"/>
          <w:sz w:val="28"/>
          <w:szCs w:val="28"/>
        </w:rPr>
        <w:lastRenderedPageBreak/>
        <w:t>удовлетворения личных, семейных и других нужд, не связанных с предпринимательством, путем финансирования покупок.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D7B">
        <w:rPr>
          <w:rFonts w:ascii="Times New Roman" w:hAnsi="Times New Roman" w:cs="Times New Roman"/>
          <w:i/>
          <w:sz w:val="28"/>
          <w:szCs w:val="28"/>
        </w:rPr>
        <w:t>Потребительские кредиты можно классифицировать по различным критериям: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sz w:val="28"/>
          <w:szCs w:val="28"/>
        </w:rPr>
        <w:t>1. По субъектам кредитной сделки различают следующие виды потребительских ссуд: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а) </w:t>
      </w:r>
      <w:r w:rsidRPr="00F75D7B">
        <w:rPr>
          <w:rFonts w:ascii="Times New Roman" w:hAnsi="Times New Roman" w:cs="Times New Roman"/>
          <w:bCs/>
          <w:sz w:val="28"/>
          <w:szCs w:val="28"/>
        </w:rPr>
        <w:t>по виду кредитора</w:t>
      </w:r>
      <w:r w:rsidRPr="00F75D7B">
        <w:rPr>
          <w:rFonts w:ascii="Times New Roman" w:hAnsi="Times New Roman" w:cs="Times New Roman"/>
          <w:sz w:val="28"/>
          <w:szCs w:val="28"/>
        </w:rPr>
        <w:t> — это ссуды, предоставляемые банками, торговыми организациями, ломбардами, пунктами проката, кредитн</w:t>
      </w:r>
      <w:proofErr w:type="gramStart"/>
      <w:r w:rsidRPr="00F75D7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75D7B">
        <w:rPr>
          <w:rFonts w:ascii="Times New Roman" w:hAnsi="Times New Roman" w:cs="Times New Roman"/>
          <w:sz w:val="28"/>
          <w:szCs w:val="28"/>
        </w:rPr>
        <w:t xml:space="preserve"> потребительскими союзами (КПС);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б) </w:t>
      </w:r>
      <w:r w:rsidRPr="00F75D7B">
        <w:rPr>
          <w:rFonts w:ascii="Times New Roman" w:hAnsi="Times New Roman" w:cs="Times New Roman"/>
          <w:bCs/>
          <w:sz w:val="28"/>
          <w:szCs w:val="28"/>
        </w:rPr>
        <w:t>по виду заемщика</w:t>
      </w:r>
      <w:r w:rsidRPr="00F75D7B">
        <w:rPr>
          <w:rFonts w:ascii="Times New Roman" w:hAnsi="Times New Roman" w:cs="Times New Roman"/>
          <w:sz w:val="28"/>
          <w:szCs w:val="28"/>
        </w:rPr>
        <w:t> — это ссуды, предоставляемые: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всем слоям населения;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определенным социальным группам;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различным возрастным группам;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группам заемщиков, различающимся по уровню доходов, кредитоспособности и платежеспособности;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VIP-клиентам;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студентам;</w:t>
      </w:r>
    </w:p>
    <w:p w:rsidR="00F75D7B" w:rsidRPr="00F75D7B" w:rsidRDefault="00F75D7B" w:rsidP="00F75D7B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молодым семьям.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sz w:val="28"/>
          <w:szCs w:val="28"/>
        </w:rPr>
        <w:t>2. По обеспечению:</w:t>
      </w:r>
    </w:p>
    <w:p w:rsidR="00F75D7B" w:rsidRPr="00F75D7B" w:rsidRDefault="00F75D7B" w:rsidP="00F75D7B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D7B">
        <w:rPr>
          <w:rFonts w:ascii="Times New Roman" w:hAnsi="Times New Roman" w:cs="Times New Roman"/>
          <w:sz w:val="28"/>
          <w:szCs w:val="28"/>
        </w:rPr>
        <w:t>обеспеченные</w:t>
      </w:r>
      <w:proofErr w:type="gramEnd"/>
      <w:r w:rsidRPr="00F75D7B">
        <w:rPr>
          <w:rFonts w:ascii="Times New Roman" w:hAnsi="Times New Roman" w:cs="Times New Roman"/>
          <w:sz w:val="28"/>
          <w:szCs w:val="28"/>
        </w:rPr>
        <w:t xml:space="preserve"> (залогом, гарантиями, поручительствами);</w:t>
      </w:r>
    </w:p>
    <w:p w:rsidR="00F75D7B" w:rsidRPr="00F75D7B" w:rsidRDefault="00F75D7B" w:rsidP="00F75D7B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необеспеченные (бланковые).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sz w:val="28"/>
          <w:szCs w:val="28"/>
        </w:rPr>
        <w:t>3. По методу погашения:</w:t>
      </w:r>
    </w:p>
    <w:p w:rsidR="00F75D7B" w:rsidRPr="00F75D7B" w:rsidRDefault="00F75D7B" w:rsidP="00F75D7B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разовое погашение (текущие счета, открываемые покупателем на срок 1-1,5 месяца в универмагах и других предприятиях розничной торговли, а также кредиты в виде отсрочки платежа);</w:t>
      </w:r>
    </w:p>
    <w:p w:rsidR="00F75D7B" w:rsidRPr="00F75D7B" w:rsidRDefault="00F75D7B" w:rsidP="00F75D7B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 xml:space="preserve">рассрочка платежа (равномерно </w:t>
      </w:r>
      <w:proofErr w:type="gramStart"/>
      <w:r w:rsidRPr="00F75D7B">
        <w:rPr>
          <w:rFonts w:ascii="Times New Roman" w:hAnsi="Times New Roman" w:cs="Times New Roman"/>
          <w:sz w:val="28"/>
          <w:szCs w:val="28"/>
        </w:rPr>
        <w:t>погашаемые</w:t>
      </w:r>
      <w:proofErr w:type="gramEnd"/>
      <w:r w:rsidRPr="00F75D7B">
        <w:rPr>
          <w:rFonts w:ascii="Times New Roman" w:hAnsi="Times New Roman" w:cs="Times New Roman"/>
          <w:sz w:val="28"/>
          <w:szCs w:val="28"/>
        </w:rPr>
        <w:t xml:space="preserve"> (ежемесячно, ежеквартально) и неравномерно погашаемые (сумма платежа меняется)).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sz w:val="28"/>
          <w:szCs w:val="28"/>
        </w:rPr>
        <w:t>4. По условиям предоставления:</w:t>
      </w:r>
    </w:p>
    <w:p w:rsidR="00F75D7B" w:rsidRPr="00F75D7B" w:rsidRDefault="00F75D7B" w:rsidP="00F75D7B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разовый;</w:t>
      </w:r>
    </w:p>
    <w:p w:rsidR="00F75D7B" w:rsidRPr="00F75D7B" w:rsidRDefault="00F75D7B" w:rsidP="00F75D7B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возобновляемый (револьверный).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sz w:val="28"/>
          <w:szCs w:val="28"/>
        </w:rPr>
        <w:lastRenderedPageBreak/>
        <w:t>5. По целевой направленности ссуд (по объектам использования или объектам кредитования):</w:t>
      </w:r>
    </w:p>
    <w:p w:rsidR="00F75D7B" w:rsidRPr="00F75D7B" w:rsidRDefault="00F75D7B" w:rsidP="00F75D7B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 xml:space="preserve">строго целевые (на образование, лечение, строительство или приобретение жилья, </w:t>
      </w:r>
      <w:proofErr w:type="spellStart"/>
      <w:r w:rsidRPr="00F75D7B">
        <w:rPr>
          <w:rFonts w:ascii="Times New Roman" w:hAnsi="Times New Roman" w:cs="Times New Roman"/>
          <w:sz w:val="28"/>
          <w:szCs w:val="28"/>
        </w:rPr>
        <w:t>автокредиты</w:t>
      </w:r>
      <w:proofErr w:type="spellEnd"/>
      <w:r w:rsidRPr="00F75D7B">
        <w:rPr>
          <w:rFonts w:ascii="Times New Roman" w:hAnsi="Times New Roman" w:cs="Times New Roman"/>
          <w:sz w:val="28"/>
          <w:szCs w:val="28"/>
        </w:rPr>
        <w:t>, ипотечные ссуды, на приобретение товаров длительного пользования и пр.);</w:t>
      </w:r>
    </w:p>
    <w:p w:rsidR="00F75D7B" w:rsidRPr="00F75D7B" w:rsidRDefault="00F75D7B" w:rsidP="00F75D7B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без указания цели (на неотложные нужды, в виде овердрафта).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sz w:val="28"/>
          <w:szCs w:val="28"/>
        </w:rPr>
        <w:t>6. По срокам кредитования:</w:t>
      </w:r>
    </w:p>
    <w:p w:rsidR="00F75D7B" w:rsidRPr="00F75D7B" w:rsidRDefault="00F75D7B" w:rsidP="00F75D7B">
      <w:pPr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D7B">
        <w:rPr>
          <w:rFonts w:ascii="Times New Roman" w:hAnsi="Times New Roman" w:cs="Times New Roman"/>
          <w:sz w:val="28"/>
          <w:szCs w:val="28"/>
        </w:rPr>
        <w:t>краткосрочные</w:t>
      </w:r>
      <w:proofErr w:type="gramEnd"/>
      <w:r w:rsidRPr="00F75D7B">
        <w:rPr>
          <w:rFonts w:ascii="Times New Roman" w:hAnsi="Times New Roman" w:cs="Times New Roman"/>
          <w:sz w:val="28"/>
          <w:szCs w:val="28"/>
        </w:rPr>
        <w:t xml:space="preserve"> (до 1 года);</w:t>
      </w:r>
    </w:p>
    <w:p w:rsidR="00F75D7B" w:rsidRPr="00F75D7B" w:rsidRDefault="00F75D7B" w:rsidP="00F75D7B">
      <w:pPr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D7B">
        <w:rPr>
          <w:rFonts w:ascii="Times New Roman" w:hAnsi="Times New Roman" w:cs="Times New Roman"/>
          <w:sz w:val="28"/>
          <w:szCs w:val="28"/>
        </w:rPr>
        <w:t>среднесрочные</w:t>
      </w:r>
      <w:proofErr w:type="gramEnd"/>
      <w:r w:rsidRPr="00F75D7B">
        <w:rPr>
          <w:rFonts w:ascii="Times New Roman" w:hAnsi="Times New Roman" w:cs="Times New Roman"/>
          <w:sz w:val="28"/>
          <w:szCs w:val="28"/>
        </w:rPr>
        <w:t xml:space="preserve"> (до 5 лет);</w:t>
      </w:r>
    </w:p>
    <w:p w:rsidR="00F75D7B" w:rsidRPr="00F75D7B" w:rsidRDefault="00F75D7B" w:rsidP="00F75D7B">
      <w:pPr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D7B">
        <w:rPr>
          <w:rFonts w:ascii="Times New Roman" w:hAnsi="Times New Roman" w:cs="Times New Roman"/>
          <w:sz w:val="28"/>
          <w:szCs w:val="28"/>
        </w:rPr>
        <w:t>долгосрочные</w:t>
      </w:r>
      <w:proofErr w:type="gramEnd"/>
      <w:r w:rsidRPr="00F75D7B">
        <w:rPr>
          <w:rFonts w:ascii="Times New Roman" w:hAnsi="Times New Roman" w:cs="Times New Roman"/>
          <w:sz w:val="28"/>
          <w:szCs w:val="28"/>
        </w:rPr>
        <w:t xml:space="preserve"> (свыше 5 лет).</w:t>
      </w:r>
    </w:p>
    <w:p w:rsidR="00F75D7B" w:rsidRPr="00F75D7B" w:rsidRDefault="00F75D7B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Безусловным лидером на рынке потребительского кредитования в РФ продолжает оставаться сбербанк РФ.</w:t>
      </w:r>
    </w:p>
    <w:p w:rsidR="00E12EA4" w:rsidRPr="00E12EA4" w:rsidRDefault="00E12EA4" w:rsidP="00E12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В банковской деятельности всегда присутствует большое количество рисков, ведь она является чувствительной, как к разным факторам социально-экономического характера, так и к политическим, экологическим и прочим факторам. Наибольшие риски возникают при ведении деятельности по кредитованию населения (физических лиц). Эффективность процесса кредитования населения банками находится в значительной зависимости от правильного управления кредитными рисками.</w:t>
      </w:r>
    </w:p>
    <w:p w:rsidR="00E12EA4" w:rsidRPr="00E12EA4" w:rsidRDefault="00E12EA4" w:rsidP="00E12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Так как за последние десятилетия темпы роста кредитования населения резко выросли, в отечественной и зарубежной экономической литературе все чаще стали поднимать вопросы управления рисками кредитования физических лиц.</w:t>
      </w:r>
    </w:p>
    <w:p w:rsidR="00E12EA4" w:rsidRPr="00F75D7B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bCs/>
          <w:i/>
          <w:iCs/>
          <w:sz w:val="28"/>
          <w:szCs w:val="28"/>
        </w:rPr>
        <w:t>Виды рисков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–         риск целевого использования кредита;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–         риск валютного колебания, инфляционный риск;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–         риск, связанный с жизнедеятельностью заемщика (несчастные случаи, болезнь или смерть клиента);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–         политический риск;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lastRenderedPageBreak/>
        <w:t>–         риск обычного мошенничества и банкротства заемщика обманным путем и т.д.</w:t>
      </w:r>
      <w:hyperlink r:id="rId9" w:anchor="_edn1" w:history="1">
        <w:r w:rsidRPr="00E12EA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[4]</w:t>
        </w:r>
      </w:hyperlink>
    </w:p>
    <w:p w:rsid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 xml:space="preserve">Все это будет и составной частью риска кредитования населения, то есть риска </w:t>
      </w:r>
      <w:proofErr w:type="spellStart"/>
      <w:r w:rsidRPr="00E12EA4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E12EA4">
        <w:rPr>
          <w:rFonts w:ascii="Times New Roman" w:hAnsi="Times New Roman" w:cs="Times New Roman"/>
          <w:sz w:val="28"/>
          <w:szCs w:val="28"/>
        </w:rPr>
        <w:t xml:space="preserve"> заемщиком кредитных средств.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 xml:space="preserve">Если выделить индивидуальный риск в каждом кредите, предоставленном физическому лицу, то он </w:t>
      </w:r>
      <w:proofErr w:type="gramStart"/>
      <w:r w:rsidRPr="00E12EA4">
        <w:rPr>
          <w:rFonts w:ascii="Times New Roman" w:hAnsi="Times New Roman" w:cs="Times New Roman"/>
          <w:sz w:val="28"/>
          <w:szCs w:val="28"/>
        </w:rPr>
        <w:t>окажется достаточно невелик</w:t>
      </w:r>
      <w:proofErr w:type="gramEnd"/>
      <w:r w:rsidRPr="00E12EA4">
        <w:rPr>
          <w:rFonts w:ascii="Times New Roman" w:hAnsi="Times New Roman" w:cs="Times New Roman"/>
          <w:sz w:val="28"/>
          <w:szCs w:val="28"/>
        </w:rPr>
        <w:t xml:space="preserve">. Однако недостаточное качество управления кредитами из совокупности подобных рисков создает существенную проблему для отдельного банка. </w:t>
      </w:r>
      <w:proofErr w:type="gramStart"/>
      <w:r w:rsidRPr="00E12EA4">
        <w:rPr>
          <w:rFonts w:ascii="Times New Roman" w:hAnsi="Times New Roman" w:cs="Times New Roman"/>
          <w:sz w:val="28"/>
          <w:szCs w:val="28"/>
        </w:rPr>
        <w:t>Оценка экспертов показывает, что доля просроченной задолженности по кредитованию населения в портфелях российских банков на конец 2012 года составила 4,6% (при уровне в 5,2%. на начало 2012 года)</w:t>
      </w:r>
      <w:hyperlink r:id="rId10" w:anchor="_edn2" w:history="1">
        <w:r w:rsidR="002138DC" w:rsidRPr="002138D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[5</w:t>
        </w:r>
        <w:r w:rsidRPr="002138D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]</w:t>
        </w:r>
      </w:hyperlink>
      <w:r w:rsidRPr="00E12EA4">
        <w:rPr>
          <w:rFonts w:ascii="Times New Roman" w:hAnsi="Times New Roman" w:cs="Times New Roman"/>
          <w:sz w:val="28"/>
          <w:szCs w:val="28"/>
        </w:rPr>
        <w:t>. В международной практике кредитования оптимальным уровнем просроченных кредитов считается 4-5%. Так как данный коэффициент имеет граничащие показатели, проблемы эффективного управления рисками кредитования населения занимают центральные места в современных теории и практике</w:t>
      </w:r>
      <w:proofErr w:type="gramEnd"/>
      <w:r w:rsidRPr="00E12EA4">
        <w:rPr>
          <w:rFonts w:ascii="Times New Roman" w:hAnsi="Times New Roman" w:cs="Times New Roman"/>
          <w:sz w:val="28"/>
          <w:szCs w:val="28"/>
        </w:rPr>
        <w:t xml:space="preserve"> процесса кредитования физических лиц.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Научная экономическая литература и многие научно-методические публикации приводят разные способы классификации рисков кредитной деятельности. Но риски, непосредственно связанные с кредитованием населения мало изучены в этих источниках.</w:t>
      </w:r>
    </w:p>
    <w:p w:rsidR="00F75D7B" w:rsidRPr="00F75D7B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D7B">
        <w:rPr>
          <w:rFonts w:ascii="Times New Roman" w:hAnsi="Times New Roman" w:cs="Times New Roman"/>
          <w:sz w:val="28"/>
          <w:szCs w:val="28"/>
        </w:rPr>
        <w:t>Среди главных видов риска в процессе кредитования населения банками следует выделить</w:t>
      </w:r>
      <w:r w:rsidR="00F75D7B" w:rsidRPr="00F75D7B">
        <w:rPr>
          <w:rFonts w:ascii="Times New Roman" w:hAnsi="Times New Roman" w:cs="Times New Roman"/>
          <w:sz w:val="28"/>
          <w:szCs w:val="28"/>
        </w:rPr>
        <w:t>:</w:t>
      </w:r>
      <w:r w:rsidRPr="00F75D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D7B" w:rsidRPr="00F75D7B" w:rsidRDefault="00F75D7B" w:rsidP="00F75D7B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процентный риск</w:t>
      </w:r>
    </w:p>
    <w:p w:rsidR="00F75D7B" w:rsidRPr="00F75D7B" w:rsidRDefault="00F75D7B" w:rsidP="00F75D7B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кредитный риск</w:t>
      </w:r>
    </w:p>
    <w:p w:rsidR="00E12EA4" w:rsidRPr="00F75D7B" w:rsidRDefault="00F75D7B" w:rsidP="00F75D7B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портфельный риск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Процентным риском является неопределенность во времени и тенденций изменения процентных ставок в недалеком будущем. Этот риск заключается в том, что средняя стоимость финансовых ресурсов, которые были привлечены для выдачи кредита физическому лицу, может превысить среднюю ставку процентов по кредитам населению.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lastRenderedPageBreak/>
        <w:t>Кредитный риск в виде экономической категории характеризует правовые и экономические отношения между заемщиком и кредитором по поводу процесса перераспределения активов</w:t>
      </w:r>
      <w:hyperlink r:id="rId11" w:anchor="_edn3" w:history="1">
        <w:r w:rsidR="00F75D7B" w:rsidRPr="00F75D7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[6</w:t>
        </w:r>
        <w:r w:rsidRPr="00F75D7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]</w:t>
        </w:r>
      </w:hyperlink>
      <w:r w:rsidRPr="00E12EA4">
        <w:rPr>
          <w:rFonts w:ascii="Times New Roman" w:hAnsi="Times New Roman" w:cs="Times New Roman"/>
          <w:sz w:val="28"/>
          <w:szCs w:val="28"/>
        </w:rPr>
        <w:t>. Широкое понимание кредитного риска олицетворяет полное либо частичное обесценивание актива.</w:t>
      </w:r>
    </w:p>
    <w:p w:rsidR="00E12EA4" w:rsidRPr="00E12EA4" w:rsidRDefault="00E12EA4" w:rsidP="00F75D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t>Портфельный риск относится к рискам структуры кредитного портфеля по физическим лицам определенного банка и структуры его обеспечения. Портфельный риск обычно минимизируют через диверсификацию данного портфеля при обязательном условии диверсификации и структуры его обеспечения.</w:t>
      </w:r>
    </w:p>
    <w:p w:rsidR="00E12EA4" w:rsidRPr="00F75D7B" w:rsidRDefault="005C144D" w:rsidP="00F75D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F75D7B" w:rsidRPr="00F75D7B">
        <w:rPr>
          <w:rFonts w:ascii="Times New Roman" w:hAnsi="Times New Roman" w:cs="Times New Roman"/>
          <w:b/>
          <w:sz w:val="28"/>
          <w:szCs w:val="28"/>
        </w:rPr>
        <w:t>Факторы, определяющие кредитование населения в России и их анализ.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Опираясь на теорию ценообразования, целесообразно рассмотреть условия и качества потребительских кредитов, определяющие спрос населения на них. Закон спроса гласит, что с увеличением цены, спрос на товар уменьшается. Объясняется это наличием следующих моментов</w:t>
      </w:r>
      <w:r>
        <w:rPr>
          <w:rFonts w:ascii="Times New Roman" w:hAnsi="Times New Roman" w:cs="Times New Roman"/>
          <w:sz w:val="28"/>
          <w:szCs w:val="28"/>
        </w:rPr>
        <w:t>[7]</w:t>
      </w:r>
      <w:r w:rsidRPr="004005F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4005F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Эффект психологического восприятия цены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заключается в том, что покупатель чисто психологически</w:t>
      </w:r>
      <w:r w:rsidRPr="004005F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будет покупать товар, если увидит что его цена велика, и приобретет, если цена на него резко снизится.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4005F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Эффект полезности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выражается в том, с потреб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лением каждого нового одно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 и того же продукта, его по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лезность уменьшается и, соответственно, клиенты готовы покупать его за меньшую цену, чем ранее.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Pr="004005F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Эффект дохода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заключается в том, что с увеличением цены на товар спрос на него уменьшается в связи с ограниченностью до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хода, который можно исполь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зовать для его приобретения.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</w:t>
      </w:r>
      <w:r w:rsidRPr="004005F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Эффект замещения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предполагает, что с ростом цены на товар спрос на него уменьшается по причине того, что покупатели начинают при</w:t>
      </w:r>
      <w:r w:rsidRPr="004005F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обретать товары — заменители.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Исходя из этого, можно сде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лать вывод, что основным фак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тором, влияющим на увеличе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ние спроса на потребительс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кий кредит за счет снижения его цены, является психологи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ческое восприятие клиентами этой самой цены.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lastRenderedPageBreak/>
        <w:t>Большое влияние на величи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ну спроса оказывают следую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щие факторы:</w:t>
      </w:r>
    </w:p>
    <w:p w:rsidR="004005F7" w:rsidRPr="004005F7" w:rsidRDefault="004005F7" w:rsidP="004005F7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005F7">
        <w:rPr>
          <w:rFonts w:ascii="Times New Roman" w:eastAsia="Calibri" w:hAnsi="Times New Roman" w:cs="Times New Roman"/>
          <w:iCs/>
          <w:sz w:val="28"/>
          <w:szCs w:val="28"/>
        </w:rPr>
        <w:t>Вкусы или предпочтения потребителей;</w:t>
      </w:r>
    </w:p>
    <w:p w:rsidR="004005F7" w:rsidRPr="004005F7" w:rsidRDefault="004005F7" w:rsidP="004005F7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iCs/>
          <w:sz w:val="28"/>
          <w:szCs w:val="28"/>
        </w:rPr>
        <w:t>Число потребителей на рынке</w:t>
      </w:r>
      <w:r w:rsidRPr="004005F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05F7" w:rsidRPr="004005F7" w:rsidRDefault="004005F7" w:rsidP="004005F7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005F7">
        <w:rPr>
          <w:rFonts w:ascii="Times New Roman" w:eastAsia="Calibri" w:hAnsi="Times New Roman" w:cs="Times New Roman"/>
          <w:iCs/>
          <w:sz w:val="28"/>
          <w:szCs w:val="28"/>
        </w:rPr>
        <w:t>Денежные доходы по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softHyphen/>
        <w:t>требителей;</w:t>
      </w:r>
    </w:p>
    <w:p w:rsidR="004005F7" w:rsidRPr="004005F7" w:rsidRDefault="004005F7" w:rsidP="004005F7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005F7">
        <w:rPr>
          <w:rFonts w:ascii="Times New Roman" w:eastAsia="Calibri" w:hAnsi="Times New Roman" w:cs="Times New Roman"/>
          <w:iCs/>
          <w:sz w:val="28"/>
          <w:szCs w:val="28"/>
        </w:rPr>
        <w:t>Потребительские ожи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softHyphen/>
        <w:t>дания относительно будущих цен и доходов.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Как уже отмечалось, цены на потребительские кредиты фор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мируются при равновесии спро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 xml:space="preserve">са и предложения на них. Ниже приведены 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t>факторы, влияющие на объем предложения потреби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softHyphen/>
        <w:t>тельских кредитов в экономике</w:t>
      </w:r>
      <w:r w:rsidRPr="004005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1.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t>Издержки</w:t>
      </w:r>
      <w:r w:rsidRPr="004005F7">
        <w:rPr>
          <w:rFonts w:ascii="Times New Roman" w:eastAsia="Calibri" w:hAnsi="Times New Roman" w:cs="Times New Roman"/>
          <w:sz w:val="28"/>
          <w:szCs w:val="28"/>
        </w:rPr>
        <w:t>, которые име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ются у кредитных организаций при предоставлении потреби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тельских кредитов, а также по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лучаемая ими маржа (прибыль):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2.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t xml:space="preserve"> Ожидания изменения цен.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3.</w:t>
      </w:r>
      <w:r w:rsidRPr="004005F7">
        <w:rPr>
          <w:rFonts w:ascii="Times New Roman" w:eastAsia="Calibri" w:hAnsi="Times New Roman" w:cs="Times New Roman"/>
          <w:iCs/>
          <w:sz w:val="28"/>
          <w:szCs w:val="28"/>
        </w:rPr>
        <w:t xml:space="preserve"> Число продавцов на рынке.</w:t>
      </w:r>
      <w:r w:rsidRPr="004005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На сегодняшний день в Рос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сии ставки по потребительс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ким кредитам очень высоки. Практически все банки, рабо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тающие на этом рынке за исключением Сбербанка Рос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сии, имеют доходность от кре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 xml:space="preserve">дитных операций в районе 40 — 60% годовых. </w:t>
      </w:r>
    </w:p>
    <w:p w:rsidR="004005F7" w:rsidRPr="004005F7" w:rsidRDefault="004005F7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 xml:space="preserve">Такое положение стало возможно по причине влияния на ценообразование следующих факторов: высокие расходы на организацию процесса выдачи и сопровождения потребительских кредитов; высокие риски </w:t>
      </w:r>
      <w:proofErr w:type="spellStart"/>
      <w:r w:rsidRPr="004005F7">
        <w:rPr>
          <w:rFonts w:ascii="Times New Roman" w:eastAsia="Calibri" w:hAnsi="Times New Roman" w:cs="Times New Roman"/>
          <w:sz w:val="28"/>
          <w:szCs w:val="28"/>
        </w:rPr>
        <w:t>невозврата</w:t>
      </w:r>
      <w:proofErr w:type="spellEnd"/>
      <w:r w:rsidRPr="004005F7">
        <w:rPr>
          <w:rFonts w:ascii="Times New Roman" w:eastAsia="Calibri" w:hAnsi="Times New Roman" w:cs="Times New Roman"/>
          <w:sz w:val="28"/>
          <w:szCs w:val="28"/>
        </w:rPr>
        <w:t>, в том числе из-за возмож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ного возникновения нестабильной ситуации в стране, следствием этого было банкротство большого количества домашних хозяйств; расширение масштабов потребительского кредитования участниками этого рынка, что существенно увеличивает их затраты в связи с освоением новых территорий и повышением качества обслуживания; желание кредиторов получать сверхприбыли за свою ра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боту, как плату за то, что они занимаются этим видом бизнеса; отсутствие рыночной кон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 xml:space="preserve">куренции между банками. </w:t>
      </w:r>
      <w:proofErr w:type="gramStart"/>
      <w:r w:rsidRPr="004005F7">
        <w:rPr>
          <w:rFonts w:ascii="Times New Roman" w:eastAsia="Calibri" w:hAnsi="Times New Roman" w:cs="Times New Roman"/>
          <w:sz w:val="28"/>
          <w:szCs w:val="28"/>
        </w:rPr>
        <w:t>В условиях значительной емко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сти рынка шел процесс не только переманивания клиен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 xml:space="preserve">тов друг у друга, но и привлечения лиц, ранее не пользовавшихся кредитами; </w:t>
      </w:r>
      <w:r w:rsidRPr="004005F7">
        <w:rPr>
          <w:rFonts w:ascii="Times New Roman" w:eastAsia="Calibri" w:hAnsi="Times New Roman" w:cs="Times New Roman"/>
          <w:sz w:val="28"/>
          <w:szCs w:val="28"/>
        </w:rPr>
        <w:tab/>
        <w:t xml:space="preserve">отсутствие у заемщиков и кредиторов </w:t>
      </w:r>
      <w:r w:rsidRPr="004005F7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финансовой куль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туры, что выражается, с одной стороны, в неспособности на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селения посчитать реальные процентные ставки по потре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бительским кредитам, а с другой — в нежелании коммер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ческих банков их раскрывать;</w:t>
      </w:r>
      <w:proofErr w:type="gramEnd"/>
      <w:r w:rsidRPr="004005F7">
        <w:rPr>
          <w:rFonts w:ascii="Times New Roman" w:eastAsia="Calibri" w:hAnsi="Times New Roman" w:cs="Times New Roman"/>
          <w:sz w:val="28"/>
          <w:szCs w:val="28"/>
        </w:rPr>
        <w:t xml:space="preserve">  отсутствие до недавнего времени на законода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тельном уровне норм, обязы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вающих банки информиро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вать клиентов о реальной про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центной ставке по кредитам.</w:t>
      </w:r>
    </w:p>
    <w:p w:rsidR="004005F7" w:rsidRDefault="004005F7" w:rsidP="004005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5F7">
        <w:rPr>
          <w:rFonts w:ascii="Times New Roman" w:eastAsia="Calibri" w:hAnsi="Times New Roman" w:cs="Times New Roman"/>
          <w:sz w:val="28"/>
          <w:szCs w:val="28"/>
        </w:rPr>
        <w:t>Темпы роста объемов потребительского кре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дитования в России не оказались бы такими впечатляющи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ми, как наблюдались до кризисной ситуации, если бы банки озвучивали свои эффективные процентные ставки, так как чисто психологически клиенты не были бы го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товы брать кредиты под 40-70% годовых. В связи с этим кредит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ные организации использовали всевозможные способы сокры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тия реальных процентных ста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>вок, для того чтобы их кредиты выглядели более привлекатель</w:t>
      </w:r>
      <w:r w:rsidRPr="004005F7">
        <w:rPr>
          <w:rFonts w:ascii="Times New Roman" w:eastAsia="Calibri" w:hAnsi="Times New Roman" w:cs="Times New Roman"/>
          <w:sz w:val="28"/>
          <w:szCs w:val="28"/>
        </w:rPr>
        <w:softHyphen/>
        <w:t xml:space="preserve">но. </w:t>
      </w:r>
    </w:p>
    <w:p w:rsidR="008004A5" w:rsidRPr="004005F7" w:rsidRDefault="008004A5" w:rsidP="004005F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2EA4" w:rsidRPr="008004A5" w:rsidRDefault="008004A5" w:rsidP="008004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8004A5">
        <w:rPr>
          <w:rFonts w:ascii="Times New Roman" w:hAnsi="Times New Roman" w:cs="Times New Roman"/>
          <w:b/>
          <w:sz w:val="28"/>
          <w:szCs w:val="28"/>
        </w:rPr>
        <w:t>Провести сравнительный анализ динамики объема потребительского кредитования и автокредитования.</w:t>
      </w:r>
    </w:p>
    <w:p w:rsidR="00C37E3E" w:rsidRDefault="00D51510" w:rsidP="00D51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510">
        <w:rPr>
          <w:rFonts w:ascii="Times New Roman" w:hAnsi="Times New Roman" w:cs="Times New Roman"/>
          <w:sz w:val="28"/>
          <w:szCs w:val="28"/>
        </w:rPr>
        <w:t>В России динамика основных показателей потребительского кредитования в 2014–2015 гг. определялась главным образом ситуацией на внешних рынках, замедлением роста российской экономики,</w:t>
      </w:r>
      <w:r>
        <w:rPr>
          <w:rFonts w:ascii="Times New Roman" w:hAnsi="Times New Roman" w:cs="Times New Roman"/>
          <w:sz w:val="28"/>
          <w:szCs w:val="28"/>
        </w:rPr>
        <w:t xml:space="preserve"> а также изменением курса рубля.[8]</w:t>
      </w:r>
    </w:p>
    <w:p w:rsidR="00D51510" w:rsidRDefault="00D51510" w:rsidP="00D515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510">
        <w:rPr>
          <w:rFonts w:ascii="Times New Roman" w:hAnsi="Times New Roman" w:cs="Times New Roman"/>
          <w:sz w:val="28"/>
          <w:szCs w:val="28"/>
        </w:rPr>
        <w:t>В 2015 году отмечались умеренные темпы прироста кредитования: совокупный объем кредитов экономике (нефинансовым организациям и физическим лицам) возрос на 7,6 % (за 2014 год — на 25,9 %) и составил 44,0 трлн. рублей. Объемы потребительского кредитования в России хотя и характеризуются ежегодным ростом (рис. 1), но п</w:t>
      </w:r>
      <w:r>
        <w:rPr>
          <w:rFonts w:ascii="Times New Roman" w:hAnsi="Times New Roman" w:cs="Times New Roman"/>
          <w:sz w:val="28"/>
          <w:szCs w:val="28"/>
        </w:rPr>
        <w:t>ри этом снижается их темп роста (таблица </w:t>
      </w:r>
      <w:r w:rsidRPr="00D51510">
        <w:rPr>
          <w:rFonts w:ascii="Times New Roman" w:hAnsi="Times New Roman" w:cs="Times New Roman"/>
          <w:sz w:val="28"/>
          <w:szCs w:val="28"/>
        </w:rPr>
        <w:t>1).</w:t>
      </w:r>
    </w:p>
    <w:p w:rsidR="00D51510" w:rsidRDefault="00D51510" w:rsidP="00D51510">
      <w:pPr>
        <w:spacing w:after="0" w:line="360" w:lineRule="auto"/>
        <w:jc w:val="both"/>
        <w:rPr>
          <w:color w:val="333333"/>
          <w:sz w:val="21"/>
          <w:szCs w:val="21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2801557"/>
            <wp:effectExtent l="19050" t="0" r="3175" b="0"/>
            <wp:docPr id="1" name="Рисунок 1" descr="http://moluch.ru/blmcbn/30872/3087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oluch.ru/blmcbn/30872/30872.0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1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1510">
        <w:rPr>
          <w:color w:val="333333"/>
          <w:sz w:val="21"/>
          <w:szCs w:val="21"/>
          <w:shd w:val="clear" w:color="auto" w:fill="FFFFFF"/>
        </w:rPr>
        <w:t xml:space="preserve"> </w:t>
      </w:r>
      <w:r w:rsidRPr="00D51510">
        <w:rPr>
          <w:rFonts w:ascii="Times New Roman" w:hAnsi="Times New Roman" w:cs="Times New Roman"/>
          <w:color w:val="000000" w:themeColor="text1"/>
          <w:shd w:val="clear" w:color="auto" w:fill="FFFFFF"/>
        </w:rPr>
        <w:t>Рис. 1. Объемы потребительского кредитования в России в 2010–2016 гг., млрд</w:t>
      </w:r>
      <w:proofErr w:type="gramStart"/>
      <w:r w:rsidRPr="00D51510">
        <w:rPr>
          <w:rFonts w:ascii="Times New Roman" w:hAnsi="Times New Roman" w:cs="Times New Roman"/>
          <w:color w:val="000000" w:themeColor="text1"/>
          <w:shd w:val="clear" w:color="auto" w:fill="FFFFFF"/>
        </w:rPr>
        <w:t>.р</w:t>
      </w:r>
      <w:proofErr w:type="gramEnd"/>
      <w:r w:rsidRPr="00D51510">
        <w:rPr>
          <w:rFonts w:ascii="Times New Roman" w:hAnsi="Times New Roman" w:cs="Times New Roman"/>
          <w:color w:val="000000" w:themeColor="text1"/>
          <w:shd w:val="clear" w:color="auto" w:fill="FFFFFF"/>
        </w:rPr>
        <w:t>уб.</w:t>
      </w:r>
    </w:p>
    <w:p w:rsidR="00AF5913" w:rsidRDefault="00D51510" w:rsidP="00D5151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1510">
        <w:rPr>
          <w:rFonts w:ascii="Times New Roman" w:hAnsi="Times New Roman" w:cs="Times New Roman"/>
          <w:color w:val="000000" w:themeColor="text1"/>
          <w:sz w:val="28"/>
          <w:szCs w:val="28"/>
        </w:rPr>
        <w:t>Так, до 2013 года наблюдался ежегодный темп роста потребительского кредитования в среднем на 20 %, с 2014 года наблюдается снижение темпов роста на уровне 12 % в год. На 1.04.2016 года объем потребительского</w:t>
      </w:r>
      <w:r w:rsidR="00AF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1510">
        <w:rPr>
          <w:rFonts w:ascii="Times New Roman" w:hAnsi="Times New Roman" w:cs="Times New Roman"/>
          <w:color w:val="000000" w:themeColor="text1"/>
          <w:sz w:val="28"/>
          <w:szCs w:val="28"/>
        </w:rPr>
        <w:t>кредитования ниже уровня соответствующего периода 2015 года на 5,7 %.</w:t>
      </w:r>
      <w:r w:rsidRPr="00D5151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F591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081304" cy="2981325"/>
            <wp:effectExtent l="19050" t="0" r="504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8532" t="26588" r="41440" b="17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304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913" w:rsidRDefault="00AF5913" w:rsidP="00D5151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AF5913">
        <w:rPr>
          <w:rFonts w:ascii="Times New Roman" w:hAnsi="Times New Roman" w:cs="Times New Roman"/>
          <w:color w:val="000000" w:themeColor="text1"/>
        </w:rPr>
        <w:t>Таблица 1 Основные показатели потребительского кредитования в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AF5913">
        <w:rPr>
          <w:rFonts w:ascii="Times New Roman" w:hAnsi="Times New Roman" w:cs="Times New Roman"/>
          <w:color w:val="000000" w:themeColor="text1"/>
        </w:rPr>
        <w:t>России в 2010–2015гг.</w:t>
      </w:r>
    </w:p>
    <w:p w:rsidR="00AF5913" w:rsidRDefault="00AF5913" w:rsidP="00D5151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Кредитование физических лиц снижалось главным образом за счет сокращения необеспеченного потребительского кредитования. Объем задолженности по ипотечным жилищным кредитам (ИЖК) за 2015 год увеличился на 12,9 %, до 4,0 трлн. рублей. По-прежнему доминирует задолженность по кредитам в рублях — 3,9 трлн. рублей (их удельный вес в </w:t>
      </w: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общем объеме ИЖК — 96,7 %). За 2015 год было предоставлено около 700 тыс. ипотечных кредитов (за 2014 год — 1 млн. 13 тыс.). </w:t>
      </w:r>
    </w:p>
    <w:p w:rsidR="00AF5913" w:rsidRDefault="00AF5913" w:rsidP="00D5151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приведенные данные свидетельствуют о заметном снижении объемов кредитования физических лиц в Российской Федерации. Сокращение сектора потребительского кредитования следует рассматривать как устойчивый в среднесрочной перспективе тренд, обусловленный совокупным влиянием ряда факторов: </w:t>
      </w:r>
    </w:p>
    <w:p w:rsidR="00AF5913" w:rsidRDefault="00AF5913" w:rsidP="00D5151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‒ снижение реальных располагаемых денежных доходов населения (на 6,6 % на начало 2016 года в сравнении с 2015 годом), что снижает возможности физических лиц не только осуществлять инвестиционно-сберегательные операции, но и обслуживать долги, а также претендовать на получение банковских кредитов; </w:t>
      </w:r>
    </w:p>
    <w:p w:rsidR="00AF5913" w:rsidRDefault="00AF5913" w:rsidP="00D5151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>‒ рост процентных ставок (среднерыночные значения процентных ставок по потребительским кредитам за 2015 — начало 2016 г</w:t>
      </w:r>
      <w:proofErr w:type="gramStart"/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>оставляли от 16,16 % (нецелевые потребительские кредиты на сумму свыше 300 тыс. руб. сроком до 1 года) до 38,72 % (POS-кредиты на сумму до 30 тыс. руб. сроком до 1 года) вслед за увеличением ключевой ставки Банка России, несмотря на то, что последняя постепенно снижается, положение дел практически не улучшается: спрос на кредиты от потенциальных клиентов заметно упал, но и сами банки ужесточили свои требования;</w:t>
      </w:r>
    </w:p>
    <w:p w:rsidR="00D51510" w:rsidRPr="00AF5913" w:rsidRDefault="00AF5913" w:rsidP="00EA4BE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‒ увеличение доли просроченной задолженности с 4,19 % в январе 2014 г. до 8,22 % на 1.01.2016 г. Вследствие этого банки вынуждены значительно увеличивать резервы и идти на сокращение прибыли. По итогам 2015 г. многие банки, лидирующие на рынке кредитования физических лиц, уменьшили свое присутствие на нем, а особенно те организации, которые ранее специализировались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потребительском </w:t>
      </w:r>
      <w:r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>кредитовании.</w:t>
      </w:r>
      <w:r w:rsidR="00EA4BEF" w:rsidRPr="00EA4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="00EA4BEF" w:rsidRPr="008D0686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</w:rPr>
          <w:t>Автокредитование для российских банков</w:t>
        </w:r>
      </w:hyperlink>
      <w:r w:rsidR="00EA4BEF" w:rsidRPr="00EA4BE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 – не только крупный, но также один из самых перспективных сегментов. Именно этот сектор на протяжении многих лет остается локомотивом, двигающим отечественный кредитный рынок вперед.</w:t>
      </w:r>
      <w:r w:rsidR="00EA4BEF" w:rsidRPr="00AF5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A4BEF" w:rsidRPr="00EA4BEF" w:rsidRDefault="00EA4BEF" w:rsidP="00EA4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4BEF">
        <w:rPr>
          <w:rFonts w:ascii="Times New Roman" w:hAnsi="Times New Roman" w:cs="Times New Roman"/>
          <w:sz w:val="28"/>
          <w:szCs w:val="28"/>
        </w:rPr>
        <w:lastRenderedPageBreak/>
        <w:t>По информации 3 800 кредиторов, передающих сведения в Национальное бюро кредитных историй (НБКИ), во 2 квартале 2016 года количество купленных в кредит автомобилей составило 132,4 тыс. единиц, увеличившись за квартал на 32,7%. Таким образом, доля «кредитных» автомобилей в структуре всего рынка во 2 квартале 2016 года выросла на 6,3 процентного пункта до 43,62%.</w:t>
      </w:r>
      <w:proofErr w:type="gramEnd"/>
    </w:p>
    <w:p w:rsidR="00EA4BEF" w:rsidRPr="00EA4BEF" w:rsidRDefault="00EA4BEF" w:rsidP="00EA4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BEF">
        <w:rPr>
          <w:rFonts w:ascii="Times New Roman" w:hAnsi="Times New Roman" w:cs="Times New Roman"/>
          <w:sz w:val="28"/>
          <w:szCs w:val="28"/>
        </w:rPr>
        <w:t xml:space="preserve">Важно отметить, что по сравнению с аналогичным периодом прошлого года количество выдач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t>автокредитов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 xml:space="preserve"> несколько сократилось. Так, во 2 квартале 2016 года было выдано на 8,31% меньше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t>автокредитов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>, чем во 2 квартале 2015 года. Однако в денежном выражении объемы продаж «кредитных» автомобилей, наоборот, увеличились – на 7,5%.</w:t>
      </w:r>
    </w:p>
    <w:p w:rsidR="00EA4BEF" w:rsidRPr="00EA4BEF" w:rsidRDefault="00EA4BEF" w:rsidP="00EA4B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BEF">
        <w:rPr>
          <w:rFonts w:ascii="Times New Roman" w:hAnsi="Times New Roman" w:cs="Times New Roman"/>
          <w:sz w:val="28"/>
          <w:szCs w:val="28"/>
        </w:rPr>
        <w:t xml:space="preserve">«На фоне некоторого сокращения темпов автомобильных продаж, доля «кредитных» авто продолжает расти, приближаясь к «рекордным» значениям, - считает генеральный директор НБКИ Александр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t>Викулин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 xml:space="preserve">. – Несмотря на неблагоприятную конъюнктуру, банки продолжают активно кредитовать население на покупку автомобилей. Как результат, темпы выдачи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t>автокредитов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 xml:space="preserve"> по сравнению с предыдущими годами снижаются незначительно, а объемы автокредитования в денежном выражении даже растут. По-прежнему важную роль в этом процессе играет государственная программа субсидирования процентных ставок по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t>автокредитам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>. Однако</w:t>
      </w:r>
      <w:proofErr w:type="gramStart"/>
      <w:r w:rsidRPr="00EA4B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A4BEF">
        <w:rPr>
          <w:rFonts w:ascii="Times New Roman" w:hAnsi="Times New Roman" w:cs="Times New Roman"/>
          <w:sz w:val="28"/>
          <w:szCs w:val="28"/>
        </w:rPr>
        <w:t xml:space="preserve"> инфляция и снижение реальных доходов населения продолжают оказывать давление на рынок автокредитования».</w:t>
      </w:r>
    </w:p>
    <w:p w:rsidR="00EA4BEF" w:rsidRDefault="00EA4BEF" w:rsidP="00EA4B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BEF">
        <w:rPr>
          <w:rFonts w:ascii="Times New Roman" w:hAnsi="Times New Roman" w:cs="Times New Roman"/>
          <w:sz w:val="28"/>
          <w:szCs w:val="28"/>
        </w:rPr>
        <w:t xml:space="preserve">«Объемы продаж автомобилей во 2 квартале 2016 года оказались несколько ниже прошлогодних, но их сокращение не является столь масштабным. И не в последнюю очередь, благодаря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t>автокредитованию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 xml:space="preserve">, - говорит исполнительный директор аналитического агентства «АВТОСТАТ» Сергей Удалов. – В то же время следует признать, что рост доли «кредитных» автомобилей в структуре рынка в 2015 – 2016 гг. во многом обусловлен реализацией госпрограммы субсидирования процентных ставок. При этом </w:t>
      </w:r>
      <w:proofErr w:type="spellStart"/>
      <w:r w:rsidRPr="00EA4BEF">
        <w:rPr>
          <w:rFonts w:ascii="Times New Roman" w:hAnsi="Times New Roman" w:cs="Times New Roman"/>
          <w:sz w:val="28"/>
          <w:szCs w:val="28"/>
        </w:rPr>
        <w:lastRenderedPageBreak/>
        <w:t>автокредитование</w:t>
      </w:r>
      <w:proofErr w:type="spellEnd"/>
      <w:r w:rsidRPr="00EA4BEF">
        <w:rPr>
          <w:rFonts w:ascii="Times New Roman" w:hAnsi="Times New Roman" w:cs="Times New Roman"/>
          <w:sz w:val="28"/>
          <w:szCs w:val="28"/>
        </w:rPr>
        <w:t xml:space="preserve"> для банков остается одним из наиболее привлекательных продуктов розничного кредитования, а для граждан – одним из наиболее доступных способов приобретения автомобилей».</w:t>
      </w:r>
      <w:r w:rsidR="008D0686">
        <w:rPr>
          <w:rFonts w:ascii="Times New Roman" w:hAnsi="Times New Roman" w:cs="Times New Roman"/>
          <w:sz w:val="28"/>
          <w:szCs w:val="28"/>
        </w:rPr>
        <w:t>[9]</w:t>
      </w:r>
    </w:p>
    <w:p w:rsidR="008D0686" w:rsidRDefault="008D0686" w:rsidP="00EA4BE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296805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5233" t="29955" r="33618" b="26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867" cy="2972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686" w:rsidRPr="008D0686" w:rsidRDefault="008D0686" w:rsidP="008D068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D0686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Таблица 1. ДИНАМИКА РЫНКА НОВЫХ АВТОМОБИЛЕЙ, ВЫДАЧИ АВТОКРЕДИТОВ И ДОЛИ АВТОМОБИЛЕЙ, КУПЛЕННЫХ В КРЕДИТ</w:t>
      </w:r>
    </w:p>
    <w:p w:rsidR="00C37E3E" w:rsidRPr="008D0686" w:rsidRDefault="008D0686" w:rsidP="00C37E3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6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Рынок автокредитования продолжит свое развитие, хотя его темпы в ближайшей перспективе, скорее всего, замедлятся. Тем не менее, </w:t>
      </w:r>
      <w:proofErr w:type="spellStart"/>
      <w:r w:rsidRPr="008D06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автокредитование</w:t>
      </w:r>
      <w:proofErr w:type="spellEnd"/>
      <w:r w:rsidRPr="008D06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останется одним из мощных инструментов для развития продаж на российском автомобильном рынке в целом.</w:t>
      </w:r>
    </w:p>
    <w:p w:rsidR="00C37E3E" w:rsidRDefault="00C37E3E" w:rsidP="00C37E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3E" w:rsidRDefault="00C37E3E" w:rsidP="00C37E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3E" w:rsidRDefault="00C37E3E" w:rsidP="00C37E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3E" w:rsidRDefault="00C37E3E" w:rsidP="00C37E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3E" w:rsidRDefault="00C37E3E" w:rsidP="00C37E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E3E" w:rsidRDefault="00C37E3E" w:rsidP="00C37E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10" w:rsidRDefault="00D51510" w:rsidP="00D51510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144D" w:rsidRPr="005C144D" w:rsidRDefault="005C144D" w:rsidP="005C144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4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C37E3E" w:rsidRPr="005C144D" w:rsidRDefault="00C37E3E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Письмо ЦБР от 5 мая 2008 г. N 52-Т "О "Памятке заемщика по потребительскому кредиту"</w:t>
      </w:r>
    </w:p>
    <w:p w:rsidR="00C37E3E" w:rsidRPr="005C144D" w:rsidRDefault="00C37E3E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Проект федерального закона № 119999-5 “О внесении изменений в некоторые законодательные акты Российской Федерации в связи с принятием Федерального закона «О потребительском кредитовании»</w:t>
      </w:r>
    </w:p>
    <w:p w:rsidR="00E12EA4" w:rsidRPr="005C144D" w:rsidRDefault="00C37E3E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Банковское дело: Учебник</w:t>
      </w:r>
      <w:proofErr w:type="gramStart"/>
      <w:r w:rsidRPr="005C144D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5C144D">
        <w:rPr>
          <w:rFonts w:ascii="Times New Roman" w:hAnsi="Times New Roman" w:cs="Times New Roman"/>
          <w:sz w:val="28"/>
          <w:szCs w:val="28"/>
        </w:rPr>
        <w:t xml:space="preserve">од ред. Белоглазовой Г. Н., </w:t>
      </w:r>
      <w:proofErr w:type="spellStart"/>
      <w:r w:rsidRPr="005C144D">
        <w:rPr>
          <w:rFonts w:ascii="Times New Roman" w:hAnsi="Times New Roman" w:cs="Times New Roman"/>
          <w:sz w:val="28"/>
          <w:szCs w:val="28"/>
        </w:rPr>
        <w:t>Кроливецкой</w:t>
      </w:r>
      <w:proofErr w:type="spellEnd"/>
      <w:r w:rsidRPr="005C144D">
        <w:rPr>
          <w:rFonts w:ascii="Times New Roman" w:hAnsi="Times New Roman" w:cs="Times New Roman"/>
          <w:sz w:val="28"/>
          <w:szCs w:val="28"/>
        </w:rPr>
        <w:t xml:space="preserve"> Л.П. – М.: Финансы и статистика, 2010. – 592 с.</w:t>
      </w:r>
    </w:p>
    <w:p w:rsidR="00E12EA4" w:rsidRPr="005C144D" w:rsidRDefault="00E12EA4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Басова А.К. Оценка кредитоспособности заемщика физического лица // Финансы. – 2011. – № 3.</w:t>
      </w:r>
    </w:p>
    <w:p w:rsidR="002138DC" w:rsidRPr="005C144D" w:rsidRDefault="002138DC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 xml:space="preserve">«Просрочка» по кредитам в России сократилась – Вести Экономика – </w:t>
      </w:r>
      <w:hyperlink r:id="rId16" w:history="1">
        <w:r w:rsidRPr="005C144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http://www.vestifinance.ru/articles/15331</w:t>
        </w:r>
      </w:hyperlink>
    </w:p>
    <w:p w:rsidR="002138DC" w:rsidRPr="005C144D" w:rsidRDefault="00F75D7B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hAnsi="Times New Roman" w:cs="Times New Roman"/>
          <w:sz w:val="28"/>
          <w:szCs w:val="28"/>
        </w:rPr>
        <w:t>Тоцкий М.Н. Методологические основы управления кредитным риском в коммерческом банке // Деньги и кредит. – 2011. – № 7.</w:t>
      </w:r>
    </w:p>
    <w:p w:rsidR="004005F7" w:rsidRPr="005C144D" w:rsidRDefault="004005F7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44D">
        <w:rPr>
          <w:rFonts w:ascii="Times New Roman" w:eastAsia="Calibri" w:hAnsi="Times New Roman" w:cs="Times New Roman"/>
          <w:sz w:val="28"/>
          <w:szCs w:val="28"/>
        </w:rPr>
        <w:t>Банковское дело. Экспресс курс: Учеб</w:t>
      </w:r>
      <w:proofErr w:type="gramStart"/>
      <w:r w:rsidRPr="005C144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C14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C144D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5C144D">
        <w:rPr>
          <w:rFonts w:ascii="Times New Roman" w:eastAsia="Calibri" w:hAnsi="Times New Roman" w:cs="Times New Roman"/>
          <w:sz w:val="28"/>
          <w:szCs w:val="28"/>
        </w:rPr>
        <w:t>особие/ под ред. Лаврушина О.  И.- М.: КНОРУС, 20</w:t>
      </w:r>
      <w:r w:rsidRPr="005C144D">
        <w:rPr>
          <w:rFonts w:ascii="Times New Roman" w:hAnsi="Times New Roman" w:cs="Times New Roman"/>
          <w:sz w:val="28"/>
          <w:szCs w:val="28"/>
        </w:rPr>
        <w:t>13</w:t>
      </w:r>
      <w:r w:rsidRPr="005C144D">
        <w:rPr>
          <w:rFonts w:ascii="Times New Roman" w:eastAsia="Calibri" w:hAnsi="Times New Roman" w:cs="Times New Roman"/>
          <w:sz w:val="28"/>
          <w:szCs w:val="28"/>
        </w:rPr>
        <w:t>. - 344 с.</w:t>
      </w:r>
    </w:p>
    <w:p w:rsidR="00D51510" w:rsidRPr="005C144D" w:rsidRDefault="00D51510" w:rsidP="005C144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144D">
        <w:rPr>
          <w:rFonts w:ascii="Times New Roman" w:hAnsi="Times New Roman" w:cs="Times New Roman"/>
          <w:sz w:val="28"/>
          <w:szCs w:val="28"/>
        </w:rPr>
        <w:t>Голозубова</w:t>
      </w:r>
      <w:proofErr w:type="spellEnd"/>
      <w:r w:rsidRPr="005C144D">
        <w:rPr>
          <w:rFonts w:ascii="Times New Roman" w:hAnsi="Times New Roman" w:cs="Times New Roman"/>
          <w:sz w:val="28"/>
          <w:szCs w:val="28"/>
        </w:rPr>
        <w:t xml:space="preserve"> Н. В. Оценка современного состояния рынка потребительского кредитования в России // Молодой ученый. — 2016. — №11. — С. 670-674.</w:t>
      </w:r>
    </w:p>
    <w:p w:rsidR="008D0686" w:rsidRPr="005C144D" w:rsidRDefault="008D0686" w:rsidP="005C144D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5C144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НБКИ и «АВТОСТАТ»: во 2 квартале 2016 года было выдано на 33% </w:t>
      </w:r>
      <w:proofErr w:type="spellStart"/>
      <w:r w:rsidRPr="005C144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автокредитов</w:t>
      </w:r>
      <w:proofErr w:type="spellEnd"/>
      <w:r w:rsidRPr="005C144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больше, чем в 1 квартале текущего года </w:t>
      </w:r>
      <w:r w:rsidRPr="005C144D">
        <w:rPr>
          <w:rFonts w:ascii="Times New Roman" w:hAnsi="Times New Roman" w:cs="Times New Roman"/>
          <w:sz w:val="28"/>
          <w:szCs w:val="28"/>
        </w:rPr>
        <w:t>https://www.autostat.ru/press-releases/26712/</w:t>
      </w:r>
    </w:p>
    <w:p w:rsidR="00C37E3E" w:rsidRPr="00E12EA4" w:rsidRDefault="00C37E3E" w:rsidP="00E12E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12EA4">
        <w:rPr>
          <w:rFonts w:ascii="Times New Roman" w:hAnsi="Times New Roman" w:cs="Times New Roman"/>
          <w:sz w:val="28"/>
          <w:szCs w:val="28"/>
        </w:rPr>
        <w:br/>
      </w:r>
      <w:r w:rsidRPr="00E12EA4">
        <w:rPr>
          <w:rFonts w:ascii="Times New Roman" w:hAnsi="Times New Roman" w:cs="Times New Roman"/>
          <w:sz w:val="28"/>
          <w:szCs w:val="28"/>
        </w:rPr>
        <w:br/>
      </w:r>
    </w:p>
    <w:sectPr w:rsidR="00C37E3E" w:rsidRPr="00E12EA4" w:rsidSect="00B02B15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D38" w:rsidRDefault="00EC7D38" w:rsidP="00C37E3E">
      <w:pPr>
        <w:spacing w:after="0" w:line="240" w:lineRule="auto"/>
      </w:pPr>
      <w:r>
        <w:separator/>
      </w:r>
    </w:p>
  </w:endnote>
  <w:endnote w:type="continuationSeparator" w:id="0">
    <w:p w:rsidR="00EC7D38" w:rsidRDefault="00EC7D38" w:rsidP="00C3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8558297"/>
      <w:docPartObj>
        <w:docPartGallery w:val="Page Numbers (Bottom of Page)"/>
        <w:docPartUnique/>
      </w:docPartObj>
    </w:sdtPr>
    <w:sdtContent>
      <w:p w:rsidR="00C37E3E" w:rsidRDefault="00F62D9D">
        <w:pPr>
          <w:pStyle w:val="a7"/>
          <w:jc w:val="right"/>
        </w:pPr>
        <w:fldSimple w:instr=" PAGE   \* MERGEFORMAT ">
          <w:r w:rsidR="00DC31A0">
            <w:rPr>
              <w:noProof/>
            </w:rPr>
            <w:t>14</w:t>
          </w:r>
        </w:fldSimple>
      </w:p>
    </w:sdtContent>
  </w:sdt>
  <w:p w:rsidR="00C37E3E" w:rsidRDefault="00C37E3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D38" w:rsidRDefault="00EC7D38" w:rsidP="00C37E3E">
      <w:pPr>
        <w:spacing w:after="0" w:line="240" w:lineRule="auto"/>
      </w:pPr>
      <w:r>
        <w:separator/>
      </w:r>
    </w:p>
  </w:footnote>
  <w:footnote w:type="continuationSeparator" w:id="0">
    <w:p w:rsidR="00EC7D38" w:rsidRDefault="00EC7D38" w:rsidP="00C37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B55"/>
    <w:multiLevelType w:val="multilevel"/>
    <w:tmpl w:val="FCF62A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82198"/>
    <w:multiLevelType w:val="multilevel"/>
    <w:tmpl w:val="088671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E1497B"/>
    <w:multiLevelType w:val="hybridMultilevel"/>
    <w:tmpl w:val="679A1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56C19"/>
    <w:multiLevelType w:val="hybridMultilevel"/>
    <w:tmpl w:val="81422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317BF"/>
    <w:multiLevelType w:val="hybridMultilevel"/>
    <w:tmpl w:val="75467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E7221"/>
    <w:multiLevelType w:val="multilevel"/>
    <w:tmpl w:val="5D609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1B3FC2"/>
    <w:multiLevelType w:val="hybridMultilevel"/>
    <w:tmpl w:val="6F800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79515E"/>
    <w:multiLevelType w:val="multilevel"/>
    <w:tmpl w:val="982698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5D3D36C9"/>
    <w:multiLevelType w:val="multilevel"/>
    <w:tmpl w:val="96E44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E75C85"/>
    <w:multiLevelType w:val="hybridMultilevel"/>
    <w:tmpl w:val="6E482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9E3485"/>
    <w:multiLevelType w:val="multilevel"/>
    <w:tmpl w:val="3CF84B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567EC3"/>
    <w:multiLevelType w:val="multilevel"/>
    <w:tmpl w:val="963C29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10"/>
  </w:num>
  <w:num w:numId="8">
    <w:abstractNumId w:val="11"/>
  </w:num>
  <w:num w:numId="9">
    <w:abstractNumId w:val="8"/>
  </w:num>
  <w:num w:numId="10">
    <w:abstractNumId w:val="0"/>
  </w:num>
  <w:num w:numId="11">
    <w:abstractNumId w:val="9"/>
  </w:num>
  <w:num w:numId="12">
    <w:abstractNumId w:val="4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A0D"/>
    <w:rsid w:val="001E6A0D"/>
    <w:rsid w:val="002138DC"/>
    <w:rsid w:val="002B3934"/>
    <w:rsid w:val="004005F7"/>
    <w:rsid w:val="005C144D"/>
    <w:rsid w:val="008004A5"/>
    <w:rsid w:val="008D0686"/>
    <w:rsid w:val="00A33C3D"/>
    <w:rsid w:val="00AF5913"/>
    <w:rsid w:val="00B02B15"/>
    <w:rsid w:val="00B81668"/>
    <w:rsid w:val="00C37E3E"/>
    <w:rsid w:val="00D0385A"/>
    <w:rsid w:val="00D51510"/>
    <w:rsid w:val="00DC31A0"/>
    <w:rsid w:val="00E12EA4"/>
    <w:rsid w:val="00EA4BEF"/>
    <w:rsid w:val="00EC7D38"/>
    <w:rsid w:val="00F62D9D"/>
    <w:rsid w:val="00F7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0D"/>
  </w:style>
  <w:style w:type="paragraph" w:styleId="1">
    <w:name w:val="heading 1"/>
    <w:basedOn w:val="a"/>
    <w:link w:val="10"/>
    <w:uiPriority w:val="9"/>
    <w:qFormat/>
    <w:rsid w:val="008D06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A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7E3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37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37E3E"/>
  </w:style>
  <w:style w:type="paragraph" w:styleId="a7">
    <w:name w:val="footer"/>
    <w:basedOn w:val="a"/>
    <w:link w:val="a8"/>
    <w:uiPriority w:val="99"/>
    <w:unhideWhenUsed/>
    <w:rsid w:val="00C37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7E3E"/>
  </w:style>
  <w:style w:type="paragraph" w:styleId="a9">
    <w:name w:val="footnote text"/>
    <w:basedOn w:val="a"/>
    <w:link w:val="aa"/>
    <w:semiHidden/>
    <w:rsid w:val="004005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4005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4005F7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D51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151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D06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search-journal.org/Documents%20and%20Settings/%D0%9C%D0%9D%D0%98%D0%96/%D0%9C%D0%BE%D0%B8%20%D0%B4%D0%BE%D0%BA%D1%83%D0%BC%D0%B5%D0%BD%D1%82%D1%8B/Downloads/1354-%D0%9A%D1%80%D0%B5%D0%B4%D0%B8%D1%82%D0%BE%D0%B2%D0%B0%D0%BD%D0%B8%D0%B5_%D0%BD%D0%B0%D1%81%D0%B5%D0%BB%D0%B5%D0%BD%20(1).doc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search-journal.org/Documents%20and%20Settings/%D0%9C%D0%9D%D0%98%D0%96/%D0%9C%D0%BE%D0%B8%20%D0%B4%D0%BE%D0%BA%D1%83%D0%BC%D0%B5%D0%BD%D1%82%D1%8B/Downloads/1354-%D0%9A%D1%80%D0%B5%D0%B4%D0%B8%D1%82%D0%BE%D0%B2%D0%B0%D0%BD%D0%B8%D0%B5_%D0%BD%D0%B0%D1%81%D0%B5%D0%BB%D0%B5%D0%BD%20(1).doc" TargetMode="Externa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vestifinance.ru/articles/1533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esearch-journal.org/Documents%20and%20Settings/%D0%9C%D0%9D%D0%98%D0%96/%D0%9C%D0%BE%D0%B8%20%D0%B4%D0%BE%D0%BA%D1%83%D0%BC%D0%B5%D0%BD%D1%82%D1%8B/Downloads/1354-%D0%A0%D0%B8%D1%81%D0%BA%D0%B8%20(1).doc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://research-journal.org/Documents%20and%20Settings/%D0%9C%D0%9D%D0%98%D0%96/%D0%9C%D0%BE%D0%B8%20%D0%B4%D0%BE%D0%BA%D1%83%D0%BC%D0%B5%D0%BD%D1%82%D1%8B/Downloads/1354-%D0%A0%D0%B8%D1%81%D0%BA%D0%B8%20(1)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esearch-journal.org/Documents%20and%20Settings/%D0%9C%D0%9D%D0%98%D0%96/%D0%9C%D0%BE%D0%B8%20%D0%B4%D0%BE%D0%BA%D1%83%D0%BC%D0%B5%D0%BD%D1%82%D1%8B/Downloads/1354-%D0%A0%D0%B8%D1%81%D0%BA%D0%B8%20(1).doc" TargetMode="External"/><Relationship Id="rId14" Type="http://schemas.openxmlformats.org/officeDocument/2006/relationships/hyperlink" Target="http://www.napinfo.ru/page/id/1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8</cp:revision>
  <dcterms:created xsi:type="dcterms:W3CDTF">2016-11-20T18:16:00Z</dcterms:created>
  <dcterms:modified xsi:type="dcterms:W3CDTF">2016-12-04T12:48:00Z</dcterms:modified>
</cp:coreProperties>
</file>