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7D6E" w:rsidRPr="00F83F8E" w:rsidRDefault="00474781" w:rsidP="00F83F8E">
      <w:pPr>
        <w:spacing w:after="0" w:line="36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F83F8E">
        <w:rPr>
          <w:rFonts w:ascii="Times New Roman" w:hAnsi="Times New Roman" w:cs="Times New Roman"/>
          <w:sz w:val="28"/>
          <w:szCs w:val="28"/>
        </w:rPr>
        <w:t>Задача:</w:t>
      </w:r>
    </w:p>
    <w:p w:rsidR="00474781" w:rsidRPr="00F83F8E" w:rsidRDefault="00474781" w:rsidP="00F83F8E">
      <w:pPr>
        <w:spacing w:after="0" w:line="360" w:lineRule="auto"/>
        <w:ind w:right="-284" w:firstLine="709"/>
        <w:jc w:val="both"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83F8E">
        <w:rPr>
          <w:rFonts w:ascii="Times New Roman" w:hAnsi="Times New Roman" w:cs="Times New Roman"/>
          <w:sz w:val="28"/>
          <w:szCs w:val="28"/>
          <w:shd w:val="clear" w:color="auto" w:fill="FFFFFF"/>
        </w:rPr>
        <w:t>Рассчитайте тарифную ставку договоров имущества на страхование . Данные для расчёта : вероятность для наступление страхового случая P=0,01 . Средняя страховая сумма C=7000₽ .среднее страховое возмещение B=700000 ₽. Количество договоров Кд =15000 ₽ . Доля нагрузки структуре тарифа Но=30%. Гарантия безопасности непревышения возможных страховых возмещений y=0,95. Данная о разбросе возможных страховых возмещениях отсутствуют . Коэффициент a при гарантии безопасности 0,95 = 1,645</w:t>
      </w:r>
      <w:r w:rsidRPr="00F83F8E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</w:p>
    <w:p w:rsidR="00474781" w:rsidRPr="00F83F8E" w:rsidRDefault="00474781" w:rsidP="00F83F8E">
      <w:pPr>
        <w:spacing w:after="0" w:line="360" w:lineRule="auto"/>
        <w:ind w:right="-284" w:firstLine="709"/>
        <w:jc w:val="both"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474781" w:rsidRPr="00F83F8E" w:rsidRDefault="00474781" w:rsidP="00F83F8E">
      <w:pPr>
        <w:spacing w:after="0" w:line="360" w:lineRule="auto"/>
        <w:ind w:right="-284" w:firstLine="709"/>
        <w:jc w:val="both"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83F8E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Решение:</w:t>
      </w:r>
    </w:p>
    <w:p w:rsidR="009D31CA" w:rsidRPr="00F83F8E" w:rsidRDefault="009D31CA" w:rsidP="00F83F8E">
      <w:pPr>
        <w:numPr>
          <w:ilvl w:val="0"/>
          <w:numId w:val="1"/>
        </w:numPr>
        <w:tabs>
          <w:tab w:val="clear" w:pos="1230"/>
          <w:tab w:val="num" w:pos="993"/>
        </w:tabs>
        <w:spacing w:after="0" w:line="360" w:lineRule="auto"/>
        <w:ind w:left="0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3F8E">
        <w:rPr>
          <w:rFonts w:ascii="Times New Roman" w:hAnsi="Times New Roman" w:cs="Times New Roman"/>
          <w:sz w:val="28"/>
          <w:szCs w:val="28"/>
        </w:rPr>
        <w:t>Определяем основную часть нетто-ставки (Т</w:t>
      </w:r>
      <w:r w:rsidRPr="00F83F8E">
        <w:rPr>
          <w:rFonts w:ascii="Times New Roman" w:hAnsi="Times New Roman" w:cs="Times New Roman"/>
          <w:sz w:val="28"/>
          <w:szCs w:val="28"/>
          <w:vertAlign w:val="subscript"/>
        </w:rPr>
        <w:t>О</w:t>
      </w:r>
      <w:r w:rsidRPr="00F83F8E">
        <w:rPr>
          <w:rFonts w:ascii="Times New Roman" w:hAnsi="Times New Roman" w:cs="Times New Roman"/>
          <w:sz w:val="28"/>
          <w:szCs w:val="28"/>
        </w:rPr>
        <w:t>), т.е. среднюю величину без учета гарантийной надбавки на 100 у.е. страховой суммы:</w:t>
      </w:r>
    </w:p>
    <w:p w:rsidR="009D31CA" w:rsidRPr="00F83F8E" w:rsidRDefault="009D31CA" w:rsidP="00F83F8E">
      <w:pPr>
        <w:pStyle w:val="a3"/>
        <w:spacing w:after="0" w:line="360" w:lineRule="auto"/>
        <w:ind w:left="0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3F8E">
        <w:rPr>
          <w:rFonts w:ascii="Times New Roman" w:hAnsi="Times New Roman" w:cs="Times New Roman"/>
          <w:sz w:val="28"/>
          <w:szCs w:val="28"/>
        </w:rPr>
        <w:object w:dxaOrig="156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8pt;height:33.75pt" o:ole="">
            <v:imagedata r:id="rId6" o:title=""/>
          </v:shape>
          <o:OLEObject Type="Embed" ProgID="Equation.3" ShapeID="_x0000_i1025" DrawAspect="Content" ObjectID="_1541187610" r:id="rId7"/>
        </w:object>
      </w:r>
      <w:r w:rsidRPr="00F83F8E">
        <w:rPr>
          <w:rFonts w:ascii="Times New Roman" w:hAnsi="Times New Roman" w:cs="Times New Roman"/>
          <w:sz w:val="28"/>
          <w:szCs w:val="28"/>
        </w:rPr>
        <w:t>, где:</w:t>
      </w:r>
    </w:p>
    <w:p w:rsidR="009D31CA" w:rsidRPr="00F83F8E" w:rsidRDefault="009D31CA" w:rsidP="00F83F8E">
      <w:pPr>
        <w:tabs>
          <w:tab w:val="num" w:pos="720"/>
        </w:tabs>
        <w:spacing w:after="0" w:line="36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3F8E">
        <w:rPr>
          <w:rFonts w:ascii="Times New Roman" w:hAnsi="Times New Roman" w:cs="Times New Roman"/>
          <w:position w:val="-4"/>
          <w:sz w:val="28"/>
          <w:szCs w:val="28"/>
        </w:rPr>
        <w:object w:dxaOrig="260" w:dyaOrig="300">
          <v:shape id="_x0000_i1026" type="#_x0000_t75" style="width:12.75pt;height:15pt" o:ole="">
            <v:imagedata r:id="rId8" o:title=""/>
          </v:shape>
          <o:OLEObject Type="Embed" ProgID="Equation.3" ShapeID="_x0000_i1026" DrawAspect="Content" ObjectID="_1541187611" r:id="rId9"/>
        </w:object>
      </w:r>
      <w:r w:rsidRPr="00F83F8E">
        <w:rPr>
          <w:rFonts w:ascii="Times New Roman" w:hAnsi="Times New Roman" w:cs="Times New Roman"/>
          <w:sz w:val="28"/>
          <w:szCs w:val="28"/>
        </w:rPr>
        <w:t>-среднее страховое возмещение (руб.)</w:t>
      </w:r>
      <w:r w:rsidRPr="00F83F8E">
        <w:rPr>
          <w:rFonts w:ascii="Times New Roman" w:hAnsi="Times New Roman" w:cs="Times New Roman"/>
          <w:sz w:val="28"/>
          <w:szCs w:val="28"/>
        </w:rPr>
        <w:tab/>
      </w:r>
    </w:p>
    <w:p w:rsidR="009D31CA" w:rsidRPr="00F83F8E" w:rsidRDefault="009D31CA" w:rsidP="00F83F8E">
      <w:pPr>
        <w:tabs>
          <w:tab w:val="num" w:pos="720"/>
        </w:tabs>
        <w:spacing w:after="0" w:line="36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3F8E">
        <w:rPr>
          <w:rFonts w:ascii="Times New Roman" w:hAnsi="Times New Roman" w:cs="Times New Roman"/>
          <w:position w:val="-6"/>
          <w:sz w:val="28"/>
          <w:szCs w:val="28"/>
        </w:rPr>
        <w:object w:dxaOrig="260" w:dyaOrig="320">
          <v:shape id="_x0000_i1027" type="#_x0000_t75" style="width:12.75pt;height:15.75pt" o:ole="" o:bullet="t">
            <v:imagedata r:id="rId10" o:title=""/>
          </v:shape>
          <o:OLEObject Type="Embed" ProgID="Equation.3" ShapeID="_x0000_i1027" DrawAspect="Content" ObjectID="_1541187612" r:id="rId11"/>
        </w:object>
      </w:r>
      <w:r w:rsidRPr="00F83F8E">
        <w:rPr>
          <w:rFonts w:ascii="Times New Roman" w:hAnsi="Times New Roman" w:cs="Times New Roman"/>
          <w:sz w:val="28"/>
          <w:szCs w:val="28"/>
        </w:rPr>
        <w:t>-средняя страховая сумма (руб.)</w:t>
      </w:r>
    </w:p>
    <w:p w:rsidR="009D31CA" w:rsidRPr="00F83F8E" w:rsidRDefault="009D31CA" w:rsidP="00F83F8E">
      <w:pPr>
        <w:tabs>
          <w:tab w:val="num" w:pos="720"/>
        </w:tabs>
        <w:spacing w:after="0" w:line="36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3F8E">
        <w:rPr>
          <w:rFonts w:ascii="Times New Roman" w:hAnsi="Times New Roman" w:cs="Times New Roman"/>
          <w:sz w:val="28"/>
          <w:szCs w:val="28"/>
        </w:rPr>
        <w:t>Р- вероятность наступления страхового случая</w:t>
      </w:r>
    </w:p>
    <w:p w:rsidR="009D31CA" w:rsidRPr="00F83F8E" w:rsidRDefault="009D31CA" w:rsidP="00F83F8E">
      <w:pPr>
        <w:spacing w:after="0" w:line="36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D31CA" w:rsidRPr="00F83F8E" w:rsidRDefault="009F7F80" w:rsidP="00F83F8E">
      <w:pPr>
        <w:spacing w:after="0" w:line="36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3F8E">
        <w:rPr>
          <w:rFonts w:ascii="Times New Roman" w:hAnsi="Times New Roman" w:cs="Times New Roman"/>
          <w:position w:val="-12"/>
          <w:sz w:val="28"/>
          <w:szCs w:val="28"/>
        </w:rPr>
        <w:object w:dxaOrig="3640" w:dyaOrig="360">
          <v:shape id="_x0000_i1028" type="#_x0000_t75" style="width:182.25pt;height:18pt" o:ole="">
            <v:imagedata r:id="rId12" o:title=""/>
          </v:shape>
          <o:OLEObject Type="Embed" ProgID="Equation.3" ShapeID="_x0000_i1028" DrawAspect="Content" ObjectID="_1541187613" r:id="rId13"/>
        </w:object>
      </w:r>
      <w:r w:rsidR="009D31CA" w:rsidRPr="00F83F8E">
        <w:rPr>
          <w:rFonts w:ascii="Times New Roman" w:hAnsi="Times New Roman" w:cs="Times New Roman"/>
          <w:sz w:val="28"/>
          <w:szCs w:val="28"/>
        </w:rPr>
        <w:t xml:space="preserve">у.е. </w:t>
      </w:r>
    </w:p>
    <w:p w:rsidR="009D31CA" w:rsidRPr="00F83F8E" w:rsidRDefault="009D31CA" w:rsidP="00F83F8E">
      <w:pPr>
        <w:spacing w:after="0" w:line="36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3F8E">
        <w:rPr>
          <w:rFonts w:ascii="Times New Roman" w:hAnsi="Times New Roman" w:cs="Times New Roman"/>
          <w:sz w:val="28"/>
          <w:szCs w:val="28"/>
        </w:rPr>
        <w:t>2. Определяем гарантийную (рисковую) надбавку (Т</w:t>
      </w:r>
      <w:r w:rsidRPr="00F83F8E">
        <w:rPr>
          <w:rFonts w:ascii="Times New Roman" w:hAnsi="Times New Roman" w:cs="Times New Roman"/>
          <w:sz w:val="28"/>
          <w:szCs w:val="28"/>
          <w:vertAlign w:val="subscript"/>
        </w:rPr>
        <w:t>Р</w:t>
      </w:r>
      <w:r w:rsidRPr="00F83F8E">
        <w:rPr>
          <w:rFonts w:ascii="Times New Roman" w:hAnsi="Times New Roman" w:cs="Times New Roman"/>
          <w:sz w:val="28"/>
          <w:szCs w:val="28"/>
        </w:rPr>
        <w:t>). При отсутствии данных о разбросе возможных страховых возмещений расчет ведется по формуле</w:t>
      </w:r>
      <w:r w:rsidR="009F7F80" w:rsidRPr="00F83F8E">
        <w:rPr>
          <w:rFonts w:ascii="Times New Roman" w:hAnsi="Times New Roman" w:cs="Times New Roman"/>
          <w:sz w:val="28"/>
          <w:szCs w:val="28"/>
        </w:rPr>
        <w:t>:</w:t>
      </w:r>
    </w:p>
    <w:p w:rsidR="009F7F80" w:rsidRPr="00F83F8E" w:rsidRDefault="00912918" w:rsidP="00F83F8E">
      <w:pPr>
        <w:spacing w:after="0" w:line="36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3F8E">
        <w:rPr>
          <w:rFonts w:ascii="Times New Roman" w:hAnsi="Times New Roman" w:cs="Times New Roman"/>
          <w:position w:val="-32"/>
          <w:sz w:val="28"/>
          <w:szCs w:val="28"/>
        </w:rPr>
        <w:object w:dxaOrig="2400" w:dyaOrig="760">
          <v:shape id="_x0000_i1029" type="#_x0000_t75" style="width:120pt;height:38.25pt" o:ole="">
            <v:imagedata r:id="rId14" o:title=""/>
          </v:shape>
          <o:OLEObject Type="Embed" ProgID="Equation.3" ShapeID="_x0000_i1029" DrawAspect="Content" ObjectID="_1541187614" r:id="rId15"/>
        </w:object>
      </w:r>
      <w:r w:rsidR="009F7F80" w:rsidRPr="00F83F8E">
        <w:rPr>
          <w:rFonts w:ascii="Times New Roman" w:hAnsi="Times New Roman" w:cs="Times New Roman"/>
          <w:sz w:val="28"/>
          <w:szCs w:val="28"/>
        </w:rPr>
        <w:t>, где:</w:t>
      </w:r>
    </w:p>
    <w:p w:rsidR="009F7F80" w:rsidRPr="00F83F8E" w:rsidRDefault="009F7F80" w:rsidP="00F83F8E">
      <w:pPr>
        <w:spacing w:after="0" w:line="36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3F8E">
        <w:rPr>
          <w:rFonts w:ascii="Times New Roman" w:hAnsi="Times New Roman" w:cs="Times New Roman"/>
          <w:sz w:val="28"/>
          <w:szCs w:val="28"/>
        </w:rPr>
        <w:t>Т</w:t>
      </w:r>
      <w:r w:rsidRPr="00F83F8E">
        <w:rPr>
          <w:rFonts w:ascii="Times New Roman" w:hAnsi="Times New Roman" w:cs="Times New Roman"/>
          <w:sz w:val="28"/>
          <w:szCs w:val="28"/>
          <w:vertAlign w:val="subscript"/>
        </w:rPr>
        <w:t>Р</w:t>
      </w:r>
      <w:r w:rsidRPr="00F83F8E">
        <w:rPr>
          <w:rFonts w:ascii="Times New Roman" w:hAnsi="Times New Roman" w:cs="Times New Roman"/>
          <w:sz w:val="28"/>
          <w:szCs w:val="28"/>
        </w:rPr>
        <w:t>- гарантированная надбавка</w:t>
      </w:r>
    </w:p>
    <w:p w:rsidR="009F7F80" w:rsidRPr="00F83F8E" w:rsidRDefault="009F7F80" w:rsidP="00F83F8E">
      <w:pPr>
        <w:spacing w:after="0" w:line="36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3F8E">
        <w:rPr>
          <w:rFonts w:ascii="Times New Roman" w:hAnsi="Times New Roman" w:cs="Times New Roman"/>
          <w:sz w:val="28"/>
          <w:szCs w:val="28"/>
        </w:rPr>
        <w:t>А – коэффициент, зависящий от гарантии безопасности</w:t>
      </w:r>
    </w:p>
    <w:p w:rsidR="009F7F80" w:rsidRPr="00F83F8E" w:rsidRDefault="009F7F80" w:rsidP="00F83F8E">
      <w:pPr>
        <w:spacing w:after="0" w:line="36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3F8E">
        <w:rPr>
          <w:rFonts w:ascii="Times New Roman" w:hAnsi="Times New Roman" w:cs="Times New Roman"/>
          <w:sz w:val="28"/>
          <w:szCs w:val="28"/>
        </w:rPr>
        <w:t>К</w:t>
      </w:r>
      <w:r w:rsidRPr="00F83F8E">
        <w:rPr>
          <w:rFonts w:ascii="Times New Roman" w:hAnsi="Times New Roman" w:cs="Times New Roman"/>
          <w:sz w:val="28"/>
          <w:szCs w:val="28"/>
          <w:vertAlign w:val="subscript"/>
        </w:rPr>
        <w:t>Д</w:t>
      </w:r>
      <w:r w:rsidRPr="00F83F8E">
        <w:rPr>
          <w:rFonts w:ascii="Times New Roman" w:hAnsi="Times New Roman" w:cs="Times New Roman"/>
          <w:sz w:val="28"/>
          <w:szCs w:val="28"/>
        </w:rPr>
        <w:t>- количество договоров</w:t>
      </w:r>
    </w:p>
    <w:p w:rsidR="009F7F80" w:rsidRPr="00F83F8E" w:rsidRDefault="009F7F80" w:rsidP="00F83F8E">
      <w:pPr>
        <w:spacing w:after="0" w:line="36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3F8E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F83F8E">
        <w:rPr>
          <w:rFonts w:ascii="Times New Roman" w:hAnsi="Times New Roman" w:cs="Times New Roman"/>
          <w:sz w:val="28"/>
          <w:szCs w:val="28"/>
        </w:rPr>
        <w:t xml:space="preserve"> –средний разброс возмещений</w:t>
      </w:r>
    </w:p>
    <w:p w:rsidR="009F7F80" w:rsidRPr="00F83F8E" w:rsidRDefault="009F7F80" w:rsidP="00F83F8E">
      <w:pPr>
        <w:spacing w:after="0" w:line="36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D31CA" w:rsidRPr="00F83F8E" w:rsidRDefault="009D31CA" w:rsidP="00F83F8E">
      <w:pPr>
        <w:spacing w:after="0" w:line="36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3F8E">
        <w:rPr>
          <w:rFonts w:ascii="Times New Roman" w:hAnsi="Times New Roman" w:cs="Times New Roman"/>
          <w:sz w:val="28"/>
          <w:szCs w:val="28"/>
        </w:rPr>
        <w:lastRenderedPageBreak/>
        <w:t xml:space="preserve">Допустим, что страховщик предполагает с вероятностью 0,95 обеспечить не превышение возможных страховых возмещений над собранными взносами. </w:t>
      </w:r>
      <w:r w:rsidR="009F7F80" w:rsidRPr="00F83F8E">
        <w:rPr>
          <w:rFonts w:ascii="Times New Roman" w:hAnsi="Times New Roman" w:cs="Times New Roman"/>
          <w:sz w:val="28"/>
          <w:szCs w:val="28"/>
        </w:rPr>
        <w:t xml:space="preserve">По условию задачи </w:t>
      </w:r>
      <w:r w:rsidRPr="00F83F8E">
        <w:rPr>
          <w:rFonts w:ascii="Times New Roman" w:hAnsi="Times New Roman" w:cs="Times New Roman"/>
          <w:sz w:val="28"/>
          <w:szCs w:val="28"/>
        </w:rPr>
        <w:t>при гарантии безопасности 0,95 коэффициент А=1,645.</w:t>
      </w:r>
    </w:p>
    <w:p w:rsidR="009D31CA" w:rsidRPr="00F83F8E" w:rsidRDefault="009D31CA" w:rsidP="00F83F8E">
      <w:pPr>
        <w:spacing w:after="0" w:line="36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3F8E">
        <w:rPr>
          <w:rFonts w:ascii="Times New Roman" w:hAnsi="Times New Roman" w:cs="Times New Roman"/>
          <w:sz w:val="28"/>
          <w:szCs w:val="28"/>
        </w:rPr>
        <w:t xml:space="preserve">Тогда: </w:t>
      </w:r>
      <w:r w:rsidR="00F925D5" w:rsidRPr="00F83F8E">
        <w:rPr>
          <w:rFonts w:ascii="Times New Roman" w:hAnsi="Times New Roman" w:cs="Times New Roman"/>
          <w:position w:val="-30"/>
          <w:sz w:val="28"/>
          <w:szCs w:val="28"/>
        </w:rPr>
        <w:object w:dxaOrig="4220" w:dyaOrig="740">
          <v:shape id="_x0000_i1030" type="#_x0000_t75" style="width:211.5pt;height:36.75pt" o:ole="">
            <v:imagedata r:id="rId16" o:title=""/>
          </v:shape>
          <o:OLEObject Type="Embed" ProgID="Equation.3" ShapeID="_x0000_i1030" DrawAspect="Content" ObjectID="_1541187615" r:id="rId17"/>
        </w:object>
      </w:r>
      <w:r w:rsidRPr="00F83F8E">
        <w:rPr>
          <w:rFonts w:ascii="Times New Roman" w:hAnsi="Times New Roman" w:cs="Times New Roman"/>
          <w:sz w:val="28"/>
          <w:szCs w:val="28"/>
        </w:rPr>
        <w:t xml:space="preserve"> у.е.</w:t>
      </w:r>
    </w:p>
    <w:p w:rsidR="009D31CA" w:rsidRPr="00F83F8E" w:rsidRDefault="00912918" w:rsidP="00F83F8E">
      <w:pPr>
        <w:spacing w:after="0" w:line="36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3F8E">
        <w:rPr>
          <w:rFonts w:ascii="Times New Roman" w:hAnsi="Times New Roman" w:cs="Times New Roman"/>
          <w:sz w:val="28"/>
          <w:szCs w:val="28"/>
          <w:lang w:val="en-US"/>
        </w:rPr>
        <w:t xml:space="preserve">3. </w:t>
      </w:r>
      <w:r w:rsidR="009D31CA" w:rsidRPr="00F83F8E">
        <w:rPr>
          <w:rFonts w:ascii="Times New Roman" w:hAnsi="Times New Roman" w:cs="Times New Roman"/>
          <w:sz w:val="28"/>
          <w:szCs w:val="28"/>
        </w:rPr>
        <w:t>Определяем нетто-ставку на 100 руб. страховой суммы:</w:t>
      </w:r>
    </w:p>
    <w:p w:rsidR="00F925D5" w:rsidRPr="00F83F8E" w:rsidRDefault="00F925D5" w:rsidP="00F83F8E">
      <w:pPr>
        <w:spacing w:after="0" w:line="36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925D5" w:rsidRPr="00F83F8E" w:rsidRDefault="00F925D5" w:rsidP="00F83F8E">
      <w:pPr>
        <w:spacing w:after="0" w:line="36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3F8E">
        <w:rPr>
          <w:rFonts w:ascii="Times New Roman" w:hAnsi="Times New Roman" w:cs="Times New Roman"/>
          <w:sz w:val="28"/>
          <w:szCs w:val="28"/>
        </w:rPr>
        <w:t>Т</w:t>
      </w:r>
      <w:r w:rsidRPr="00F83F8E">
        <w:rPr>
          <w:rFonts w:ascii="Times New Roman" w:hAnsi="Times New Roman" w:cs="Times New Roman"/>
          <w:sz w:val="28"/>
          <w:szCs w:val="28"/>
          <w:vertAlign w:val="subscript"/>
        </w:rPr>
        <w:t>Н</w:t>
      </w:r>
      <w:r w:rsidRPr="00F83F8E">
        <w:rPr>
          <w:rFonts w:ascii="Times New Roman" w:hAnsi="Times New Roman" w:cs="Times New Roman"/>
          <w:sz w:val="28"/>
          <w:szCs w:val="28"/>
        </w:rPr>
        <w:t>=Т</w:t>
      </w:r>
      <w:r w:rsidRPr="00F83F8E">
        <w:rPr>
          <w:rFonts w:ascii="Times New Roman" w:hAnsi="Times New Roman" w:cs="Times New Roman"/>
          <w:sz w:val="28"/>
          <w:szCs w:val="28"/>
          <w:vertAlign w:val="subscript"/>
        </w:rPr>
        <w:t>О</w:t>
      </w:r>
      <w:r w:rsidRPr="00F83F8E">
        <w:rPr>
          <w:rFonts w:ascii="Times New Roman" w:hAnsi="Times New Roman" w:cs="Times New Roman"/>
          <w:sz w:val="28"/>
          <w:szCs w:val="28"/>
        </w:rPr>
        <w:t>+Т</w:t>
      </w:r>
      <w:r w:rsidRPr="00F83F8E">
        <w:rPr>
          <w:rFonts w:ascii="Times New Roman" w:hAnsi="Times New Roman" w:cs="Times New Roman"/>
          <w:sz w:val="28"/>
          <w:szCs w:val="28"/>
          <w:vertAlign w:val="subscript"/>
        </w:rPr>
        <w:t>Р</w:t>
      </w:r>
    </w:p>
    <w:p w:rsidR="009D31CA" w:rsidRPr="00F83F8E" w:rsidRDefault="009D31CA" w:rsidP="00F83F8E">
      <w:pPr>
        <w:spacing w:after="0" w:line="36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3F8E">
        <w:rPr>
          <w:rFonts w:ascii="Times New Roman" w:hAnsi="Times New Roman" w:cs="Times New Roman"/>
          <w:sz w:val="28"/>
          <w:szCs w:val="28"/>
        </w:rPr>
        <w:t>Т</w:t>
      </w:r>
      <w:r w:rsidRPr="00F83F8E">
        <w:rPr>
          <w:rFonts w:ascii="Times New Roman" w:hAnsi="Times New Roman" w:cs="Times New Roman"/>
          <w:sz w:val="28"/>
          <w:szCs w:val="28"/>
          <w:vertAlign w:val="subscript"/>
        </w:rPr>
        <w:t>Н</w:t>
      </w:r>
      <w:r w:rsidRPr="00F83F8E">
        <w:rPr>
          <w:rFonts w:ascii="Times New Roman" w:hAnsi="Times New Roman" w:cs="Times New Roman"/>
          <w:sz w:val="28"/>
          <w:szCs w:val="28"/>
        </w:rPr>
        <w:t>=</w:t>
      </w:r>
      <w:r w:rsidR="00F925D5" w:rsidRPr="00F83F8E">
        <w:rPr>
          <w:rFonts w:ascii="Times New Roman" w:hAnsi="Times New Roman" w:cs="Times New Roman"/>
          <w:sz w:val="28"/>
          <w:szCs w:val="28"/>
        </w:rPr>
        <w:t>100+16,04</w:t>
      </w:r>
      <w:r w:rsidRPr="00F83F8E">
        <w:rPr>
          <w:rFonts w:ascii="Times New Roman" w:hAnsi="Times New Roman" w:cs="Times New Roman"/>
          <w:sz w:val="28"/>
          <w:szCs w:val="28"/>
        </w:rPr>
        <w:t>=</w:t>
      </w:r>
      <w:r w:rsidR="00F925D5" w:rsidRPr="00F83F8E">
        <w:rPr>
          <w:rFonts w:ascii="Times New Roman" w:hAnsi="Times New Roman" w:cs="Times New Roman"/>
          <w:sz w:val="28"/>
          <w:szCs w:val="28"/>
        </w:rPr>
        <w:t>116,04</w:t>
      </w:r>
      <w:r w:rsidRPr="00F83F8E">
        <w:rPr>
          <w:rFonts w:ascii="Times New Roman" w:hAnsi="Times New Roman" w:cs="Times New Roman"/>
          <w:sz w:val="28"/>
          <w:szCs w:val="28"/>
        </w:rPr>
        <w:t xml:space="preserve"> у.е. </w:t>
      </w:r>
    </w:p>
    <w:p w:rsidR="009D31CA" w:rsidRPr="00F83F8E" w:rsidRDefault="009D31CA" w:rsidP="00F83F8E">
      <w:pPr>
        <w:spacing w:after="0" w:line="36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3F8E">
        <w:rPr>
          <w:rFonts w:ascii="Times New Roman" w:hAnsi="Times New Roman" w:cs="Times New Roman"/>
          <w:sz w:val="28"/>
          <w:szCs w:val="28"/>
        </w:rPr>
        <w:t>4. Определяем брутто-ставку (тарифная ставка)</w:t>
      </w:r>
    </w:p>
    <w:p w:rsidR="00F925D5" w:rsidRPr="00F83F8E" w:rsidRDefault="00F83F8E" w:rsidP="00F83F8E">
      <w:pPr>
        <w:spacing w:after="0" w:line="36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3F8E">
        <w:rPr>
          <w:rFonts w:ascii="Times New Roman" w:hAnsi="Times New Roman" w:cs="Times New Roman"/>
          <w:position w:val="-30"/>
          <w:sz w:val="28"/>
          <w:szCs w:val="28"/>
        </w:rPr>
        <w:object w:dxaOrig="1500" w:dyaOrig="700">
          <v:shape id="_x0000_i1031" type="#_x0000_t75" style="width:75pt;height:35.25pt" o:ole="">
            <v:imagedata r:id="rId18" o:title=""/>
          </v:shape>
          <o:OLEObject Type="Embed" ProgID="Equation.3" ShapeID="_x0000_i1031" DrawAspect="Content" ObjectID="_1541187616" r:id="rId19"/>
        </w:object>
      </w:r>
      <w:r w:rsidR="00F925D5" w:rsidRPr="00F83F8E">
        <w:rPr>
          <w:rFonts w:ascii="Times New Roman" w:hAnsi="Times New Roman" w:cs="Times New Roman"/>
          <w:sz w:val="28"/>
          <w:szCs w:val="28"/>
        </w:rPr>
        <w:t>, где:</w:t>
      </w:r>
    </w:p>
    <w:p w:rsidR="00F925D5" w:rsidRPr="00F83F8E" w:rsidRDefault="00F925D5" w:rsidP="00F83F8E">
      <w:pPr>
        <w:spacing w:after="0" w:line="36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3F8E">
        <w:rPr>
          <w:rFonts w:ascii="Times New Roman" w:hAnsi="Times New Roman" w:cs="Times New Roman"/>
          <w:sz w:val="28"/>
          <w:szCs w:val="28"/>
        </w:rPr>
        <w:t>Н</w:t>
      </w:r>
      <w:r w:rsidRPr="00F83F8E">
        <w:rPr>
          <w:rFonts w:ascii="Times New Roman" w:hAnsi="Times New Roman" w:cs="Times New Roman"/>
          <w:sz w:val="28"/>
          <w:szCs w:val="28"/>
          <w:vertAlign w:val="subscript"/>
        </w:rPr>
        <w:t>О</w:t>
      </w:r>
      <w:r w:rsidRPr="00F83F8E">
        <w:rPr>
          <w:rFonts w:ascii="Times New Roman" w:hAnsi="Times New Roman" w:cs="Times New Roman"/>
          <w:sz w:val="28"/>
          <w:szCs w:val="28"/>
        </w:rPr>
        <w:t xml:space="preserve"> – доля нагрузки в структуре тарифа</w:t>
      </w:r>
    </w:p>
    <w:p w:rsidR="009D31CA" w:rsidRPr="00F83F8E" w:rsidRDefault="002B338F" w:rsidP="00F83F8E">
      <w:pPr>
        <w:spacing w:after="0" w:line="36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3F8E">
        <w:rPr>
          <w:rFonts w:ascii="Times New Roman" w:hAnsi="Times New Roman" w:cs="Times New Roman"/>
          <w:position w:val="-24"/>
          <w:sz w:val="28"/>
          <w:szCs w:val="28"/>
        </w:rPr>
        <w:object w:dxaOrig="2500" w:dyaOrig="620">
          <v:shape id="_x0000_i1032" type="#_x0000_t75" style="width:125.25pt;height:30.75pt" o:ole="">
            <v:imagedata r:id="rId20" o:title=""/>
          </v:shape>
          <o:OLEObject Type="Embed" ProgID="Equation.3" ShapeID="_x0000_i1032" DrawAspect="Content" ObjectID="_1541187617" r:id="rId21"/>
        </w:object>
      </w:r>
      <w:r w:rsidR="009D31CA" w:rsidRPr="00F83F8E">
        <w:rPr>
          <w:rFonts w:ascii="Times New Roman" w:hAnsi="Times New Roman" w:cs="Times New Roman"/>
          <w:sz w:val="28"/>
          <w:szCs w:val="28"/>
        </w:rPr>
        <w:t xml:space="preserve">у.е. </w:t>
      </w:r>
    </w:p>
    <w:p w:rsidR="009D31CA" w:rsidRPr="00F83F8E" w:rsidRDefault="009D31CA" w:rsidP="00F83F8E">
      <w:pPr>
        <w:spacing w:after="0" w:line="36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3F8E">
        <w:rPr>
          <w:rFonts w:ascii="Times New Roman" w:hAnsi="Times New Roman" w:cs="Times New Roman"/>
          <w:sz w:val="28"/>
          <w:szCs w:val="28"/>
        </w:rPr>
        <w:t xml:space="preserve">Итак, тарифная ставка составляет </w:t>
      </w:r>
      <w:r w:rsidR="00F83F8E" w:rsidRPr="00F83F8E">
        <w:rPr>
          <w:rFonts w:ascii="Times New Roman" w:hAnsi="Times New Roman" w:cs="Times New Roman"/>
          <w:sz w:val="28"/>
          <w:szCs w:val="28"/>
        </w:rPr>
        <w:t>22,91</w:t>
      </w:r>
      <w:r w:rsidRPr="00F83F8E">
        <w:rPr>
          <w:rFonts w:ascii="Times New Roman" w:hAnsi="Times New Roman" w:cs="Times New Roman"/>
          <w:sz w:val="28"/>
          <w:szCs w:val="28"/>
        </w:rPr>
        <w:t xml:space="preserve"> у.е. со 100 у.е. страховой суммы.</w:t>
      </w:r>
    </w:p>
    <w:p w:rsidR="00F83F8E" w:rsidRPr="00F83F8E" w:rsidRDefault="00F83F8E" w:rsidP="00F83F8E">
      <w:pPr>
        <w:spacing w:after="0" w:line="36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3F8E">
        <w:rPr>
          <w:rFonts w:ascii="Times New Roman" w:hAnsi="Times New Roman" w:cs="Times New Roman"/>
          <w:sz w:val="28"/>
          <w:szCs w:val="28"/>
        </w:rPr>
        <w:t>Ответ: Тарифная става =22,91 у.е.</w:t>
      </w:r>
    </w:p>
    <w:p w:rsidR="00474781" w:rsidRDefault="00474781"/>
    <w:sectPr w:rsidR="004747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871E2F"/>
    <w:multiLevelType w:val="hybridMultilevel"/>
    <w:tmpl w:val="A68CFAB2"/>
    <w:lvl w:ilvl="0" w:tplc="34200454">
      <w:start w:val="1"/>
      <w:numFmt w:val="decimal"/>
      <w:lvlText w:val="%1."/>
      <w:lvlJc w:val="left"/>
      <w:pPr>
        <w:tabs>
          <w:tab w:val="num" w:pos="1230"/>
        </w:tabs>
        <w:ind w:left="1230" w:hanging="750"/>
      </w:pPr>
      <w:rPr>
        <w:rFonts w:hint="default"/>
      </w:rPr>
    </w:lvl>
    <w:lvl w:ilvl="1" w:tplc="5D561B5A">
      <w:numFmt w:val="none"/>
      <w:lvlText w:val=""/>
      <w:lvlJc w:val="left"/>
      <w:pPr>
        <w:tabs>
          <w:tab w:val="num" w:pos="360"/>
        </w:tabs>
      </w:pPr>
    </w:lvl>
    <w:lvl w:ilvl="2" w:tplc="B73C081A">
      <w:numFmt w:val="none"/>
      <w:lvlText w:val=""/>
      <w:lvlJc w:val="left"/>
      <w:pPr>
        <w:tabs>
          <w:tab w:val="num" w:pos="360"/>
        </w:tabs>
      </w:pPr>
    </w:lvl>
    <w:lvl w:ilvl="3" w:tplc="1A6C1560">
      <w:numFmt w:val="none"/>
      <w:lvlText w:val=""/>
      <w:lvlJc w:val="left"/>
      <w:pPr>
        <w:tabs>
          <w:tab w:val="num" w:pos="360"/>
        </w:tabs>
      </w:pPr>
    </w:lvl>
    <w:lvl w:ilvl="4" w:tplc="73BC7AB2">
      <w:numFmt w:val="none"/>
      <w:lvlText w:val=""/>
      <w:lvlJc w:val="left"/>
      <w:pPr>
        <w:tabs>
          <w:tab w:val="num" w:pos="360"/>
        </w:tabs>
      </w:pPr>
    </w:lvl>
    <w:lvl w:ilvl="5" w:tplc="5B2C103A">
      <w:numFmt w:val="none"/>
      <w:lvlText w:val=""/>
      <w:lvlJc w:val="left"/>
      <w:pPr>
        <w:tabs>
          <w:tab w:val="num" w:pos="360"/>
        </w:tabs>
      </w:pPr>
    </w:lvl>
    <w:lvl w:ilvl="6" w:tplc="C8003D86">
      <w:numFmt w:val="none"/>
      <w:lvlText w:val=""/>
      <w:lvlJc w:val="left"/>
      <w:pPr>
        <w:tabs>
          <w:tab w:val="num" w:pos="360"/>
        </w:tabs>
      </w:pPr>
    </w:lvl>
    <w:lvl w:ilvl="7" w:tplc="CDB6613C">
      <w:numFmt w:val="none"/>
      <w:lvlText w:val=""/>
      <w:lvlJc w:val="left"/>
      <w:pPr>
        <w:tabs>
          <w:tab w:val="num" w:pos="360"/>
        </w:tabs>
      </w:pPr>
    </w:lvl>
    <w:lvl w:ilvl="8" w:tplc="9752A88A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4781"/>
    <w:rsid w:val="002B338F"/>
    <w:rsid w:val="00474781"/>
    <w:rsid w:val="00717DF1"/>
    <w:rsid w:val="00912918"/>
    <w:rsid w:val="009D31CA"/>
    <w:rsid w:val="009F7F80"/>
    <w:rsid w:val="00CA7D6E"/>
    <w:rsid w:val="00DE67E8"/>
    <w:rsid w:val="00F83F8E"/>
    <w:rsid w:val="00F92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474781"/>
  </w:style>
  <w:style w:type="paragraph" w:styleId="a3">
    <w:name w:val="List Paragraph"/>
    <w:basedOn w:val="a"/>
    <w:uiPriority w:val="34"/>
    <w:qFormat/>
    <w:rsid w:val="009D31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474781"/>
  </w:style>
  <w:style w:type="paragraph" w:styleId="a3">
    <w:name w:val="List Paragraph"/>
    <w:basedOn w:val="a"/>
    <w:uiPriority w:val="34"/>
    <w:qFormat/>
    <w:rsid w:val="009D31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" Type="http://schemas.microsoft.com/office/2007/relationships/stylesWithEffects" Target="stylesWithEffects.xml"/><Relationship Id="rId21" Type="http://schemas.openxmlformats.org/officeDocument/2006/relationships/oleObject" Target="embeddings/oleObject8.bin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theme" Target="theme/theme1.xml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259</Words>
  <Characters>1478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Карина</dc:creator>
  <cp:lastModifiedBy>Карина</cp:lastModifiedBy>
  <cp:revision>2</cp:revision>
  <dcterms:created xsi:type="dcterms:W3CDTF">2016-11-20T19:54:00Z</dcterms:created>
  <dcterms:modified xsi:type="dcterms:W3CDTF">2016-11-20T19:54:00Z</dcterms:modified>
</cp:coreProperties>
</file>