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Default="007371B6">
      <w:pPr>
        <w:rPr>
          <w:rFonts w:ascii="Times New Roman" w:hAnsi="Times New Roman" w:cs="Times New Roman"/>
          <w:sz w:val="28"/>
          <w:szCs w:val="28"/>
        </w:rPr>
      </w:pPr>
    </w:p>
    <w:p w:rsidR="000A50C1" w:rsidRDefault="000A50C1">
      <w:pPr>
        <w:rPr>
          <w:rFonts w:ascii="Times New Roman" w:hAnsi="Times New Roman" w:cs="Times New Roman"/>
          <w:sz w:val="28"/>
          <w:szCs w:val="28"/>
        </w:rPr>
      </w:pPr>
    </w:p>
    <w:p w:rsidR="00C13A69" w:rsidRDefault="00C13A69">
      <w:pPr>
        <w:rPr>
          <w:rFonts w:ascii="Times New Roman" w:hAnsi="Times New Roman" w:cs="Times New Roman"/>
          <w:sz w:val="28"/>
          <w:szCs w:val="28"/>
        </w:rPr>
      </w:pPr>
    </w:p>
    <w:p w:rsidR="00C13A69" w:rsidRDefault="00C13A69">
      <w:pPr>
        <w:rPr>
          <w:rFonts w:ascii="Times New Roman" w:hAnsi="Times New Roman" w:cs="Times New Roman"/>
          <w:sz w:val="28"/>
          <w:szCs w:val="28"/>
        </w:rPr>
      </w:pPr>
    </w:p>
    <w:p w:rsidR="000A50C1" w:rsidRPr="000A50C1" w:rsidRDefault="000A50C1">
      <w:pPr>
        <w:rPr>
          <w:rFonts w:ascii="Times New Roman" w:hAnsi="Times New Roman" w:cs="Times New Roman"/>
          <w:sz w:val="28"/>
          <w:szCs w:val="28"/>
        </w:rPr>
      </w:pPr>
    </w:p>
    <w:p w:rsidR="007371B6" w:rsidRPr="000A50C1" w:rsidRDefault="007371B6" w:rsidP="000A50C1">
      <w:pPr>
        <w:jc w:val="center"/>
        <w:rPr>
          <w:rFonts w:ascii="Times New Roman" w:hAnsi="Times New Roman" w:cs="Times New Roman"/>
          <w:b/>
          <w:sz w:val="28"/>
          <w:szCs w:val="28"/>
        </w:rPr>
      </w:pPr>
      <w:r w:rsidRPr="000A50C1">
        <w:rPr>
          <w:rFonts w:ascii="Times New Roman" w:hAnsi="Times New Roman" w:cs="Times New Roman"/>
          <w:b/>
          <w:sz w:val="28"/>
          <w:szCs w:val="28"/>
        </w:rPr>
        <w:t>Содержание</w:t>
      </w:r>
    </w:p>
    <w:p w:rsidR="007371B6" w:rsidRPr="007D39D6" w:rsidRDefault="007371B6">
      <w:pPr>
        <w:rPr>
          <w:rFonts w:ascii="Times New Roman" w:hAnsi="Times New Roman" w:cs="Times New Roman"/>
          <w:sz w:val="28"/>
          <w:szCs w:val="28"/>
        </w:rPr>
      </w:pPr>
      <w:r w:rsidRPr="000A50C1">
        <w:rPr>
          <w:rFonts w:ascii="Times New Roman" w:hAnsi="Times New Roman" w:cs="Times New Roman"/>
          <w:sz w:val="28"/>
          <w:szCs w:val="28"/>
        </w:rPr>
        <w:t>Введение</w:t>
      </w:r>
      <w:r w:rsidR="000A50C1">
        <w:rPr>
          <w:rFonts w:ascii="Times New Roman" w:hAnsi="Times New Roman" w:cs="Times New Roman"/>
          <w:sz w:val="28"/>
          <w:szCs w:val="28"/>
        </w:rPr>
        <w:t>…………………………………………………………………………</w:t>
      </w:r>
      <w:r w:rsidR="007D39D6" w:rsidRPr="00C13A69">
        <w:rPr>
          <w:rFonts w:ascii="Times New Roman" w:hAnsi="Times New Roman" w:cs="Times New Roman"/>
          <w:sz w:val="28"/>
          <w:szCs w:val="28"/>
        </w:rPr>
        <w:t>...</w:t>
      </w:r>
      <w:r w:rsidR="007D39D6" w:rsidRPr="007D39D6">
        <w:rPr>
          <w:rFonts w:ascii="Times New Roman" w:hAnsi="Times New Roman" w:cs="Times New Roman"/>
          <w:sz w:val="28"/>
          <w:szCs w:val="28"/>
        </w:rPr>
        <w:t>3</w:t>
      </w:r>
    </w:p>
    <w:p w:rsidR="007371B6" w:rsidRPr="007D39D6" w:rsidRDefault="007371B6" w:rsidP="007371B6">
      <w:pPr>
        <w:rPr>
          <w:rFonts w:ascii="Times New Roman" w:hAnsi="Times New Roman" w:cs="Times New Roman"/>
          <w:sz w:val="28"/>
          <w:szCs w:val="28"/>
        </w:rPr>
      </w:pPr>
      <w:r w:rsidRPr="000A50C1">
        <w:rPr>
          <w:rFonts w:ascii="Times New Roman" w:hAnsi="Times New Roman" w:cs="Times New Roman"/>
          <w:sz w:val="28"/>
          <w:szCs w:val="28"/>
        </w:rPr>
        <w:t>1. Особенности АПК, обусловливающие необходимость его государственной поддержки. Формы и инструменты государственной поддержки АПК</w:t>
      </w:r>
      <w:r w:rsidR="000A50C1">
        <w:rPr>
          <w:rFonts w:ascii="Times New Roman" w:hAnsi="Times New Roman" w:cs="Times New Roman"/>
          <w:sz w:val="28"/>
          <w:szCs w:val="28"/>
        </w:rPr>
        <w:t>……</w:t>
      </w:r>
      <w:r w:rsidR="007D39D6" w:rsidRPr="00C13A69">
        <w:rPr>
          <w:rFonts w:ascii="Times New Roman" w:hAnsi="Times New Roman" w:cs="Times New Roman"/>
          <w:sz w:val="28"/>
          <w:szCs w:val="28"/>
        </w:rPr>
        <w:t>…</w:t>
      </w:r>
      <w:r w:rsidR="007D39D6" w:rsidRPr="007D39D6">
        <w:rPr>
          <w:rFonts w:ascii="Times New Roman" w:hAnsi="Times New Roman" w:cs="Times New Roman"/>
          <w:sz w:val="28"/>
          <w:szCs w:val="28"/>
        </w:rPr>
        <w:t>4</w:t>
      </w:r>
    </w:p>
    <w:p w:rsidR="007371B6" w:rsidRPr="007D39D6" w:rsidRDefault="007371B6" w:rsidP="007371B6">
      <w:pPr>
        <w:rPr>
          <w:rFonts w:ascii="Times New Roman" w:hAnsi="Times New Roman" w:cs="Times New Roman"/>
          <w:sz w:val="28"/>
          <w:szCs w:val="28"/>
        </w:rPr>
      </w:pPr>
      <w:r w:rsidRPr="000A50C1">
        <w:rPr>
          <w:rFonts w:ascii="Times New Roman" w:hAnsi="Times New Roman" w:cs="Times New Roman"/>
          <w:sz w:val="28"/>
          <w:szCs w:val="28"/>
        </w:rPr>
        <w:t>2. АПК России: статистика, проблемы и перспективы развития</w:t>
      </w:r>
      <w:r w:rsidR="000A50C1">
        <w:rPr>
          <w:rFonts w:ascii="Times New Roman" w:hAnsi="Times New Roman" w:cs="Times New Roman"/>
          <w:sz w:val="28"/>
          <w:szCs w:val="28"/>
        </w:rPr>
        <w:t>……………</w:t>
      </w:r>
      <w:r w:rsidR="007D39D6" w:rsidRPr="007D39D6">
        <w:rPr>
          <w:rFonts w:ascii="Times New Roman" w:hAnsi="Times New Roman" w:cs="Times New Roman"/>
          <w:sz w:val="28"/>
          <w:szCs w:val="28"/>
        </w:rPr>
        <w:t>…8</w:t>
      </w:r>
    </w:p>
    <w:p w:rsidR="007371B6" w:rsidRPr="00C13A69" w:rsidRDefault="007371B6">
      <w:pPr>
        <w:rPr>
          <w:rFonts w:ascii="Times New Roman" w:hAnsi="Times New Roman" w:cs="Times New Roman"/>
          <w:sz w:val="28"/>
          <w:szCs w:val="28"/>
        </w:rPr>
      </w:pPr>
      <w:r w:rsidRPr="000A50C1">
        <w:rPr>
          <w:rFonts w:ascii="Times New Roman" w:hAnsi="Times New Roman" w:cs="Times New Roman"/>
          <w:sz w:val="28"/>
          <w:szCs w:val="28"/>
        </w:rPr>
        <w:t>3. Государств</w:t>
      </w:r>
      <w:r w:rsidR="007D39D6">
        <w:rPr>
          <w:rFonts w:ascii="Times New Roman" w:hAnsi="Times New Roman" w:cs="Times New Roman"/>
          <w:sz w:val="28"/>
          <w:szCs w:val="28"/>
        </w:rPr>
        <w:t>енная поддержка российского АПК</w:t>
      </w:r>
      <w:r w:rsidR="007D39D6" w:rsidRPr="00C13A69">
        <w:rPr>
          <w:rFonts w:ascii="Times New Roman" w:hAnsi="Times New Roman" w:cs="Times New Roman"/>
          <w:sz w:val="28"/>
          <w:szCs w:val="28"/>
        </w:rPr>
        <w:t>…………………………….</w:t>
      </w:r>
      <w:r w:rsidR="007D39D6" w:rsidRPr="007D39D6">
        <w:rPr>
          <w:rFonts w:ascii="Times New Roman" w:hAnsi="Times New Roman" w:cs="Times New Roman"/>
          <w:sz w:val="28"/>
          <w:szCs w:val="28"/>
        </w:rPr>
        <w:t>1</w:t>
      </w:r>
      <w:r w:rsidR="007D39D6" w:rsidRPr="00C13A69">
        <w:rPr>
          <w:rFonts w:ascii="Times New Roman" w:hAnsi="Times New Roman" w:cs="Times New Roman"/>
          <w:sz w:val="28"/>
          <w:szCs w:val="28"/>
        </w:rPr>
        <w:t>0</w:t>
      </w:r>
    </w:p>
    <w:p w:rsidR="007371B6" w:rsidRPr="007D39D6" w:rsidRDefault="007371B6">
      <w:pPr>
        <w:rPr>
          <w:rFonts w:ascii="Times New Roman" w:hAnsi="Times New Roman" w:cs="Times New Roman"/>
          <w:sz w:val="28"/>
          <w:szCs w:val="28"/>
        </w:rPr>
      </w:pPr>
      <w:r w:rsidRPr="000A50C1">
        <w:rPr>
          <w:rFonts w:ascii="Times New Roman" w:hAnsi="Times New Roman" w:cs="Times New Roman"/>
          <w:sz w:val="28"/>
          <w:szCs w:val="28"/>
        </w:rPr>
        <w:t>Заключение</w:t>
      </w:r>
      <w:r w:rsidR="000A50C1">
        <w:rPr>
          <w:rFonts w:ascii="Times New Roman" w:hAnsi="Times New Roman" w:cs="Times New Roman"/>
          <w:sz w:val="28"/>
          <w:szCs w:val="28"/>
        </w:rPr>
        <w:t>………………………………………………………………………</w:t>
      </w:r>
      <w:r w:rsidR="007D39D6" w:rsidRPr="007D39D6">
        <w:rPr>
          <w:rFonts w:ascii="Times New Roman" w:hAnsi="Times New Roman" w:cs="Times New Roman"/>
          <w:sz w:val="28"/>
          <w:szCs w:val="28"/>
        </w:rPr>
        <w:t>16</w:t>
      </w:r>
    </w:p>
    <w:p w:rsidR="007371B6" w:rsidRPr="007D39D6" w:rsidRDefault="007371B6">
      <w:pPr>
        <w:rPr>
          <w:rFonts w:ascii="Times New Roman" w:hAnsi="Times New Roman" w:cs="Times New Roman"/>
          <w:sz w:val="28"/>
          <w:szCs w:val="28"/>
        </w:rPr>
      </w:pPr>
      <w:r w:rsidRPr="000A50C1">
        <w:rPr>
          <w:rFonts w:ascii="Times New Roman" w:hAnsi="Times New Roman" w:cs="Times New Roman"/>
          <w:sz w:val="28"/>
          <w:szCs w:val="28"/>
        </w:rPr>
        <w:t>Список использованной литературы</w:t>
      </w:r>
      <w:r w:rsidR="000A50C1">
        <w:rPr>
          <w:rFonts w:ascii="Times New Roman" w:hAnsi="Times New Roman" w:cs="Times New Roman"/>
          <w:sz w:val="28"/>
          <w:szCs w:val="28"/>
        </w:rPr>
        <w:t>…………………………………………</w:t>
      </w:r>
      <w:r w:rsidR="007D39D6" w:rsidRPr="007D39D6">
        <w:rPr>
          <w:rFonts w:ascii="Times New Roman" w:hAnsi="Times New Roman" w:cs="Times New Roman"/>
          <w:sz w:val="28"/>
          <w:szCs w:val="28"/>
        </w:rPr>
        <w:t>...17</w:t>
      </w: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Default="007371B6">
      <w:pPr>
        <w:rPr>
          <w:rFonts w:ascii="Times New Roman" w:hAnsi="Times New Roman" w:cs="Times New Roman"/>
          <w:sz w:val="28"/>
          <w:szCs w:val="28"/>
        </w:rPr>
      </w:pPr>
    </w:p>
    <w:p w:rsidR="000A50C1" w:rsidRPr="000A50C1" w:rsidRDefault="000A50C1">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Pr="000A50C1" w:rsidRDefault="007371B6" w:rsidP="000A50C1">
      <w:pPr>
        <w:spacing w:after="0" w:line="360" w:lineRule="auto"/>
        <w:jc w:val="center"/>
        <w:rPr>
          <w:rFonts w:ascii="Times New Roman" w:hAnsi="Times New Roman" w:cs="Times New Roman"/>
          <w:b/>
          <w:color w:val="000000" w:themeColor="text1"/>
          <w:sz w:val="28"/>
          <w:szCs w:val="28"/>
          <w:shd w:val="clear" w:color="auto" w:fill="FFFFFF"/>
        </w:rPr>
      </w:pPr>
      <w:r w:rsidRPr="000A50C1">
        <w:rPr>
          <w:rFonts w:ascii="Times New Roman" w:hAnsi="Times New Roman" w:cs="Times New Roman"/>
          <w:b/>
          <w:color w:val="000000" w:themeColor="text1"/>
          <w:sz w:val="28"/>
          <w:szCs w:val="28"/>
          <w:shd w:val="clear" w:color="auto" w:fill="FFFFFF"/>
        </w:rPr>
        <w:t>Введение</w:t>
      </w:r>
    </w:p>
    <w:p w:rsidR="000A50C1" w:rsidRDefault="007371B6" w:rsidP="000A50C1">
      <w:pPr>
        <w:spacing w:after="0" w:line="360" w:lineRule="auto"/>
        <w:ind w:firstLine="709"/>
        <w:jc w:val="both"/>
        <w:rPr>
          <w:rFonts w:ascii="Times New Roman" w:hAnsi="Times New Roman" w:cs="Times New Roman"/>
          <w:color w:val="000000" w:themeColor="text1"/>
          <w:sz w:val="28"/>
          <w:szCs w:val="28"/>
          <w:shd w:val="clear" w:color="auto" w:fill="FFFFFF"/>
        </w:rPr>
      </w:pPr>
      <w:r w:rsidRPr="000A50C1">
        <w:rPr>
          <w:rFonts w:ascii="Times New Roman" w:hAnsi="Times New Roman" w:cs="Times New Roman"/>
          <w:color w:val="000000" w:themeColor="text1"/>
          <w:sz w:val="28"/>
          <w:szCs w:val="28"/>
          <w:shd w:val="clear" w:color="auto" w:fill="FFFFFF"/>
        </w:rPr>
        <w:t>Агропромышленный комплекс России - многоотраслевая система, включающая более 60 отраслей: прежде всего само сельское хозяйство, пищевую и биологическую промышленность, пищевое, сельскохозяйственное и автотракторное машиностроение, производство химических удобрений, средств защиты растений, строительство сельскохозяйственных, промышленных и социально-культурных объектов, связь, ветеринарную и санит</w:t>
      </w:r>
      <w:r w:rsidR="000A50C1">
        <w:rPr>
          <w:rFonts w:ascii="Times New Roman" w:hAnsi="Times New Roman" w:cs="Times New Roman"/>
          <w:color w:val="000000" w:themeColor="text1"/>
          <w:sz w:val="28"/>
          <w:szCs w:val="28"/>
          <w:shd w:val="clear" w:color="auto" w:fill="FFFFFF"/>
        </w:rPr>
        <w:t>арно-эпидемиологическую службы.</w:t>
      </w:r>
    </w:p>
    <w:p w:rsidR="000A50C1" w:rsidRDefault="007371B6" w:rsidP="000A50C1">
      <w:pPr>
        <w:spacing w:after="0" w:line="360" w:lineRule="auto"/>
        <w:ind w:firstLine="709"/>
        <w:jc w:val="both"/>
        <w:rPr>
          <w:rFonts w:ascii="Times New Roman" w:hAnsi="Times New Roman" w:cs="Times New Roman"/>
          <w:color w:val="000000" w:themeColor="text1"/>
          <w:sz w:val="28"/>
          <w:szCs w:val="28"/>
        </w:rPr>
      </w:pPr>
      <w:r w:rsidRPr="000A50C1">
        <w:rPr>
          <w:rFonts w:ascii="Times New Roman" w:hAnsi="Times New Roman" w:cs="Times New Roman"/>
          <w:color w:val="000000" w:themeColor="text1"/>
          <w:sz w:val="28"/>
          <w:szCs w:val="28"/>
          <w:shd w:val="clear" w:color="auto" w:fill="FFFFFF"/>
        </w:rPr>
        <w:t>Приведенный далеко не полный перечень составляющих АПК показывает его многоотраслевую структуру с глубокими различиями в специфике отдельных элементов, которая требует выстраивания индивидуальной экономической, технологической и организационной политики по отношению к каждой отрасли.</w:t>
      </w:r>
      <w:r w:rsidRPr="000A50C1">
        <w:rPr>
          <w:rStyle w:val="apple-converted-space"/>
          <w:rFonts w:ascii="Times New Roman" w:hAnsi="Times New Roman" w:cs="Times New Roman"/>
          <w:color w:val="000000" w:themeColor="text1"/>
          <w:sz w:val="28"/>
          <w:szCs w:val="28"/>
          <w:shd w:val="clear" w:color="auto" w:fill="FFFFFF"/>
        </w:rPr>
        <w:t> </w:t>
      </w:r>
    </w:p>
    <w:p w:rsidR="000A50C1" w:rsidRDefault="007371B6" w:rsidP="000A50C1">
      <w:pPr>
        <w:spacing w:after="0" w:line="360" w:lineRule="auto"/>
        <w:ind w:firstLine="709"/>
        <w:jc w:val="both"/>
        <w:rPr>
          <w:rFonts w:ascii="Times New Roman" w:hAnsi="Times New Roman" w:cs="Times New Roman"/>
          <w:color w:val="000000" w:themeColor="text1"/>
          <w:sz w:val="28"/>
          <w:szCs w:val="28"/>
          <w:shd w:val="clear" w:color="auto" w:fill="FFFFFF"/>
        </w:rPr>
      </w:pPr>
      <w:r w:rsidRPr="000A50C1">
        <w:rPr>
          <w:rFonts w:ascii="Times New Roman" w:hAnsi="Times New Roman" w:cs="Times New Roman"/>
          <w:color w:val="000000" w:themeColor="text1"/>
          <w:sz w:val="28"/>
          <w:szCs w:val="28"/>
          <w:shd w:val="clear" w:color="auto" w:fill="FFFFFF"/>
        </w:rPr>
        <w:t>На сегодняшний день сложилась такая ситуация в агропромышленном комплексе, которую можно охарактеризовать кризисными факторами. Главной причиной возникшей разбалансированности системы ведения сельского хозяйства стала коренная трансформация собственности на средства производства. Изменились организационно-правовые формы коллективных предприятий, получил развитие сектор индивидуального предпринимательства на селе. Сельское хозяйство с его трудоёмким производством может разрешить одну из самых острых социальных проблем - трудовую занятость населения.</w:t>
      </w:r>
    </w:p>
    <w:p w:rsidR="000A50C1" w:rsidRDefault="007371B6" w:rsidP="000A50C1">
      <w:pPr>
        <w:spacing w:after="0" w:line="360" w:lineRule="auto"/>
        <w:ind w:firstLine="709"/>
        <w:jc w:val="both"/>
        <w:rPr>
          <w:rFonts w:ascii="Times New Roman" w:hAnsi="Times New Roman" w:cs="Times New Roman"/>
          <w:color w:val="000000" w:themeColor="text1"/>
          <w:sz w:val="28"/>
          <w:szCs w:val="28"/>
        </w:rPr>
      </w:pPr>
      <w:r w:rsidRPr="000A50C1">
        <w:rPr>
          <w:rFonts w:ascii="Times New Roman" w:hAnsi="Times New Roman" w:cs="Times New Roman"/>
          <w:color w:val="000000" w:themeColor="text1"/>
          <w:sz w:val="28"/>
          <w:szCs w:val="28"/>
          <w:shd w:val="clear" w:color="auto" w:fill="FFFFFF"/>
        </w:rPr>
        <w:t>В силу своего потенциала и исторически сложившегося положения в системе общественного разделения труда сельское хозяйство в России - отрасль, проблемы которой выходят далеко за ее собственные рамки, затрагивают интересы всего государства. В сложившейся ситуации аграрный сектор может рассматриваться как один из источников общего кризиса в народном хозяйстве.</w:t>
      </w:r>
    </w:p>
    <w:p w:rsidR="007371B6" w:rsidRPr="000A50C1" w:rsidRDefault="007371B6" w:rsidP="000A50C1">
      <w:pPr>
        <w:spacing w:after="0" w:line="360" w:lineRule="auto"/>
        <w:ind w:firstLine="709"/>
        <w:jc w:val="both"/>
        <w:rPr>
          <w:rFonts w:ascii="Times New Roman" w:hAnsi="Times New Roman" w:cs="Times New Roman"/>
          <w:color w:val="000000" w:themeColor="text1"/>
          <w:sz w:val="28"/>
          <w:szCs w:val="28"/>
        </w:rPr>
      </w:pPr>
    </w:p>
    <w:p w:rsidR="007371B6" w:rsidRPr="000A50C1" w:rsidRDefault="007371B6">
      <w:pPr>
        <w:rPr>
          <w:rFonts w:ascii="Times New Roman" w:hAnsi="Times New Roman" w:cs="Times New Roman"/>
          <w:sz w:val="28"/>
          <w:szCs w:val="28"/>
        </w:rPr>
      </w:pPr>
    </w:p>
    <w:p w:rsidR="007371B6" w:rsidRPr="000A50C1" w:rsidRDefault="007371B6" w:rsidP="000A50C1">
      <w:pPr>
        <w:jc w:val="center"/>
        <w:rPr>
          <w:rFonts w:ascii="Times New Roman" w:hAnsi="Times New Roman" w:cs="Times New Roman"/>
          <w:b/>
          <w:sz w:val="28"/>
          <w:szCs w:val="28"/>
        </w:rPr>
      </w:pPr>
      <w:r w:rsidRPr="000A50C1">
        <w:rPr>
          <w:rFonts w:ascii="Times New Roman" w:hAnsi="Times New Roman" w:cs="Times New Roman"/>
          <w:b/>
          <w:sz w:val="28"/>
          <w:szCs w:val="28"/>
        </w:rPr>
        <w:t>1. Особенности АПК, обусловливающие необходимость его государственной поддержки. Формы и инструмент</w:t>
      </w:r>
      <w:r w:rsidR="000A50C1">
        <w:rPr>
          <w:rFonts w:ascii="Times New Roman" w:hAnsi="Times New Roman" w:cs="Times New Roman"/>
          <w:b/>
          <w:sz w:val="28"/>
          <w:szCs w:val="28"/>
        </w:rPr>
        <w:t>ы государственной поддержки АПК</w:t>
      </w:r>
    </w:p>
    <w:p w:rsidR="000A50C1" w:rsidRDefault="007371B6" w:rsidP="000A50C1">
      <w:pPr>
        <w:spacing w:after="0" w:line="360" w:lineRule="auto"/>
        <w:ind w:firstLine="709"/>
        <w:jc w:val="both"/>
        <w:rPr>
          <w:rFonts w:ascii="Times New Roman" w:hAnsi="Times New Roman" w:cs="Times New Roman"/>
          <w:color w:val="000000" w:themeColor="text1"/>
          <w:sz w:val="28"/>
          <w:szCs w:val="28"/>
        </w:rPr>
      </w:pPr>
      <w:r w:rsidRPr="000A50C1">
        <w:rPr>
          <w:rFonts w:ascii="Times New Roman" w:hAnsi="Times New Roman" w:cs="Times New Roman"/>
          <w:color w:val="000000" w:themeColor="text1"/>
          <w:sz w:val="28"/>
          <w:szCs w:val="28"/>
          <w:shd w:val="clear" w:color="auto" w:fill="FFFFFF"/>
        </w:rPr>
        <w:t>Агропромышленный  комплекс является важнейшей составной  частью экономики России, где производится жизненно важная для общества продукция, и сосредоточен огромный экономический потенциал. В нем занято почти 30 % работающих в сфере материального производства, задействована пятая часть производственных фондов, и создается около трети валового национального дохода. Развитие агропромышленного комплекса в решающей мере определяет состояние всего народнохозяйственного потенциала, уровень продовольственной безопасности государства и социально-экономическую обстановку в обществе.</w:t>
      </w:r>
      <w:r w:rsidRPr="000A50C1">
        <w:rPr>
          <w:rStyle w:val="apple-converted-space"/>
          <w:rFonts w:ascii="Times New Roman" w:hAnsi="Times New Roman" w:cs="Times New Roman"/>
          <w:color w:val="000000" w:themeColor="text1"/>
          <w:sz w:val="28"/>
          <w:szCs w:val="28"/>
          <w:shd w:val="clear" w:color="auto" w:fill="FFFFFF"/>
        </w:rPr>
        <w:t> </w:t>
      </w:r>
    </w:p>
    <w:p w:rsidR="000A50C1" w:rsidRDefault="007371B6" w:rsidP="000A50C1">
      <w:pPr>
        <w:spacing w:after="0" w:line="360" w:lineRule="auto"/>
        <w:ind w:firstLine="709"/>
        <w:jc w:val="both"/>
        <w:rPr>
          <w:rFonts w:ascii="Times New Roman" w:hAnsi="Times New Roman" w:cs="Times New Roman"/>
          <w:color w:val="000000" w:themeColor="text1"/>
          <w:sz w:val="28"/>
          <w:szCs w:val="28"/>
          <w:shd w:val="clear" w:color="auto" w:fill="FFFFFF"/>
        </w:rPr>
      </w:pPr>
      <w:r w:rsidRPr="000A50C1">
        <w:rPr>
          <w:rFonts w:ascii="Times New Roman" w:hAnsi="Times New Roman" w:cs="Times New Roman"/>
          <w:color w:val="000000" w:themeColor="text1"/>
          <w:sz w:val="28"/>
          <w:szCs w:val="28"/>
          <w:shd w:val="clear" w:color="auto" w:fill="FFFFFF"/>
        </w:rPr>
        <w:t>Важнейшим звеном агропромышленного комплекса является сельское хозяйство. Оно занимает особое место не только в агропромышленном комплексе, но и во всем народном хозяйстве. Сельское хозяйство следует рассматривать не только как отрасль, обеспечивающую страну продуктами питания и промышленность сырьем. Не менее значима его стратегическая роль как крупного заказчика и потребителя промышленной продукции, формирующего, в конечном счете, прибыль в различных отраслях народнохозяйственного комплекса. При этом на предприятиях, работающих на село, как правило, уровень рентабельности значительно выше, чем в сельском хозяйстве. При устойчивом состоянии экономики один крестьянин обеспечивает работой семь-восемь рабочих других отраслей и зарплатой значительно более высокой, чем в сельском хозяйстве</w:t>
      </w:r>
      <w:r w:rsidR="007D39D6">
        <w:rPr>
          <w:rFonts w:ascii="Times New Roman" w:hAnsi="Times New Roman" w:cs="Times New Roman"/>
          <w:color w:val="000000" w:themeColor="text1"/>
          <w:sz w:val="28"/>
          <w:szCs w:val="28"/>
          <w:shd w:val="clear" w:color="auto" w:fill="FFFFFF"/>
        </w:rPr>
        <w:t xml:space="preserve"> </w:t>
      </w:r>
      <w:r w:rsidR="007D39D6" w:rsidRPr="007D39D6">
        <w:rPr>
          <w:rFonts w:ascii="Times New Roman" w:hAnsi="Times New Roman" w:cs="Times New Roman"/>
          <w:color w:val="000000" w:themeColor="text1"/>
          <w:sz w:val="28"/>
          <w:szCs w:val="28"/>
          <w:shd w:val="clear" w:color="auto" w:fill="FFFFFF"/>
        </w:rPr>
        <w:t xml:space="preserve">[2, 24-30 </w:t>
      </w:r>
      <w:r w:rsidR="007D39D6">
        <w:rPr>
          <w:rFonts w:ascii="Times New Roman" w:hAnsi="Times New Roman" w:cs="Times New Roman"/>
          <w:color w:val="000000" w:themeColor="text1"/>
          <w:sz w:val="28"/>
          <w:szCs w:val="28"/>
          <w:shd w:val="clear" w:color="auto" w:fill="FFFFFF"/>
          <w:lang w:val="en-US"/>
        </w:rPr>
        <w:t>c</w:t>
      </w:r>
      <w:r w:rsidR="007D39D6" w:rsidRPr="007D39D6">
        <w:rPr>
          <w:rFonts w:ascii="Times New Roman" w:hAnsi="Times New Roman" w:cs="Times New Roman"/>
          <w:color w:val="000000" w:themeColor="text1"/>
          <w:sz w:val="28"/>
          <w:szCs w:val="28"/>
          <w:shd w:val="clear" w:color="auto" w:fill="FFFFFF"/>
        </w:rPr>
        <w:t>.]</w:t>
      </w:r>
      <w:r w:rsidRPr="000A50C1">
        <w:rPr>
          <w:rFonts w:ascii="Times New Roman" w:hAnsi="Times New Roman" w:cs="Times New Roman"/>
          <w:color w:val="000000" w:themeColor="text1"/>
          <w:sz w:val="28"/>
          <w:szCs w:val="28"/>
          <w:shd w:val="clear" w:color="auto" w:fill="FFFFFF"/>
        </w:rPr>
        <w:t xml:space="preserve">. </w:t>
      </w:r>
    </w:p>
    <w:p w:rsidR="000A50C1" w:rsidRDefault="007371B6" w:rsidP="000A50C1">
      <w:pPr>
        <w:spacing w:after="0" w:line="360" w:lineRule="auto"/>
        <w:ind w:firstLine="709"/>
        <w:jc w:val="both"/>
        <w:rPr>
          <w:rFonts w:ascii="Times New Roman" w:hAnsi="Times New Roman" w:cs="Times New Roman"/>
          <w:color w:val="000000" w:themeColor="text1"/>
          <w:sz w:val="28"/>
          <w:szCs w:val="28"/>
        </w:rPr>
      </w:pPr>
      <w:r w:rsidRPr="000A50C1">
        <w:rPr>
          <w:rFonts w:ascii="Times New Roman" w:hAnsi="Times New Roman" w:cs="Times New Roman"/>
          <w:color w:val="000000" w:themeColor="text1"/>
          <w:sz w:val="28"/>
          <w:szCs w:val="28"/>
          <w:shd w:val="clear" w:color="auto" w:fill="FFFFFF"/>
        </w:rPr>
        <w:t xml:space="preserve">Именно высокий уровень развития сельскохозяйственного производства, его платежеспособность, возможность и необходимость приобретать и поглощать материально-технические ресурсы (технику, запчасти, средства химизации, энергоресурсы и т. д.), являющиеся продукцией </w:t>
      </w:r>
      <w:r w:rsidRPr="000A50C1">
        <w:rPr>
          <w:rFonts w:ascii="Times New Roman" w:hAnsi="Times New Roman" w:cs="Times New Roman"/>
          <w:color w:val="000000" w:themeColor="text1"/>
          <w:sz w:val="28"/>
          <w:szCs w:val="28"/>
          <w:shd w:val="clear" w:color="auto" w:fill="FFFFFF"/>
        </w:rPr>
        <w:lastRenderedPageBreak/>
        <w:t>десятков отраслей, определяет устойчивое развитие всего народнохозяйственного комплекса.</w:t>
      </w:r>
      <w:r w:rsidRPr="000A50C1">
        <w:rPr>
          <w:rStyle w:val="apple-converted-space"/>
          <w:rFonts w:ascii="Times New Roman" w:hAnsi="Times New Roman" w:cs="Times New Roman"/>
          <w:color w:val="000000" w:themeColor="text1"/>
          <w:sz w:val="28"/>
          <w:szCs w:val="28"/>
          <w:shd w:val="clear" w:color="auto" w:fill="FFFFFF"/>
        </w:rPr>
        <w:t> </w:t>
      </w:r>
    </w:p>
    <w:p w:rsidR="000A50C1" w:rsidRDefault="007371B6" w:rsidP="000A50C1">
      <w:pPr>
        <w:spacing w:after="0" w:line="360" w:lineRule="auto"/>
        <w:ind w:firstLine="709"/>
        <w:jc w:val="both"/>
        <w:rPr>
          <w:rFonts w:ascii="Times New Roman" w:hAnsi="Times New Roman" w:cs="Times New Roman"/>
          <w:color w:val="000000" w:themeColor="text1"/>
          <w:sz w:val="28"/>
          <w:szCs w:val="28"/>
        </w:rPr>
      </w:pPr>
      <w:r w:rsidRPr="000A50C1">
        <w:rPr>
          <w:rFonts w:ascii="Times New Roman" w:hAnsi="Times New Roman" w:cs="Times New Roman"/>
          <w:color w:val="000000" w:themeColor="text1"/>
          <w:sz w:val="28"/>
          <w:szCs w:val="28"/>
          <w:shd w:val="clear" w:color="auto" w:fill="FFFFFF"/>
        </w:rPr>
        <w:t>Независимо  от национальной принадлежности, уровня развития, форм собственности, методов  его организации, агропромышленный комплекс имеет свои специфические, присущие только ему особенности, существенно отличающие его от всех других отраслей народнохозяйственного комплекса. Эти особенности наиболее значимо проявляются в условиях рыночной экономики при свободной конкуренции и недостаточном регулировании государством происходящих процессов. Как следствие этого, в большинстве стран мира не только признана необходимость государственного регулирования АПК, но и приняты конкретные законодательные акты, на основе которых выработаны эффективные направления, программы, обеспечивающие устойчивое развитие не только отраслей сельскохозяйственного производства, но и всех сфер деятельности и условий проживания сельского населения.</w:t>
      </w:r>
      <w:r w:rsidRPr="000A50C1">
        <w:rPr>
          <w:rStyle w:val="apple-converted-space"/>
          <w:rFonts w:ascii="Times New Roman" w:hAnsi="Times New Roman" w:cs="Times New Roman"/>
          <w:color w:val="000000" w:themeColor="text1"/>
          <w:sz w:val="28"/>
          <w:szCs w:val="28"/>
          <w:shd w:val="clear" w:color="auto" w:fill="FFFFFF"/>
        </w:rPr>
        <w:t> </w:t>
      </w:r>
    </w:p>
    <w:p w:rsidR="000A50C1" w:rsidRDefault="007371B6" w:rsidP="000A50C1">
      <w:pPr>
        <w:spacing w:after="0" w:line="360" w:lineRule="auto"/>
        <w:ind w:firstLine="709"/>
        <w:jc w:val="both"/>
        <w:rPr>
          <w:rFonts w:ascii="Times New Roman" w:hAnsi="Times New Roman" w:cs="Times New Roman"/>
          <w:color w:val="000000" w:themeColor="text1"/>
          <w:sz w:val="28"/>
          <w:szCs w:val="28"/>
          <w:shd w:val="clear" w:color="auto" w:fill="FFFFFF"/>
        </w:rPr>
      </w:pPr>
      <w:r w:rsidRPr="000A50C1">
        <w:rPr>
          <w:rFonts w:ascii="Times New Roman" w:hAnsi="Times New Roman" w:cs="Times New Roman"/>
          <w:color w:val="000000" w:themeColor="text1"/>
          <w:sz w:val="28"/>
          <w:szCs w:val="28"/>
          <w:shd w:val="clear" w:color="auto" w:fill="FFFFFF"/>
        </w:rPr>
        <w:t>Необходимость регулирования агропромышленного  комплекса всесторонне обоснована в работах, как российских экономистов-аграрников, так и зарубежных. Так С.В. Киселев выделяет три группы причин, обусловливающих необходимость регулирования и поддержки отрасли</w:t>
      </w:r>
      <w:r w:rsidR="007D39D6" w:rsidRPr="007D39D6">
        <w:rPr>
          <w:rFonts w:ascii="Times New Roman" w:hAnsi="Times New Roman" w:cs="Times New Roman"/>
          <w:color w:val="000000" w:themeColor="text1"/>
          <w:sz w:val="28"/>
          <w:szCs w:val="28"/>
          <w:shd w:val="clear" w:color="auto" w:fill="FFFFFF"/>
        </w:rPr>
        <w:t xml:space="preserve"> [1, 17-21 </w:t>
      </w:r>
      <w:r w:rsidR="007D39D6">
        <w:rPr>
          <w:rFonts w:ascii="Times New Roman" w:hAnsi="Times New Roman" w:cs="Times New Roman"/>
          <w:color w:val="000000" w:themeColor="text1"/>
          <w:sz w:val="28"/>
          <w:szCs w:val="28"/>
          <w:shd w:val="clear" w:color="auto" w:fill="FFFFFF"/>
          <w:lang w:val="en-US"/>
        </w:rPr>
        <w:t>c</w:t>
      </w:r>
      <w:r w:rsidR="007D39D6" w:rsidRPr="007D39D6">
        <w:rPr>
          <w:rFonts w:ascii="Times New Roman" w:hAnsi="Times New Roman" w:cs="Times New Roman"/>
          <w:color w:val="000000" w:themeColor="text1"/>
          <w:sz w:val="28"/>
          <w:szCs w:val="28"/>
          <w:shd w:val="clear" w:color="auto" w:fill="FFFFFF"/>
        </w:rPr>
        <w:t>.]</w:t>
      </w:r>
      <w:r w:rsidRPr="000A50C1">
        <w:rPr>
          <w:rFonts w:ascii="Times New Roman" w:hAnsi="Times New Roman" w:cs="Times New Roman"/>
          <w:color w:val="000000" w:themeColor="text1"/>
          <w:sz w:val="28"/>
          <w:szCs w:val="28"/>
          <w:shd w:val="clear" w:color="auto" w:fill="FFFFFF"/>
        </w:rPr>
        <w:t>.</w:t>
      </w:r>
    </w:p>
    <w:p w:rsidR="000A50C1" w:rsidRDefault="007371B6" w:rsidP="000A50C1">
      <w:pPr>
        <w:spacing w:after="0" w:line="360" w:lineRule="auto"/>
        <w:ind w:firstLine="709"/>
        <w:jc w:val="both"/>
        <w:rPr>
          <w:rFonts w:ascii="Times New Roman" w:hAnsi="Times New Roman" w:cs="Times New Roman"/>
          <w:color w:val="000000" w:themeColor="text1"/>
          <w:sz w:val="28"/>
          <w:szCs w:val="28"/>
        </w:rPr>
      </w:pPr>
      <w:r w:rsidRPr="000A50C1">
        <w:rPr>
          <w:rFonts w:ascii="Times New Roman" w:hAnsi="Times New Roman" w:cs="Times New Roman"/>
          <w:color w:val="000000" w:themeColor="text1"/>
          <w:sz w:val="28"/>
          <w:szCs w:val="28"/>
          <w:shd w:val="clear" w:color="auto" w:fill="FFFFFF"/>
        </w:rPr>
        <w:t>Первая  группа причин политического свойства, связанных с ответственностью за продовольственное обеспечение страны, так как высокая степень продовольственной самообеспеченности - необходимое условие внутренней экономической и политической стабильности и реальной независимости государства.</w:t>
      </w:r>
      <w:r w:rsidRPr="000A50C1">
        <w:rPr>
          <w:rStyle w:val="apple-converted-space"/>
          <w:rFonts w:ascii="Times New Roman" w:hAnsi="Times New Roman" w:cs="Times New Roman"/>
          <w:color w:val="000000" w:themeColor="text1"/>
          <w:sz w:val="28"/>
          <w:szCs w:val="28"/>
          <w:shd w:val="clear" w:color="auto" w:fill="FFFFFF"/>
        </w:rPr>
        <w:t> </w:t>
      </w:r>
    </w:p>
    <w:p w:rsidR="000A50C1" w:rsidRDefault="007371B6" w:rsidP="000A50C1">
      <w:pPr>
        <w:spacing w:after="0" w:line="360" w:lineRule="auto"/>
        <w:ind w:firstLine="709"/>
        <w:jc w:val="both"/>
        <w:rPr>
          <w:rFonts w:ascii="Times New Roman" w:hAnsi="Times New Roman" w:cs="Times New Roman"/>
          <w:color w:val="000000" w:themeColor="text1"/>
          <w:sz w:val="28"/>
          <w:szCs w:val="28"/>
        </w:rPr>
      </w:pPr>
      <w:r w:rsidRPr="000A50C1">
        <w:rPr>
          <w:rFonts w:ascii="Times New Roman" w:hAnsi="Times New Roman" w:cs="Times New Roman"/>
          <w:color w:val="000000" w:themeColor="text1"/>
          <w:sz w:val="28"/>
          <w:szCs w:val="28"/>
          <w:shd w:val="clear" w:color="auto" w:fill="FFFFFF"/>
        </w:rPr>
        <w:t xml:space="preserve">Вторая  группа причин связана с отраслевыми особенностями агропромышленного комплекса. Например, влияние природно-климатических факторов диктует необходимость регулируемого государством страхования. Еще большее влияние на эффективность производства оказывает неустойчивость цен, постоянство их колебаний и связанная с этим </w:t>
      </w:r>
      <w:r w:rsidRPr="000A50C1">
        <w:rPr>
          <w:rFonts w:ascii="Times New Roman" w:hAnsi="Times New Roman" w:cs="Times New Roman"/>
          <w:color w:val="000000" w:themeColor="text1"/>
          <w:sz w:val="28"/>
          <w:szCs w:val="28"/>
          <w:shd w:val="clear" w:color="auto" w:fill="FFFFFF"/>
        </w:rPr>
        <w:lastRenderedPageBreak/>
        <w:t>неустойчивость доходов. Низкая степень монополизации по сравнению с другими отраслями обусловливает необходимость защиты интересов сельских производителей в их взаимоотношениях с более монополизированными смежными отраслями экономики. К этим причинам нужно добавить необходимость развития сельской инфраструктуры и экологизации производства.</w:t>
      </w:r>
      <w:r w:rsidRPr="000A50C1">
        <w:rPr>
          <w:rStyle w:val="apple-converted-space"/>
          <w:rFonts w:ascii="Times New Roman" w:hAnsi="Times New Roman" w:cs="Times New Roman"/>
          <w:color w:val="000000" w:themeColor="text1"/>
          <w:sz w:val="28"/>
          <w:szCs w:val="28"/>
          <w:shd w:val="clear" w:color="auto" w:fill="FFFFFF"/>
        </w:rPr>
        <w:t> </w:t>
      </w:r>
    </w:p>
    <w:p w:rsidR="000A50C1" w:rsidRDefault="007371B6" w:rsidP="000A50C1">
      <w:pPr>
        <w:spacing w:after="0" w:line="360" w:lineRule="auto"/>
        <w:ind w:firstLine="709"/>
        <w:jc w:val="both"/>
        <w:rPr>
          <w:rFonts w:ascii="Times New Roman" w:hAnsi="Times New Roman" w:cs="Times New Roman"/>
          <w:color w:val="000000" w:themeColor="text1"/>
          <w:sz w:val="28"/>
          <w:szCs w:val="28"/>
          <w:shd w:val="clear" w:color="auto" w:fill="FFFFFF"/>
        </w:rPr>
      </w:pPr>
      <w:r w:rsidRPr="000A50C1">
        <w:rPr>
          <w:rFonts w:ascii="Times New Roman" w:hAnsi="Times New Roman" w:cs="Times New Roman"/>
          <w:color w:val="000000" w:themeColor="text1"/>
          <w:sz w:val="28"/>
          <w:szCs w:val="28"/>
          <w:shd w:val="clear" w:color="auto" w:fill="FFFFFF"/>
        </w:rPr>
        <w:t>В-третьих, необходимость государственного регулирования  аграрного сектора экономики  обоснована структурными и финансовыми  деформациями, присущими отрасли.</w:t>
      </w:r>
      <w:r w:rsidRPr="000A50C1">
        <w:rPr>
          <w:rStyle w:val="apple-converted-space"/>
          <w:rFonts w:ascii="Times New Roman" w:hAnsi="Times New Roman" w:cs="Times New Roman"/>
          <w:color w:val="000000" w:themeColor="text1"/>
          <w:sz w:val="28"/>
          <w:szCs w:val="28"/>
          <w:shd w:val="clear" w:color="auto" w:fill="FFFFFF"/>
        </w:rPr>
        <w:t> </w:t>
      </w:r>
    </w:p>
    <w:p w:rsidR="000A50C1" w:rsidRDefault="007371B6" w:rsidP="000A50C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7371B6">
        <w:rPr>
          <w:rFonts w:ascii="Times New Roman" w:eastAsia="Times New Roman" w:hAnsi="Times New Roman" w:cs="Times New Roman"/>
          <w:color w:val="000000" w:themeColor="text1"/>
          <w:sz w:val="28"/>
          <w:szCs w:val="28"/>
          <w:shd w:val="clear" w:color="auto" w:fill="FFFFFF"/>
          <w:lang w:eastAsia="ru-RU"/>
        </w:rPr>
        <w:t>Выделяют  следующие формы регулирования  АПК:</w:t>
      </w:r>
    </w:p>
    <w:p w:rsidR="000A50C1" w:rsidRDefault="007371B6" w:rsidP="000A50C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7371B6">
        <w:rPr>
          <w:rFonts w:ascii="Times New Roman" w:eastAsia="Times New Roman" w:hAnsi="Times New Roman" w:cs="Times New Roman"/>
          <w:color w:val="000000" w:themeColor="text1"/>
          <w:sz w:val="28"/>
          <w:szCs w:val="28"/>
          <w:lang w:eastAsia="ru-RU"/>
        </w:rPr>
        <w:t>нормативно-правовое обеспечение, которое заключается в издании соответствующих законов, указов, постановлений, приказов министерств и ведомств, инструкций, нормативов, норм и другой нормативной документации;</w:t>
      </w:r>
    </w:p>
    <w:p w:rsidR="000A50C1" w:rsidRDefault="007371B6" w:rsidP="000A50C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7371B6">
        <w:rPr>
          <w:rFonts w:ascii="Times New Roman" w:eastAsia="Times New Roman" w:hAnsi="Times New Roman" w:cs="Times New Roman"/>
          <w:color w:val="000000" w:themeColor="text1"/>
          <w:sz w:val="28"/>
          <w:szCs w:val="28"/>
          <w:lang w:eastAsia="ru-RU"/>
        </w:rPr>
        <w:t>информационное обеспечение;</w:t>
      </w:r>
    </w:p>
    <w:p w:rsidR="000A50C1" w:rsidRDefault="007371B6" w:rsidP="000A50C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7371B6">
        <w:rPr>
          <w:rFonts w:ascii="Times New Roman" w:eastAsia="Times New Roman" w:hAnsi="Times New Roman" w:cs="Times New Roman"/>
          <w:color w:val="000000" w:themeColor="text1"/>
          <w:sz w:val="28"/>
          <w:szCs w:val="28"/>
          <w:lang w:eastAsia="ru-RU"/>
        </w:rPr>
        <w:t>инфраструктурное обеспечение состоит в создании маркетинговой системы обслуживания, формировании систем оптовых и розничных рынков, организации товарных бирж и ярмарок, создании специализированных лизинговых и страховых компании и т.д.</w:t>
      </w:r>
    </w:p>
    <w:p w:rsidR="000A50C1" w:rsidRDefault="007371B6" w:rsidP="000A50C1">
      <w:pPr>
        <w:spacing w:after="0" w:line="360" w:lineRule="auto"/>
        <w:ind w:firstLine="709"/>
        <w:jc w:val="both"/>
        <w:rPr>
          <w:rFonts w:ascii="Times New Roman" w:hAnsi="Times New Roman" w:cs="Times New Roman"/>
          <w:color w:val="000000" w:themeColor="text1"/>
          <w:sz w:val="28"/>
          <w:szCs w:val="28"/>
          <w:shd w:val="clear" w:color="auto" w:fill="FFFFFF"/>
        </w:rPr>
      </w:pPr>
      <w:r w:rsidRPr="007371B6">
        <w:rPr>
          <w:rFonts w:ascii="Times New Roman" w:eastAsia="Times New Roman" w:hAnsi="Times New Roman" w:cs="Times New Roman"/>
          <w:color w:val="000000" w:themeColor="text1"/>
          <w:sz w:val="28"/>
          <w:szCs w:val="28"/>
          <w:lang w:eastAsia="ru-RU"/>
        </w:rPr>
        <w:t>прогнозирование, программирование и планирование.</w:t>
      </w:r>
    </w:p>
    <w:p w:rsidR="000A50C1" w:rsidRDefault="007371B6" w:rsidP="000A50C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A50C1">
        <w:rPr>
          <w:rFonts w:ascii="Times New Roman" w:eastAsia="Times New Roman" w:hAnsi="Times New Roman" w:cs="Times New Roman"/>
          <w:color w:val="000000" w:themeColor="text1"/>
          <w:sz w:val="28"/>
          <w:szCs w:val="28"/>
          <w:shd w:val="clear" w:color="auto" w:fill="FFFFFF"/>
          <w:lang w:eastAsia="ru-RU"/>
        </w:rPr>
        <w:t>Также принято выделять различные методы регулирования АПК: денежно-кредитные, финансовые, ценовые, методы регулирования рынка продукции.</w:t>
      </w:r>
    </w:p>
    <w:p w:rsidR="000A50C1" w:rsidRDefault="007371B6" w:rsidP="000A50C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A50C1">
        <w:rPr>
          <w:rFonts w:ascii="Times New Roman" w:eastAsia="Times New Roman" w:hAnsi="Times New Roman" w:cs="Times New Roman"/>
          <w:color w:val="000000" w:themeColor="text1"/>
          <w:sz w:val="28"/>
          <w:szCs w:val="28"/>
          <w:shd w:val="clear" w:color="auto" w:fill="FFFFFF"/>
          <w:lang w:eastAsia="ru-RU"/>
        </w:rPr>
        <w:t>К</w:t>
      </w:r>
      <w:r w:rsidRPr="000A50C1">
        <w:rPr>
          <w:rFonts w:ascii="Times New Roman" w:eastAsia="Times New Roman" w:hAnsi="Times New Roman" w:cs="Times New Roman"/>
          <w:color w:val="000000" w:themeColor="text1"/>
          <w:sz w:val="28"/>
          <w:szCs w:val="28"/>
          <w:lang w:eastAsia="ru-RU"/>
        </w:rPr>
        <w:t> </w:t>
      </w:r>
      <w:r w:rsidRPr="000A50C1">
        <w:rPr>
          <w:rFonts w:ascii="Times New Roman" w:eastAsia="Times New Roman" w:hAnsi="Times New Roman" w:cs="Times New Roman"/>
          <w:i/>
          <w:iCs/>
          <w:color w:val="000000" w:themeColor="text1"/>
          <w:sz w:val="28"/>
          <w:szCs w:val="28"/>
          <w:shd w:val="clear" w:color="auto" w:fill="FFFFFF"/>
          <w:lang w:eastAsia="ru-RU"/>
        </w:rPr>
        <w:t>методам регулирования рынка агропромышленной продукции</w:t>
      </w:r>
      <w:r w:rsidRPr="000A50C1">
        <w:rPr>
          <w:rFonts w:ascii="Times New Roman" w:eastAsia="Times New Roman" w:hAnsi="Times New Roman" w:cs="Times New Roman"/>
          <w:color w:val="000000" w:themeColor="text1"/>
          <w:sz w:val="28"/>
          <w:szCs w:val="28"/>
          <w:lang w:eastAsia="ru-RU"/>
        </w:rPr>
        <w:t> </w:t>
      </w:r>
      <w:r w:rsidRPr="000A50C1">
        <w:rPr>
          <w:rFonts w:ascii="Times New Roman" w:eastAsia="Times New Roman" w:hAnsi="Times New Roman" w:cs="Times New Roman"/>
          <w:color w:val="000000" w:themeColor="text1"/>
          <w:sz w:val="28"/>
          <w:szCs w:val="28"/>
          <w:shd w:val="clear" w:color="auto" w:fill="FFFFFF"/>
          <w:lang w:eastAsia="ru-RU"/>
        </w:rPr>
        <w:t>относятся следующие государственные меры: закупки товаров в федеральный и региональный фонды, различные залоговые операции, квотирование, закупочные и товарные интервенции, таможенные пошлины и квоты, меры по стимулированию экспорта и меры, направленные на активизацию спроса на продовольствие.</w:t>
      </w:r>
    </w:p>
    <w:p w:rsidR="000A50C1" w:rsidRDefault="007371B6" w:rsidP="000A50C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A50C1">
        <w:rPr>
          <w:rFonts w:ascii="Times New Roman" w:eastAsia="Times New Roman" w:hAnsi="Times New Roman" w:cs="Times New Roman"/>
          <w:color w:val="000000" w:themeColor="text1"/>
          <w:sz w:val="28"/>
          <w:szCs w:val="28"/>
          <w:shd w:val="clear" w:color="auto" w:fill="FFFFFF"/>
          <w:lang w:eastAsia="ru-RU"/>
        </w:rPr>
        <w:lastRenderedPageBreak/>
        <w:t>Государство проводит закупочные интервенции, товарные интервенции для регулирования рынка сельскохозяйственной продукции, сырья и продовольствия. Государственные закупочные интервенции, товарные интервенции проводятся в целях стабилизации цен на рынке сельскохозяйственной продукции, сырья и продовольствия и поддержания уровня доходов сельскохозяйственных товаропроизводителей.</w:t>
      </w:r>
    </w:p>
    <w:p w:rsidR="000A50C1" w:rsidRDefault="007371B6" w:rsidP="000A50C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A50C1">
        <w:rPr>
          <w:rFonts w:ascii="Times New Roman" w:eastAsia="Times New Roman" w:hAnsi="Times New Roman" w:cs="Times New Roman"/>
          <w:color w:val="000000" w:themeColor="text1"/>
          <w:sz w:val="28"/>
          <w:szCs w:val="28"/>
          <w:shd w:val="clear" w:color="auto" w:fill="FFFFFF"/>
          <w:lang w:eastAsia="ru-RU"/>
        </w:rPr>
        <w:t>Государственные закупочные интервенции проводятся при снижении цен на реализуемую  сельскохозяйственную продукцию ниже минимальных расчетных цен путем  закупки, в том числе на биржевых торгах, у сельскохозяйственных товаропроизводителей произведенной ими сельскохозяйственной продукции или путем проведения залоговых операций в отношении данной продукции</w:t>
      </w:r>
      <w:r w:rsidR="007D39D6" w:rsidRPr="007D39D6">
        <w:rPr>
          <w:rFonts w:ascii="Times New Roman" w:eastAsia="Times New Roman" w:hAnsi="Times New Roman" w:cs="Times New Roman"/>
          <w:color w:val="000000" w:themeColor="text1"/>
          <w:sz w:val="28"/>
          <w:szCs w:val="28"/>
          <w:shd w:val="clear" w:color="auto" w:fill="FFFFFF"/>
          <w:lang w:eastAsia="ru-RU"/>
        </w:rPr>
        <w:t xml:space="preserve"> [8, 25-30 </w:t>
      </w:r>
      <w:r w:rsidR="007D39D6">
        <w:rPr>
          <w:rFonts w:ascii="Times New Roman" w:eastAsia="Times New Roman" w:hAnsi="Times New Roman" w:cs="Times New Roman"/>
          <w:color w:val="000000" w:themeColor="text1"/>
          <w:sz w:val="28"/>
          <w:szCs w:val="28"/>
          <w:shd w:val="clear" w:color="auto" w:fill="FFFFFF"/>
          <w:lang w:val="en-US" w:eastAsia="ru-RU"/>
        </w:rPr>
        <w:t>c</w:t>
      </w:r>
      <w:r w:rsidR="007D39D6" w:rsidRPr="007D39D6">
        <w:rPr>
          <w:rFonts w:ascii="Times New Roman" w:eastAsia="Times New Roman" w:hAnsi="Times New Roman" w:cs="Times New Roman"/>
          <w:color w:val="000000" w:themeColor="text1"/>
          <w:sz w:val="28"/>
          <w:szCs w:val="28"/>
          <w:shd w:val="clear" w:color="auto" w:fill="FFFFFF"/>
          <w:lang w:eastAsia="ru-RU"/>
        </w:rPr>
        <w:t>.]</w:t>
      </w:r>
      <w:r w:rsidRPr="000A50C1">
        <w:rPr>
          <w:rFonts w:ascii="Times New Roman" w:eastAsia="Times New Roman" w:hAnsi="Times New Roman" w:cs="Times New Roman"/>
          <w:color w:val="000000" w:themeColor="text1"/>
          <w:sz w:val="28"/>
          <w:szCs w:val="28"/>
          <w:shd w:val="clear" w:color="auto" w:fill="FFFFFF"/>
          <w:lang w:eastAsia="ru-RU"/>
        </w:rPr>
        <w:t>.</w:t>
      </w:r>
    </w:p>
    <w:p w:rsidR="000A50C1" w:rsidRDefault="007371B6" w:rsidP="000A50C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A50C1">
        <w:rPr>
          <w:rFonts w:ascii="Times New Roman" w:eastAsia="Times New Roman" w:hAnsi="Times New Roman" w:cs="Times New Roman"/>
          <w:color w:val="000000" w:themeColor="text1"/>
          <w:sz w:val="28"/>
          <w:szCs w:val="28"/>
          <w:shd w:val="clear" w:color="auto" w:fill="FFFFFF"/>
          <w:lang w:eastAsia="ru-RU"/>
        </w:rPr>
        <w:t>Государственные товарные интервенции  проводятся при  росте цен на реализуемую сельскохозяйственную продукцию свыше максимальных расчетных цен путем продажи закупленной сельскохозяйственной продукции, в том числе на биржевых торгах.</w:t>
      </w:r>
    </w:p>
    <w:p w:rsidR="000A50C1" w:rsidRDefault="007371B6" w:rsidP="000A50C1">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A50C1">
        <w:rPr>
          <w:rFonts w:ascii="Times New Roman" w:eastAsia="Times New Roman" w:hAnsi="Times New Roman" w:cs="Times New Roman"/>
          <w:color w:val="000000" w:themeColor="text1"/>
          <w:sz w:val="28"/>
          <w:szCs w:val="28"/>
          <w:shd w:val="clear" w:color="auto" w:fill="FFFFFF"/>
          <w:lang w:eastAsia="ru-RU"/>
        </w:rPr>
        <w:t>Проведение  товарных и закупочных интервенций  сопровождается  мерами по ограничению  ввоза сельскохозяйственной продукции на территорию страны и вывоза сельскохозяйственной продукции с территории страны.</w:t>
      </w:r>
    </w:p>
    <w:p w:rsidR="007371B6" w:rsidRPr="000A50C1" w:rsidRDefault="007371B6" w:rsidP="000A50C1">
      <w:pPr>
        <w:spacing w:after="0" w:line="360" w:lineRule="auto"/>
        <w:ind w:firstLine="709"/>
        <w:jc w:val="both"/>
        <w:rPr>
          <w:rFonts w:ascii="Times New Roman" w:hAnsi="Times New Roman" w:cs="Times New Roman"/>
          <w:color w:val="000000" w:themeColor="text1"/>
          <w:sz w:val="28"/>
          <w:szCs w:val="28"/>
          <w:shd w:val="clear" w:color="auto" w:fill="FFFFFF"/>
        </w:rPr>
      </w:pPr>
      <w:r w:rsidRPr="000A50C1">
        <w:rPr>
          <w:rFonts w:ascii="Times New Roman" w:eastAsia="Times New Roman" w:hAnsi="Times New Roman" w:cs="Times New Roman"/>
          <w:i/>
          <w:iCs/>
          <w:color w:val="000000" w:themeColor="text1"/>
          <w:sz w:val="28"/>
          <w:szCs w:val="28"/>
          <w:shd w:val="clear" w:color="auto" w:fill="FFFFFF"/>
          <w:lang w:eastAsia="ru-RU"/>
        </w:rPr>
        <w:t>Ценовое регулирование</w:t>
      </w:r>
      <w:r w:rsidRPr="000A50C1">
        <w:rPr>
          <w:rFonts w:ascii="Times New Roman" w:eastAsia="Times New Roman" w:hAnsi="Times New Roman" w:cs="Times New Roman"/>
          <w:color w:val="000000" w:themeColor="text1"/>
          <w:sz w:val="28"/>
          <w:szCs w:val="28"/>
          <w:lang w:eastAsia="ru-RU"/>
        </w:rPr>
        <w:t> </w:t>
      </w:r>
      <w:r w:rsidRPr="000A50C1">
        <w:rPr>
          <w:rFonts w:ascii="Times New Roman" w:eastAsia="Times New Roman" w:hAnsi="Times New Roman" w:cs="Times New Roman"/>
          <w:color w:val="000000" w:themeColor="text1"/>
          <w:sz w:val="28"/>
          <w:szCs w:val="28"/>
          <w:shd w:val="clear" w:color="auto" w:fill="FFFFFF"/>
          <w:lang w:eastAsia="ru-RU"/>
        </w:rPr>
        <w:t>АПК заключается в установлении различного рода цен: рыночные, гарантированные, целевые, ориентировочные,  и надбавок к цене на продукцию.</w:t>
      </w:r>
      <w:r w:rsidRPr="000A50C1">
        <w:rPr>
          <w:rFonts w:ascii="Times New Roman" w:eastAsia="Times New Roman" w:hAnsi="Times New Roman" w:cs="Times New Roman"/>
          <w:color w:val="000000" w:themeColor="text1"/>
          <w:sz w:val="28"/>
          <w:szCs w:val="28"/>
          <w:lang w:eastAsia="ru-RU"/>
        </w:rPr>
        <w:t> </w:t>
      </w:r>
    </w:p>
    <w:p w:rsidR="007371B6" w:rsidRPr="000A50C1" w:rsidRDefault="007371B6" w:rsidP="000A50C1">
      <w:pPr>
        <w:spacing w:after="0" w:line="360" w:lineRule="auto"/>
        <w:ind w:firstLine="709"/>
        <w:jc w:val="both"/>
        <w:rPr>
          <w:rFonts w:ascii="Times New Roman" w:hAnsi="Times New Roman" w:cs="Times New Roman"/>
          <w:color w:val="000000" w:themeColor="text1"/>
          <w:sz w:val="28"/>
          <w:szCs w:val="28"/>
        </w:rPr>
      </w:pPr>
    </w:p>
    <w:p w:rsidR="007371B6" w:rsidRPr="000A50C1" w:rsidRDefault="007371B6">
      <w:pPr>
        <w:rPr>
          <w:rFonts w:ascii="Times New Roman" w:hAnsi="Times New Roman" w:cs="Times New Roman"/>
          <w:sz w:val="28"/>
          <w:szCs w:val="28"/>
        </w:rPr>
      </w:pPr>
    </w:p>
    <w:p w:rsidR="007371B6" w:rsidRPr="000A50C1" w:rsidRDefault="007371B6">
      <w:pPr>
        <w:rPr>
          <w:rFonts w:ascii="Times New Roman" w:hAnsi="Times New Roman" w:cs="Times New Roman"/>
          <w:sz w:val="28"/>
          <w:szCs w:val="28"/>
        </w:rPr>
      </w:pPr>
    </w:p>
    <w:p w:rsidR="007371B6" w:rsidRDefault="007371B6">
      <w:pPr>
        <w:rPr>
          <w:rFonts w:ascii="Times New Roman" w:hAnsi="Times New Roman" w:cs="Times New Roman"/>
          <w:sz w:val="28"/>
          <w:szCs w:val="28"/>
        </w:rPr>
      </w:pPr>
    </w:p>
    <w:p w:rsidR="000A50C1" w:rsidRDefault="000A50C1">
      <w:pPr>
        <w:rPr>
          <w:rFonts w:ascii="Times New Roman" w:hAnsi="Times New Roman" w:cs="Times New Roman"/>
          <w:sz w:val="28"/>
          <w:szCs w:val="28"/>
        </w:rPr>
      </w:pPr>
    </w:p>
    <w:p w:rsidR="000A50C1" w:rsidRPr="000A50C1" w:rsidRDefault="000A50C1">
      <w:pPr>
        <w:rPr>
          <w:rFonts w:ascii="Times New Roman" w:hAnsi="Times New Roman" w:cs="Times New Roman"/>
          <w:sz w:val="28"/>
          <w:szCs w:val="28"/>
        </w:rPr>
      </w:pPr>
    </w:p>
    <w:p w:rsidR="007371B6" w:rsidRPr="000A50C1" w:rsidRDefault="007371B6" w:rsidP="000A50C1">
      <w:pPr>
        <w:jc w:val="center"/>
        <w:rPr>
          <w:rFonts w:ascii="Times New Roman" w:hAnsi="Times New Roman" w:cs="Times New Roman"/>
          <w:b/>
          <w:sz w:val="28"/>
          <w:szCs w:val="28"/>
        </w:rPr>
      </w:pPr>
      <w:r w:rsidRPr="000A50C1">
        <w:rPr>
          <w:rFonts w:ascii="Times New Roman" w:hAnsi="Times New Roman" w:cs="Times New Roman"/>
          <w:b/>
          <w:sz w:val="28"/>
          <w:szCs w:val="28"/>
        </w:rPr>
        <w:lastRenderedPageBreak/>
        <w:t xml:space="preserve">2. АПК России: статистика, </w:t>
      </w:r>
      <w:r w:rsidR="000A50C1">
        <w:rPr>
          <w:rFonts w:ascii="Times New Roman" w:hAnsi="Times New Roman" w:cs="Times New Roman"/>
          <w:b/>
          <w:sz w:val="28"/>
          <w:szCs w:val="28"/>
        </w:rPr>
        <w:t>проблемы и перспективы развития</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Pr>
          <w:color w:val="000000"/>
          <w:sz w:val="28"/>
          <w:szCs w:val="28"/>
        </w:rPr>
        <w:t>В 2015</w:t>
      </w:r>
      <w:r w:rsidRPr="000A50C1">
        <w:rPr>
          <w:color w:val="000000"/>
          <w:sz w:val="28"/>
          <w:szCs w:val="28"/>
        </w:rPr>
        <w:t xml:space="preserve"> году общий объём валовой продукции сельского хозяйства на предприятиях всех категорий вырос на 2,8%. Получены хорошие производственные показатели по отдельным отраслям растениеводства – валовой сбор зерна составил более 78,4 млн.т. Сохранён экспортный потенциал зерна – около 10 млн.т. Впервые было получено более 3,6 млн.т. кукурузы на зерно, почти 30 млн.т. сахарной свеклы, 6,7 млн.т. подсолнечника. Были расширены посевные площади зерновых и бобовых культур, общие посевы которых занимают свыше половины посевной площади сельскохозяйственных культур. На долю зерна приходится около 28% стоимости валовой продукции растениеводства. В выручке от реализации продукции растениеводства зерно составляет около 56 %, а в общей выручке от продажи сельского хозяйства – почти пятую часть. Производство продукции основных сел</w:t>
      </w:r>
      <w:r>
        <w:rPr>
          <w:color w:val="000000"/>
          <w:sz w:val="28"/>
          <w:szCs w:val="28"/>
        </w:rPr>
        <w:t>ьскохозяйственных культур в 2015</w:t>
      </w:r>
      <w:r w:rsidRPr="000A50C1">
        <w:rPr>
          <w:color w:val="000000"/>
          <w:sz w:val="28"/>
          <w:szCs w:val="28"/>
        </w:rPr>
        <w:t xml:space="preserve"> году было выше, чем в среднем за пять предшествующих лет</w:t>
      </w:r>
      <w:r w:rsidR="007D39D6" w:rsidRPr="007D39D6">
        <w:rPr>
          <w:color w:val="000000"/>
          <w:sz w:val="28"/>
          <w:szCs w:val="28"/>
        </w:rPr>
        <w:t xml:space="preserve"> [3, 3-13 </w:t>
      </w:r>
      <w:r w:rsidR="007D39D6">
        <w:rPr>
          <w:color w:val="000000"/>
          <w:sz w:val="28"/>
          <w:szCs w:val="28"/>
          <w:lang w:val="en-US"/>
        </w:rPr>
        <w:t>c</w:t>
      </w:r>
      <w:r w:rsidR="007D39D6" w:rsidRPr="007D39D6">
        <w:rPr>
          <w:color w:val="000000"/>
          <w:sz w:val="28"/>
          <w:szCs w:val="28"/>
        </w:rPr>
        <w:t>.]</w:t>
      </w:r>
      <w:r w:rsidRPr="000A50C1">
        <w:rPr>
          <w:color w:val="000000"/>
          <w:sz w:val="28"/>
          <w:szCs w:val="28"/>
        </w:rPr>
        <w:t>.</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 xml:space="preserve">Определённые успехи достигнуты в отдельных </w:t>
      </w:r>
      <w:r>
        <w:rPr>
          <w:color w:val="000000"/>
          <w:sz w:val="28"/>
          <w:szCs w:val="28"/>
        </w:rPr>
        <w:t>отраслях животноводства. За 2015</w:t>
      </w:r>
      <w:r w:rsidRPr="000A50C1">
        <w:rPr>
          <w:color w:val="000000"/>
          <w:sz w:val="28"/>
          <w:szCs w:val="28"/>
        </w:rPr>
        <w:t xml:space="preserve"> год производство скота и птицы на убой в живом весе в хозяйствах всех категорий составило 7,9 млн.т., что на 4,6 % больш</w:t>
      </w:r>
      <w:r>
        <w:rPr>
          <w:color w:val="000000"/>
          <w:sz w:val="28"/>
          <w:szCs w:val="28"/>
        </w:rPr>
        <w:t xml:space="preserve">е соответствующего периода 2014 </w:t>
      </w:r>
      <w:r w:rsidRPr="000A50C1">
        <w:rPr>
          <w:color w:val="000000"/>
          <w:sz w:val="28"/>
          <w:szCs w:val="28"/>
        </w:rPr>
        <w:t>года, молока – 31,1 млн.т. (больше на 0,6 %). Производство свиней на убой возросло на 8,7 %, птицы на 14,7 %. Продолжается рост молочной продуктивности коров и яйценоскости птицы.</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Динамично развивались многие отрасли пищевой и перерабатывающей промышленности. Перерабатывающие предприятия начали активно включаться в сельскохозяйственного производство с целью создания устойчивой сырьевой базы. В результате индекс физического объёма п</w:t>
      </w:r>
      <w:r>
        <w:rPr>
          <w:color w:val="000000"/>
          <w:sz w:val="28"/>
          <w:szCs w:val="28"/>
        </w:rPr>
        <w:t>роизводственной продукции в 2015</w:t>
      </w:r>
      <w:r w:rsidRPr="000A50C1">
        <w:rPr>
          <w:color w:val="000000"/>
          <w:sz w:val="28"/>
          <w:szCs w:val="28"/>
        </w:rPr>
        <w:t xml:space="preserve"> го</w:t>
      </w:r>
      <w:r>
        <w:rPr>
          <w:color w:val="000000"/>
          <w:sz w:val="28"/>
          <w:szCs w:val="28"/>
        </w:rPr>
        <w:t>ду составил 10,3 % к уровню 2014</w:t>
      </w:r>
      <w:r w:rsidRPr="000A50C1">
        <w:rPr>
          <w:color w:val="000000"/>
          <w:sz w:val="28"/>
          <w:szCs w:val="28"/>
        </w:rPr>
        <w:t xml:space="preserve"> года. В мясной и молочной отраслях расширился ассортимент и увеличился выпуск продукции пользующейся повышенным спросом населения.</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 xml:space="preserve">Приход в отрасль эффективных инвесторов и предпринятые меры государственной поддержки вызвали рост инвестиций в основной капитал </w:t>
      </w:r>
      <w:r w:rsidRPr="000A50C1">
        <w:rPr>
          <w:color w:val="000000"/>
          <w:sz w:val="28"/>
          <w:szCs w:val="28"/>
        </w:rPr>
        <w:lastRenderedPageBreak/>
        <w:t>предприятий АПК. С учётом национальног</w:t>
      </w:r>
      <w:r>
        <w:rPr>
          <w:color w:val="000000"/>
          <w:sz w:val="28"/>
          <w:szCs w:val="28"/>
        </w:rPr>
        <w:t>о проекта они увеличились в 2015 году до 249 млрд. руб., в 2014</w:t>
      </w:r>
      <w:r w:rsidRPr="000A50C1">
        <w:rPr>
          <w:color w:val="000000"/>
          <w:sz w:val="28"/>
          <w:szCs w:val="28"/>
        </w:rPr>
        <w:t xml:space="preserve"> году – 160 млрд. руб. Доля прибыльных организаций возросла с 58 % до 68 %.</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Несмотря на сложности, которые в настоящее время переживает отечественный агропромышленный комплекс, аналитики отмечают перспективность его развития. Оптимизм внушают активные меры государства, направленные на возрождение собственной продовольственной базы и защиту отечественного производителя сельхозпродукции. В целом развитие АПК динамично проводится по основным направлениям.</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Рост объемов производства продукции сельского хозяйства за счет мероприятий по улучшению технического состояния, материальной и сырьевой базы малых форм хозяйствования (фермерских и личных подсобных хозяйств), жилищных условий на селе. Одновременно проводятся мероприятия по улучшению плодородного слоя почвы, технического переоснащения отрасли.</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Конструктивные меры в ускоренном развитии животноводства позволили существенно поднять показатели роста объемов производства в таких направлениях, как птицеводство и свиноводство. Ситуация по скотоводству и выращиванию крупного рогатого скота остается напряженной, но восстановительные меры в этой отрасли позволяют надеяться на повышение продуктивности. Для этого организуются реконструктивные мероприятия по приобретению племенного скота с высокими показателями эффективного производства. Вводятся меры по повышению рентабельности производства молока и мяса как основных ценных продуктов питания</w:t>
      </w:r>
      <w:r w:rsidR="007D39D6" w:rsidRPr="007D39D6">
        <w:rPr>
          <w:color w:val="000000"/>
          <w:sz w:val="28"/>
          <w:szCs w:val="28"/>
        </w:rPr>
        <w:t xml:space="preserve"> [5, 9-14 </w:t>
      </w:r>
      <w:r w:rsidR="007D39D6">
        <w:rPr>
          <w:color w:val="000000"/>
          <w:sz w:val="28"/>
          <w:szCs w:val="28"/>
          <w:lang w:val="en-US"/>
        </w:rPr>
        <w:t>c</w:t>
      </w:r>
      <w:r w:rsidR="007D39D6" w:rsidRPr="007D39D6">
        <w:rPr>
          <w:color w:val="000000"/>
          <w:sz w:val="28"/>
          <w:szCs w:val="28"/>
        </w:rPr>
        <w:t>.]</w:t>
      </w:r>
      <w:r w:rsidRPr="000A50C1">
        <w:rPr>
          <w:color w:val="000000"/>
          <w:sz w:val="28"/>
          <w:szCs w:val="28"/>
        </w:rPr>
        <w:t>.</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 xml:space="preserve">Плачевная ситуация в сельскохозяйственном машиностроении продолжается не одно десятилетие – устаревший фонд сельхозтехники не соответствует требованиям времени, существенно ограничивая возможности производства. Дефицит финансирования не позволяет обновить отсталую техническую базу хозяйственников, что привело к возрождению </w:t>
      </w:r>
      <w:r w:rsidRPr="000A50C1">
        <w:rPr>
          <w:color w:val="000000"/>
          <w:sz w:val="28"/>
          <w:szCs w:val="28"/>
        </w:rPr>
        <w:lastRenderedPageBreak/>
        <w:t>малоэффективного и убыточного экстенсивного способа хозяйствования. В результате планомерно снижаются объемы сельхозпроизводства и растет доля импортной продукции на отечественном рынке. В целях изменения ситуации в машиностроительной отрасли и сельхозиндустрии вводятся меры популяризации лизинговых программ на приобретение техники с длительными сроками кредитования и выгодными процентными ставками.</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Перспективным направлением развития АПК является пересмотр всей системы финансирования с целью обеспечить хозяйственников средствами для приобретения минеральных удобрений, горюче-смазочных материалов, материалов, качественных кормов в необходимых для эффективного производства объемах. Также требуют внимания такие актуальные вопросы, как повышение оплаты труда сельхозработникам, что позволяет привлечь на село специалистов и, тем самым, решить вопрос дефицита квалифицированных кадров.</w:t>
      </w:r>
    </w:p>
    <w:p w:rsidR="000A50C1" w:rsidRPr="000A50C1" w:rsidRDefault="000A50C1">
      <w:pPr>
        <w:rPr>
          <w:rFonts w:ascii="Times New Roman" w:hAnsi="Times New Roman" w:cs="Times New Roman"/>
          <w:sz w:val="28"/>
          <w:szCs w:val="28"/>
        </w:rPr>
      </w:pPr>
    </w:p>
    <w:p w:rsidR="007371B6" w:rsidRPr="000A50C1" w:rsidRDefault="007371B6" w:rsidP="000A50C1">
      <w:pPr>
        <w:jc w:val="center"/>
        <w:rPr>
          <w:rFonts w:ascii="Times New Roman" w:hAnsi="Times New Roman" w:cs="Times New Roman"/>
          <w:b/>
          <w:sz w:val="28"/>
          <w:szCs w:val="28"/>
        </w:rPr>
      </w:pPr>
      <w:r w:rsidRPr="000A50C1">
        <w:rPr>
          <w:rFonts w:ascii="Times New Roman" w:hAnsi="Times New Roman" w:cs="Times New Roman"/>
          <w:b/>
          <w:sz w:val="28"/>
          <w:szCs w:val="28"/>
        </w:rPr>
        <w:t>3. Государств</w:t>
      </w:r>
      <w:r w:rsidR="000A50C1">
        <w:rPr>
          <w:rFonts w:ascii="Times New Roman" w:hAnsi="Times New Roman" w:cs="Times New Roman"/>
          <w:b/>
          <w:sz w:val="28"/>
          <w:szCs w:val="28"/>
        </w:rPr>
        <w:t>енная поддержка российского АПК</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Государственная поддержка агропромышленного комплекса в Российской Федерации осуществляется в рамках реализации Государственной программы развития сельского хозяйства и регулирования рынков сельскохозяйственной продукции, сырья и продовольствия на 2013-2020 годы, утвержденной постановлением Правительства Российской Федерации от 14.07. 2012 г. N 717 (далее – Государственная программа).</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Государственная программа развития АПК на 2013-2020 годы разработана в соответствии со статьей 8 Федерального закона от 29 декабря 2006 г. № 264-ФЗ «О ра</w:t>
      </w:r>
      <w:r>
        <w:rPr>
          <w:rFonts w:ascii="Times New Roman" w:eastAsia="Times New Roman" w:hAnsi="Times New Roman" w:cs="Times New Roman"/>
          <w:color w:val="000000"/>
          <w:sz w:val="28"/>
          <w:szCs w:val="28"/>
          <w:lang w:eastAsia="ru-RU"/>
        </w:rPr>
        <w:t>звитии сельского хозяйства»</w:t>
      </w:r>
      <w:r w:rsidR="007D39D6" w:rsidRPr="007D39D6">
        <w:rPr>
          <w:rFonts w:ascii="Times New Roman" w:eastAsia="Times New Roman" w:hAnsi="Times New Roman" w:cs="Times New Roman"/>
          <w:color w:val="000000"/>
          <w:sz w:val="28"/>
          <w:szCs w:val="28"/>
          <w:lang w:eastAsia="ru-RU"/>
        </w:rPr>
        <w:t xml:space="preserve"> [10]</w:t>
      </w:r>
      <w:r>
        <w:rPr>
          <w:rFonts w:ascii="Times New Roman" w:eastAsia="Times New Roman" w:hAnsi="Times New Roman" w:cs="Times New Roman"/>
          <w:color w:val="000000"/>
          <w:sz w:val="28"/>
          <w:szCs w:val="28"/>
          <w:lang w:eastAsia="ru-RU"/>
        </w:rPr>
        <w:t xml:space="preserve">. </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Ответственным исполнителем Государственной программы является Министерство сельского хозяйства Российской Федерации. Также имеются соисполнители Государственной программы – Россельхознадзор и Российская академия сельскохозяйственных наук.</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lastRenderedPageBreak/>
        <w:t>Целями Государственной программы на период до 2020 г. являются:</w:t>
      </w:r>
    </w:p>
    <w:p w:rsidR="000A50C1" w:rsidRPr="000A50C1" w:rsidRDefault="000A50C1" w:rsidP="000A50C1">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обеспечение продовольственной независимости страны в параметрах, заданных Доктриной продовольственной безопасности Российской Федерации;</w:t>
      </w:r>
    </w:p>
    <w:p w:rsidR="000A50C1" w:rsidRPr="000A50C1" w:rsidRDefault="000A50C1" w:rsidP="000A50C1">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повышение конкурентоспособности российской сельскохозяйственной продукции на внутреннем и внешнем рынках на основе инновационного развития АПК, оптимизации его институциональной структуры, создания благоприятной среды для развития предпринимательства, повышения инвестиционной привлекательности отрасли;</w:t>
      </w:r>
    </w:p>
    <w:p w:rsidR="000A50C1" w:rsidRPr="000A50C1" w:rsidRDefault="000A50C1" w:rsidP="000A50C1">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обеспечение финансовой устойчивости товаропроизводителей АПК;</w:t>
      </w:r>
    </w:p>
    <w:p w:rsidR="000A50C1" w:rsidRPr="000A50C1" w:rsidRDefault="000A50C1" w:rsidP="000A50C1">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воспроизводство и повышение эффективности использования в сельском хозяйстве земельных и других природных ресурсов, экологизация производства;</w:t>
      </w:r>
    </w:p>
    <w:p w:rsidR="000A50C1" w:rsidRPr="000A50C1" w:rsidRDefault="000A50C1" w:rsidP="000A50C1">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устойчивое развитие сельских территорий.</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Для достижения этих целей в Государственной программе предусматривается решение следующих задач, реализуемых в федеральных целевых программах, подпрограммах, основных мероприятиях:</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1) стимулирование роста производства основных видов сельскохозяйственной продукции;</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2) создание условий для сохранения и восстановления плодородия почв, развитие мелиорации сельскохозяйственных земель;</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3) повышение эффективности регулирования внутренних и внешних рынков сельскохозяйственной продукции, сырья и продовольствия;</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4) поддержка малых форм хозяйствования;</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5) техническая и технологическая модернизация, стимулирование инвестиционной деятельности и инновационного развития агропромышленного комплекса;</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lastRenderedPageBreak/>
        <w:t>6) рост доходности сельскохозяйственных товаропроизводителей, создание организационно-экономических условий для расширенного воспроизводства;</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7) совершенствование системы информационного обеспечения в сфере АПК;</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8) научное обеспечение реализации мероприятий по развитию агропромышленного производства и регулированию рынков сельскохозяйственной продукции, сырья и продовольствия;</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9) совершенствование управления в сфере агропромышленного комплекса.</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10) повышение занятости, уровня и качества жизни сельского населения.</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За период реализации приоритетного национального проекта «Развитие агропромышленного комплекса» и Государственной программы был обеспечен рост валовой продукции сельского хозяйства и производства пищевых продуктов, несколько улучшилась экономика сельскохозяйственных организаций, получила развитие деятельность крупных агропромышленных формирований, активизировалась работа по социальному развитию сельских территорий. Благодаря значительным инвестиционным вложениям и использованию инновационных технологий существенно возросли темпы восстановления производства свинины, а по мясу птицы – превышен его дореформенный</w:t>
      </w:r>
      <w:r>
        <w:rPr>
          <w:rFonts w:ascii="Times New Roman" w:eastAsia="Times New Roman" w:hAnsi="Times New Roman" w:cs="Times New Roman"/>
          <w:color w:val="000000"/>
          <w:sz w:val="28"/>
          <w:szCs w:val="28"/>
          <w:lang w:eastAsia="ru-RU"/>
        </w:rPr>
        <w:t xml:space="preserve"> </w:t>
      </w:r>
      <w:r w:rsidRPr="000A50C1">
        <w:rPr>
          <w:rFonts w:ascii="Times New Roman" w:eastAsia="Times New Roman" w:hAnsi="Times New Roman" w:cs="Times New Roman"/>
          <w:color w:val="000000"/>
          <w:sz w:val="28"/>
          <w:szCs w:val="28"/>
          <w:lang w:eastAsia="ru-RU"/>
        </w:rPr>
        <w:t>уровень.</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Вместе с тем, перечень проблем обеспечения поступательного экономического развития АПК сохраняются. Мировой финансовый и экономический кризис, начавшийся в 2008 г., а также жестокая засуха в 2010</w:t>
      </w:r>
      <w:r>
        <w:rPr>
          <w:rFonts w:ascii="Times New Roman" w:eastAsia="Times New Roman" w:hAnsi="Times New Roman" w:cs="Times New Roman"/>
          <w:color w:val="000000"/>
          <w:sz w:val="28"/>
          <w:szCs w:val="28"/>
          <w:lang w:eastAsia="ru-RU"/>
        </w:rPr>
        <w:t xml:space="preserve"> </w:t>
      </w:r>
      <w:r w:rsidRPr="000A50C1">
        <w:rPr>
          <w:rFonts w:ascii="Times New Roman" w:eastAsia="Times New Roman" w:hAnsi="Times New Roman" w:cs="Times New Roman"/>
          <w:color w:val="000000"/>
          <w:sz w:val="28"/>
          <w:szCs w:val="28"/>
          <w:lang w:eastAsia="ru-RU"/>
        </w:rPr>
        <w:t>г., охватившая 43 субъекта Российской Федерации, в которых сосредоточено более 60% посевных площадей страны, негативно отразились на инвестиционном климате в агропромышленном комплексе, динамике развития сельскохозяйственного производства, балансе экспорта и импорта.</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 xml:space="preserve">За счет средства федерального бюджета и бюджетов субъектов Российской Федерации, направляемых на цели поддержки определенных </w:t>
      </w:r>
      <w:r w:rsidRPr="000A50C1">
        <w:rPr>
          <w:rFonts w:ascii="Times New Roman" w:eastAsia="Times New Roman" w:hAnsi="Times New Roman" w:cs="Times New Roman"/>
          <w:color w:val="000000"/>
          <w:sz w:val="28"/>
          <w:szCs w:val="28"/>
          <w:lang w:eastAsia="ru-RU"/>
        </w:rPr>
        <w:lastRenderedPageBreak/>
        <w:t>подотраслей сельского хозяйства, предполагается снизить затраты и повысить уровень рентабельности, что позволит ежегодно увеличивать объемы производимой продукции, наращивать производство, вытеснять экспортную продукцию и формировать благоприятную среду для привлечения инвесторов.</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Общий объем финансирования мероприятий Государственной программы в 2013-2020 годы составит за счет средств федерального бюджета 3 573 379 866,50 тыс. руб. Рассмотрим в таблице 1 средства, поступающие из бюджета по годам.</w:t>
      </w:r>
    </w:p>
    <w:p w:rsidR="000A50C1" w:rsidRPr="000A50C1" w:rsidRDefault="000A50C1" w:rsidP="000A50C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Таблица 1. Сумма средств поступающих из федерального бюджета на Госпрограмму развития АПК на 2013-2020 г</w:t>
      </w:r>
    </w:p>
    <w:tbl>
      <w:tblPr>
        <w:tblW w:w="9555" w:type="dxa"/>
        <w:tblCellSpacing w:w="0" w:type="dxa"/>
        <w:tblBorders>
          <w:top w:val="single" w:sz="6" w:space="0" w:color="000000"/>
          <w:left w:val="single" w:sz="6" w:space="0" w:color="000000"/>
        </w:tblBorders>
        <w:shd w:val="clear" w:color="auto" w:fill="FFFFFF"/>
        <w:tblCellMar>
          <w:top w:w="105" w:type="dxa"/>
          <w:left w:w="105" w:type="dxa"/>
          <w:bottom w:w="105" w:type="dxa"/>
          <w:right w:w="105" w:type="dxa"/>
        </w:tblCellMar>
        <w:tblLook w:val="04A0" w:firstRow="1" w:lastRow="0" w:firstColumn="1" w:lastColumn="0" w:noHBand="0" w:noVBand="1"/>
      </w:tblPr>
      <w:tblGrid>
        <w:gridCol w:w="2401"/>
        <w:gridCol w:w="7154"/>
      </w:tblGrid>
      <w:tr w:rsidR="000A50C1" w:rsidRPr="000A50C1" w:rsidTr="000A50C1">
        <w:trPr>
          <w:trHeight w:val="135"/>
          <w:tblCellSpacing w:w="0" w:type="dxa"/>
        </w:trPr>
        <w:tc>
          <w:tcPr>
            <w:tcW w:w="2401"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135" w:lineRule="atLeast"/>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Год</w:t>
            </w:r>
          </w:p>
        </w:tc>
        <w:tc>
          <w:tcPr>
            <w:tcW w:w="715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135" w:lineRule="atLeast"/>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Сумма, тыс. руб.</w:t>
            </w:r>
          </w:p>
        </w:tc>
      </w:tr>
      <w:tr w:rsidR="000A50C1" w:rsidRPr="000A50C1" w:rsidTr="000A50C1">
        <w:trPr>
          <w:tblCellSpacing w:w="0" w:type="dxa"/>
        </w:trPr>
        <w:tc>
          <w:tcPr>
            <w:tcW w:w="2401"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2013</w:t>
            </w:r>
          </w:p>
        </w:tc>
        <w:tc>
          <w:tcPr>
            <w:tcW w:w="715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189 229 107,51</w:t>
            </w:r>
          </w:p>
        </w:tc>
      </w:tr>
      <w:tr w:rsidR="000A50C1" w:rsidRPr="000A50C1" w:rsidTr="000A50C1">
        <w:trPr>
          <w:tblCellSpacing w:w="0" w:type="dxa"/>
        </w:trPr>
        <w:tc>
          <w:tcPr>
            <w:tcW w:w="2401"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2014</w:t>
            </w:r>
          </w:p>
        </w:tc>
        <w:tc>
          <w:tcPr>
            <w:tcW w:w="7154" w:type="dxa"/>
            <w:tcBorders>
              <w:bottom w:val="single" w:sz="6" w:space="0" w:color="000000"/>
              <w:right w:val="single" w:sz="6" w:space="0" w:color="000000"/>
            </w:tcBorders>
            <w:shd w:val="clear" w:color="auto" w:fill="FFFFFF"/>
            <w:tcMar>
              <w:top w:w="30" w:type="dxa"/>
              <w:left w:w="30" w:type="dxa"/>
              <w:bottom w:w="30" w:type="dxa"/>
              <w:right w:w="30" w:type="dxa"/>
            </w:tcMar>
            <w:vAlign w:val="bottom"/>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221 257 793,30</w:t>
            </w:r>
          </w:p>
        </w:tc>
      </w:tr>
      <w:tr w:rsidR="000A50C1" w:rsidRPr="000A50C1" w:rsidTr="000A50C1">
        <w:trPr>
          <w:tblCellSpacing w:w="0" w:type="dxa"/>
        </w:trPr>
        <w:tc>
          <w:tcPr>
            <w:tcW w:w="2401"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2015</w:t>
            </w:r>
          </w:p>
        </w:tc>
        <w:tc>
          <w:tcPr>
            <w:tcW w:w="7154" w:type="dxa"/>
            <w:tcBorders>
              <w:bottom w:val="single" w:sz="6" w:space="0" w:color="000000"/>
              <w:right w:val="single" w:sz="6" w:space="0" w:color="000000"/>
            </w:tcBorders>
            <w:shd w:val="clear" w:color="auto" w:fill="FFFFFF"/>
            <w:tcMar>
              <w:top w:w="30" w:type="dxa"/>
              <w:left w:w="30" w:type="dxa"/>
              <w:bottom w:w="30" w:type="dxa"/>
              <w:right w:w="30" w:type="dxa"/>
            </w:tcMar>
            <w:vAlign w:val="bottom"/>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240 069 518,21</w:t>
            </w:r>
          </w:p>
        </w:tc>
      </w:tr>
      <w:tr w:rsidR="000A50C1" w:rsidRPr="000A50C1" w:rsidTr="000A50C1">
        <w:tblPrEx>
          <w:tblBorders>
            <w:bottom w:val="outset" w:sz="6" w:space="0" w:color="00000A"/>
            <w:right w:val="outset" w:sz="6" w:space="0" w:color="00000A"/>
          </w:tblBorders>
        </w:tblPrEx>
        <w:trPr>
          <w:tblCellSpacing w:w="0" w:type="dxa"/>
        </w:trPr>
        <w:tc>
          <w:tcPr>
            <w:tcW w:w="240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2016</w:t>
            </w:r>
          </w:p>
        </w:tc>
        <w:tc>
          <w:tcPr>
            <w:tcW w:w="7154"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vAlign w:val="bottom"/>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254 148 824,58</w:t>
            </w:r>
          </w:p>
        </w:tc>
      </w:tr>
      <w:tr w:rsidR="000A50C1" w:rsidRPr="000A50C1" w:rsidTr="000A50C1">
        <w:tblPrEx>
          <w:tblBorders>
            <w:bottom w:val="outset" w:sz="6" w:space="0" w:color="00000A"/>
            <w:right w:val="outset" w:sz="6" w:space="0" w:color="00000A"/>
          </w:tblBorders>
        </w:tblPrEx>
        <w:trPr>
          <w:tblCellSpacing w:w="0" w:type="dxa"/>
        </w:trPr>
        <w:tc>
          <w:tcPr>
            <w:tcW w:w="240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2017</w:t>
            </w:r>
          </w:p>
        </w:tc>
        <w:tc>
          <w:tcPr>
            <w:tcW w:w="7154"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vAlign w:val="bottom"/>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271 121 839,50</w:t>
            </w:r>
          </w:p>
        </w:tc>
      </w:tr>
      <w:tr w:rsidR="000A50C1" w:rsidRPr="000A50C1" w:rsidTr="000A50C1">
        <w:tblPrEx>
          <w:tblBorders>
            <w:bottom w:val="outset" w:sz="6" w:space="0" w:color="00000A"/>
            <w:right w:val="outset" w:sz="6" w:space="0" w:color="00000A"/>
          </w:tblBorders>
        </w:tblPrEx>
        <w:trPr>
          <w:tblCellSpacing w:w="0" w:type="dxa"/>
        </w:trPr>
        <w:tc>
          <w:tcPr>
            <w:tcW w:w="240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2018</w:t>
            </w:r>
          </w:p>
        </w:tc>
        <w:tc>
          <w:tcPr>
            <w:tcW w:w="7154"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vAlign w:val="bottom"/>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290 294 199,07</w:t>
            </w:r>
          </w:p>
        </w:tc>
      </w:tr>
      <w:tr w:rsidR="000A50C1" w:rsidRPr="000A50C1" w:rsidTr="000A50C1">
        <w:tblPrEx>
          <w:tblBorders>
            <w:bottom w:val="outset" w:sz="6" w:space="0" w:color="00000A"/>
            <w:right w:val="outset" w:sz="6" w:space="0" w:color="00000A"/>
          </w:tblBorders>
        </w:tblPrEx>
        <w:trPr>
          <w:tblCellSpacing w:w="0" w:type="dxa"/>
        </w:trPr>
        <w:tc>
          <w:tcPr>
            <w:tcW w:w="240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2019</w:t>
            </w:r>
          </w:p>
        </w:tc>
        <w:tc>
          <w:tcPr>
            <w:tcW w:w="7154"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vAlign w:val="bottom"/>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311 778 479,25</w:t>
            </w:r>
          </w:p>
        </w:tc>
      </w:tr>
      <w:tr w:rsidR="000A50C1" w:rsidRPr="000A50C1" w:rsidTr="000A50C1">
        <w:tblPrEx>
          <w:tblBorders>
            <w:bottom w:val="outset" w:sz="6" w:space="0" w:color="00000A"/>
            <w:right w:val="outset" w:sz="6" w:space="0" w:color="00000A"/>
          </w:tblBorders>
        </w:tblPrEx>
        <w:trPr>
          <w:tblCellSpacing w:w="0" w:type="dxa"/>
        </w:trPr>
        <w:tc>
          <w:tcPr>
            <w:tcW w:w="240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2020</w:t>
            </w:r>
          </w:p>
        </w:tc>
        <w:tc>
          <w:tcPr>
            <w:tcW w:w="7154"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vAlign w:val="bottom"/>
            <w:hideMark/>
          </w:tcPr>
          <w:p w:rsidR="000A50C1" w:rsidRPr="000A50C1" w:rsidRDefault="000A50C1" w:rsidP="000A50C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A50C1">
              <w:rPr>
                <w:rFonts w:ascii="Times New Roman" w:eastAsia="Times New Roman" w:hAnsi="Times New Roman" w:cs="Times New Roman"/>
                <w:sz w:val="28"/>
                <w:szCs w:val="28"/>
                <w:lang w:eastAsia="ru-RU"/>
              </w:rPr>
              <w:t>335 173 176,20</w:t>
            </w:r>
          </w:p>
        </w:tc>
      </w:tr>
    </w:tbl>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Прогнозная оценка бюджетных ассигнований из средств консолидированных бюджетов субъектов Российской Федерации составляет 2 375 149 585,03 тыс. руб., из средств внебюджетных источников – 2 279 092 257,54 тыс. руб.</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Динамика развития АПК на период до 2020 г. будет формироваться под воздействием разнонаправленных факторов. С одной стороны, скажутся меры, которые были приняты в последние годы по повышению устойчивости агропромышленного производства, с другой – сохраняется сложная макроэкономическая обстановка в связи с последствиями кризиса, что усиливает вероятность проявления рисков для устойчивого и динамичного развития аграрного сектора экономики.</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lastRenderedPageBreak/>
        <w:t>В растениеводстве предстоит освоить интенсивные технологии, базирующиеся на новом поколении тракторов и сельскохозяйственных машин, увеличении внесения минеральных удобрений (с 38 кг в пересчете на 100% питательных веществ на 1 га посевов в 2010 г. до 80-100 кг в перспективе) и выполнении работ по защите растений от вредителей и болезней, переходе на посев перспективными высокоурожайными сортами и гибридами. По отдельным культурам необходимо существенное расширение их посевных площадей.</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В животноводстве решение задачи ускоренного наращивания производства мяса и молока позволит повысить уровень потребления населением этих продуктов при одновременном их импортозамещении. Более оптимистические возможности связаны с развитием свиноводства и птицеводства.</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Среднегодовой темп роста валовой продукции сельского хозяйства в период до 2020 г. должен составить не менее 2,4-2,5%, производства пищевых продуктов – 4,3-5,0%. Более высокие темпы намечены по группе мяса и мясопродуктов, молока и молокопродуктов, плодоовощной продукции. Уровень использования производственных мощностей достигнет 85%.</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Прогнозируемые объемы производства продукции сельского хозяйства и пищевых продуктов по большинству их видов позволят (с учетом допустимого импорта) обеспечить питание населения страны по рациональным нормам (кроме молока, плодов и фруктов) и таким образом приблизиться к решению основных задач, определенных Доктриной продовольственной безопасности Российской Федерации.</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Меры государственного регулирования реализации Государственной программы включают следующие группы экономических инструментов:</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1. Прямое субсидирование отдельных мероприятий за счет средств федерального бюджета, как правило, с софинансированием из бюджетов субъектов Российской Федерации.</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К таким мероприятиям относятся:</w:t>
      </w:r>
    </w:p>
    <w:p w:rsidR="000A50C1" w:rsidRPr="000A50C1" w:rsidRDefault="000A50C1" w:rsidP="000A50C1">
      <w:pPr>
        <w:numPr>
          <w:ilvl w:val="0"/>
          <w:numId w:val="3"/>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lastRenderedPageBreak/>
        <w:t>развитие селекции и семеноводства сельскохозяйственных культур, племенного дела в животноводстве и птицеводстве, стимулирование развития скотоводства;</w:t>
      </w:r>
    </w:p>
    <w:p w:rsidR="000A50C1" w:rsidRPr="000A50C1" w:rsidRDefault="000A50C1" w:rsidP="000A50C1">
      <w:pPr>
        <w:numPr>
          <w:ilvl w:val="0"/>
          <w:numId w:val="3"/>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компенсация части затрат на приобретение сельскохозяйственными товаропроизводителями основных видов материально-технических ресурсов, включая новую технику, минеральные удобрения и средства защиты растений, энергоресурсы, на отдельные мероприятия, в том числе на страхование посевов сельскохозяйственных культур;</w:t>
      </w:r>
    </w:p>
    <w:p w:rsidR="000A50C1" w:rsidRPr="000A50C1" w:rsidRDefault="000A50C1" w:rsidP="000A50C1">
      <w:pPr>
        <w:numPr>
          <w:ilvl w:val="0"/>
          <w:numId w:val="3"/>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государственная поддержка (в виде субсидий) уплаты процентов по кредитам, полученным сельскохозяйственными и другими товаропроизводителями АПК в коммерческих банках;</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2. Прямые финансовые вложения на осуществление мероприятий капитального характера, в том числе на мелиорацию земель сельскохозяйственного назначения, развитие инфраструктуры агропродовольственного рынка, социальное развитие сельских территорий;</w:t>
      </w:r>
    </w:p>
    <w:p w:rsidR="000A50C1" w:rsidRPr="000A50C1" w:rsidRDefault="000A50C1" w:rsidP="000A50C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A50C1">
        <w:rPr>
          <w:rFonts w:ascii="Times New Roman" w:eastAsia="Times New Roman" w:hAnsi="Times New Roman" w:cs="Times New Roman"/>
          <w:color w:val="000000"/>
          <w:sz w:val="28"/>
          <w:szCs w:val="28"/>
          <w:lang w:eastAsia="ru-RU"/>
        </w:rPr>
        <w:t>3. Таможенно-тарифное регулирование с учётом конъюнктуры внутреннего и мирового рынка.</w:t>
      </w:r>
    </w:p>
    <w:p w:rsidR="000A50C1" w:rsidRDefault="000A50C1">
      <w:pPr>
        <w:rPr>
          <w:rFonts w:ascii="Times New Roman" w:eastAsia="Times New Roman" w:hAnsi="Times New Roman" w:cs="Times New Roman"/>
          <w:color w:val="000000"/>
          <w:sz w:val="28"/>
          <w:szCs w:val="28"/>
          <w:lang w:eastAsia="ru-RU"/>
        </w:rPr>
      </w:pPr>
    </w:p>
    <w:p w:rsidR="000A50C1" w:rsidRDefault="000A50C1">
      <w:pPr>
        <w:rPr>
          <w:rFonts w:ascii="Times New Roman" w:eastAsia="Times New Roman" w:hAnsi="Times New Roman" w:cs="Times New Roman"/>
          <w:color w:val="000000"/>
          <w:sz w:val="28"/>
          <w:szCs w:val="28"/>
          <w:lang w:eastAsia="ru-RU"/>
        </w:rPr>
      </w:pPr>
    </w:p>
    <w:p w:rsidR="000A50C1" w:rsidRDefault="000A50C1">
      <w:pPr>
        <w:rPr>
          <w:rFonts w:ascii="Times New Roman" w:eastAsia="Times New Roman" w:hAnsi="Times New Roman" w:cs="Times New Roman"/>
          <w:color w:val="000000"/>
          <w:sz w:val="28"/>
          <w:szCs w:val="28"/>
          <w:lang w:eastAsia="ru-RU"/>
        </w:rPr>
      </w:pPr>
    </w:p>
    <w:p w:rsidR="000A50C1" w:rsidRDefault="000A50C1">
      <w:pPr>
        <w:rPr>
          <w:rFonts w:ascii="Times New Roman" w:eastAsia="Times New Roman" w:hAnsi="Times New Roman" w:cs="Times New Roman"/>
          <w:color w:val="000000"/>
          <w:sz w:val="28"/>
          <w:szCs w:val="28"/>
          <w:lang w:eastAsia="ru-RU"/>
        </w:rPr>
      </w:pPr>
    </w:p>
    <w:p w:rsidR="000A50C1" w:rsidRDefault="000A50C1">
      <w:pPr>
        <w:rPr>
          <w:rFonts w:ascii="Times New Roman" w:eastAsia="Times New Roman" w:hAnsi="Times New Roman" w:cs="Times New Roman"/>
          <w:color w:val="000000"/>
          <w:sz w:val="28"/>
          <w:szCs w:val="28"/>
          <w:lang w:eastAsia="ru-RU"/>
        </w:rPr>
      </w:pPr>
    </w:p>
    <w:p w:rsidR="000A50C1" w:rsidRDefault="000A50C1">
      <w:pPr>
        <w:rPr>
          <w:rFonts w:ascii="Times New Roman" w:eastAsia="Times New Roman" w:hAnsi="Times New Roman" w:cs="Times New Roman"/>
          <w:color w:val="000000"/>
          <w:sz w:val="28"/>
          <w:szCs w:val="28"/>
          <w:lang w:eastAsia="ru-RU"/>
        </w:rPr>
      </w:pPr>
    </w:p>
    <w:p w:rsidR="0075684D" w:rsidRDefault="0075684D">
      <w:pPr>
        <w:rPr>
          <w:rFonts w:ascii="Times New Roman" w:eastAsia="Times New Roman" w:hAnsi="Times New Roman" w:cs="Times New Roman"/>
          <w:color w:val="000000"/>
          <w:sz w:val="28"/>
          <w:szCs w:val="28"/>
          <w:lang w:eastAsia="ru-RU"/>
        </w:rPr>
      </w:pPr>
    </w:p>
    <w:p w:rsidR="0075684D" w:rsidRDefault="0075684D">
      <w:pPr>
        <w:rPr>
          <w:rFonts w:ascii="Times New Roman" w:eastAsia="Times New Roman" w:hAnsi="Times New Roman" w:cs="Times New Roman"/>
          <w:color w:val="000000"/>
          <w:sz w:val="28"/>
          <w:szCs w:val="28"/>
          <w:lang w:eastAsia="ru-RU"/>
        </w:rPr>
      </w:pPr>
    </w:p>
    <w:p w:rsidR="0075684D" w:rsidRDefault="0075684D">
      <w:pPr>
        <w:rPr>
          <w:rFonts w:ascii="Times New Roman" w:eastAsia="Times New Roman" w:hAnsi="Times New Roman" w:cs="Times New Roman"/>
          <w:color w:val="000000"/>
          <w:sz w:val="28"/>
          <w:szCs w:val="28"/>
          <w:lang w:eastAsia="ru-RU"/>
        </w:rPr>
      </w:pPr>
      <w:bookmarkStart w:id="0" w:name="_GoBack"/>
      <w:bookmarkEnd w:id="0"/>
    </w:p>
    <w:p w:rsidR="000A50C1" w:rsidRDefault="000A50C1">
      <w:pPr>
        <w:rPr>
          <w:rFonts w:ascii="Times New Roman" w:eastAsia="Times New Roman" w:hAnsi="Times New Roman" w:cs="Times New Roman"/>
          <w:color w:val="000000"/>
          <w:sz w:val="28"/>
          <w:szCs w:val="28"/>
          <w:lang w:eastAsia="ru-RU"/>
        </w:rPr>
      </w:pPr>
    </w:p>
    <w:p w:rsidR="00A32DBE" w:rsidRPr="000A50C1" w:rsidRDefault="000A50C1" w:rsidP="000A50C1">
      <w:pPr>
        <w:jc w:val="center"/>
        <w:rPr>
          <w:rFonts w:ascii="Times New Roman" w:hAnsi="Times New Roman" w:cs="Times New Roman"/>
          <w:b/>
          <w:sz w:val="28"/>
          <w:szCs w:val="28"/>
        </w:rPr>
      </w:pPr>
      <w:r w:rsidRPr="000A50C1">
        <w:rPr>
          <w:rFonts w:ascii="Times New Roman" w:hAnsi="Times New Roman" w:cs="Times New Roman"/>
          <w:b/>
          <w:sz w:val="28"/>
          <w:szCs w:val="28"/>
        </w:rPr>
        <w:lastRenderedPageBreak/>
        <w:t>Заключение</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В заключение работы сформулированы итоговые выводы и предложения, вытекающие из результатов анализа.</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 xml:space="preserve">В современных условиях развитие АПК страны происходит неоднозначно. С одной стороны имеют место положительные результаты: наметился рост производства в ряде отраслей, растёт количество предприятий, работающих с прибылью. Но с другой стороны остаются и продолжают развиваться негативные процессы, которые преобладают над положительными сдвигами, что в целом позволяет оценить положение в отрасли как сложное, не отвечающее задачам развития экономики. </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Главной негативной тенденцией в сельском хозяйстве является сокращение всех элементов производственного потенциала, как отдельных предприятий, так и отрасли в целом. Сельское хозяйство находится в таком положении, что применение разовых мер уже недостаточно для вывода его из кризиса. Нужны кардинальные меры, предполагающие крупные перемены. В основу аграрной политики должна быть положена новая система преобразований. Суть новой политики должна состоять в том, что при всей необходимости быстрого увеличения объёмов производства, исходным и главным её положением должно быть обеспечение эффективной жизнедеятельности на селе и создание условий для высокого уровня и качества жизни сельского населения.</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Решению проблем АПК будет способствовать объединение усилий центральной власти и регионов. Конкретно это должно выразиться в создании фонда развития АПК за счёт федерального и местного бюджетов, а также отчислений средств бизнес – структур от получаемой прибыли в размере, определяемом администрацией региона.</w:t>
      </w:r>
    </w:p>
    <w:p w:rsidR="000A50C1" w:rsidRPr="000A50C1" w:rsidRDefault="000A50C1" w:rsidP="000A50C1">
      <w:pPr>
        <w:pStyle w:val="a3"/>
        <w:spacing w:before="0" w:beforeAutospacing="0" w:after="0" w:afterAutospacing="0" w:line="360" w:lineRule="auto"/>
        <w:ind w:firstLine="709"/>
        <w:jc w:val="both"/>
        <w:rPr>
          <w:color w:val="000000"/>
          <w:sz w:val="28"/>
          <w:szCs w:val="28"/>
        </w:rPr>
      </w:pPr>
      <w:r w:rsidRPr="000A50C1">
        <w:rPr>
          <w:color w:val="000000"/>
          <w:sz w:val="28"/>
          <w:szCs w:val="28"/>
        </w:rPr>
        <w:t xml:space="preserve">Роль государства заключается в повышении эффективности функционирования отрасли и социально – экономическом развитии территорий, базирующихся на комплексном взаимодействии сельскохозяйственных организаций, инвесторов и органов управления АПК. </w:t>
      </w:r>
    </w:p>
    <w:p w:rsidR="000A50C1" w:rsidRPr="000A50C1" w:rsidRDefault="000A50C1" w:rsidP="000A50C1">
      <w:pPr>
        <w:jc w:val="center"/>
        <w:rPr>
          <w:rFonts w:ascii="Times New Roman" w:hAnsi="Times New Roman" w:cs="Times New Roman"/>
          <w:b/>
          <w:sz w:val="28"/>
          <w:szCs w:val="28"/>
        </w:rPr>
      </w:pPr>
      <w:r w:rsidRPr="000A50C1">
        <w:rPr>
          <w:rFonts w:ascii="Times New Roman" w:hAnsi="Times New Roman" w:cs="Times New Roman"/>
          <w:b/>
          <w:sz w:val="28"/>
          <w:szCs w:val="28"/>
        </w:rPr>
        <w:lastRenderedPageBreak/>
        <w:t>Список использованной литературы</w:t>
      </w:r>
    </w:p>
    <w:p w:rsidR="007D39D6" w:rsidRPr="007D39D6" w:rsidRDefault="007D39D6" w:rsidP="007D39D6">
      <w:pPr>
        <w:pStyle w:val="a3"/>
        <w:numPr>
          <w:ilvl w:val="0"/>
          <w:numId w:val="9"/>
        </w:numPr>
        <w:shd w:val="clear" w:color="auto" w:fill="FFFFFF"/>
        <w:tabs>
          <w:tab w:val="left" w:pos="1134"/>
        </w:tabs>
        <w:spacing w:before="0" w:beforeAutospacing="0" w:after="0" w:afterAutospacing="0" w:line="360" w:lineRule="auto"/>
        <w:ind w:left="0" w:firstLine="709"/>
        <w:jc w:val="both"/>
        <w:rPr>
          <w:color w:val="000000" w:themeColor="text1"/>
          <w:sz w:val="28"/>
          <w:szCs w:val="28"/>
          <w:shd w:val="clear" w:color="auto" w:fill="FFFFFF"/>
        </w:rPr>
      </w:pPr>
      <w:r w:rsidRPr="007D39D6">
        <w:rPr>
          <w:color w:val="000000" w:themeColor="text1"/>
          <w:sz w:val="28"/>
          <w:szCs w:val="28"/>
          <w:shd w:val="clear" w:color="auto" w:fill="FFFFFF"/>
        </w:rPr>
        <w:t>Гордеев А. Экономические механизмы регулирования агропромышленного производства. // Экономист, № 6, 2014, с.90-93.</w:t>
      </w:r>
    </w:p>
    <w:p w:rsidR="007D39D6" w:rsidRPr="007D39D6" w:rsidRDefault="007D39D6" w:rsidP="007D39D6">
      <w:pPr>
        <w:pStyle w:val="a3"/>
        <w:numPr>
          <w:ilvl w:val="0"/>
          <w:numId w:val="9"/>
        </w:numPr>
        <w:shd w:val="clear" w:color="auto" w:fill="FFFFFF"/>
        <w:tabs>
          <w:tab w:val="left" w:pos="1134"/>
        </w:tabs>
        <w:spacing w:before="0" w:beforeAutospacing="0" w:after="0" w:afterAutospacing="0" w:line="360" w:lineRule="auto"/>
        <w:ind w:left="0" w:firstLine="709"/>
        <w:jc w:val="both"/>
        <w:rPr>
          <w:color w:val="000000" w:themeColor="text1"/>
          <w:sz w:val="28"/>
          <w:szCs w:val="28"/>
          <w:shd w:val="clear" w:color="auto" w:fill="FFFFFF"/>
        </w:rPr>
      </w:pPr>
      <w:r w:rsidRPr="007D39D6">
        <w:rPr>
          <w:color w:val="000000" w:themeColor="text1"/>
          <w:sz w:val="28"/>
          <w:szCs w:val="28"/>
          <w:shd w:val="clear" w:color="auto" w:fill="FFFFFF"/>
        </w:rPr>
        <w:t>Зельднер А. Государственное регулирование агропромышленного сектора экономики. // Вопросы экономики, № 6, 2015, с.83-90.</w:t>
      </w:r>
    </w:p>
    <w:p w:rsidR="007D39D6" w:rsidRPr="007D39D6" w:rsidRDefault="007D39D6" w:rsidP="007D39D6">
      <w:pPr>
        <w:pStyle w:val="a3"/>
        <w:numPr>
          <w:ilvl w:val="0"/>
          <w:numId w:val="9"/>
        </w:numPr>
        <w:shd w:val="clear" w:color="auto" w:fill="FFFFFF"/>
        <w:tabs>
          <w:tab w:val="left" w:pos="1134"/>
        </w:tabs>
        <w:spacing w:before="0" w:beforeAutospacing="0" w:after="0" w:afterAutospacing="0" w:line="360" w:lineRule="auto"/>
        <w:ind w:left="0" w:firstLine="709"/>
        <w:jc w:val="both"/>
        <w:rPr>
          <w:color w:val="000000" w:themeColor="text1"/>
          <w:sz w:val="28"/>
          <w:szCs w:val="28"/>
        </w:rPr>
      </w:pPr>
      <w:r w:rsidRPr="007D39D6">
        <w:rPr>
          <w:color w:val="000000" w:themeColor="text1"/>
          <w:sz w:val="28"/>
          <w:szCs w:val="28"/>
        </w:rPr>
        <w:t>Лысенко Е. Совершенствование форм хозяйствования в аграрном секторе / Экономист, 2014,№10.</w:t>
      </w:r>
    </w:p>
    <w:p w:rsidR="000A50C1" w:rsidRPr="007D39D6" w:rsidRDefault="000A50C1" w:rsidP="007D39D6">
      <w:pPr>
        <w:pStyle w:val="a3"/>
        <w:numPr>
          <w:ilvl w:val="0"/>
          <w:numId w:val="9"/>
        </w:numPr>
        <w:shd w:val="clear" w:color="auto" w:fill="FFFFFF"/>
        <w:tabs>
          <w:tab w:val="left" w:pos="1134"/>
        </w:tabs>
        <w:spacing w:before="0" w:beforeAutospacing="0" w:after="0" w:afterAutospacing="0" w:line="360" w:lineRule="auto"/>
        <w:ind w:left="0" w:firstLine="709"/>
        <w:jc w:val="both"/>
        <w:rPr>
          <w:color w:val="000000" w:themeColor="text1"/>
          <w:sz w:val="28"/>
          <w:szCs w:val="28"/>
        </w:rPr>
      </w:pPr>
      <w:r w:rsidRPr="007D39D6">
        <w:rPr>
          <w:color w:val="000000" w:themeColor="text1"/>
          <w:sz w:val="28"/>
          <w:szCs w:val="28"/>
        </w:rPr>
        <w:t>Минсельхоз РФ [Электр</w:t>
      </w:r>
      <w:r w:rsidR="007D39D6" w:rsidRPr="007D39D6">
        <w:rPr>
          <w:color w:val="000000" w:themeColor="text1"/>
          <w:sz w:val="28"/>
          <w:szCs w:val="28"/>
        </w:rPr>
        <w:t xml:space="preserve">онный ресурс] : Государственная </w:t>
      </w:r>
      <w:r w:rsidRPr="007D39D6">
        <w:rPr>
          <w:color w:val="000000" w:themeColor="text1"/>
          <w:sz w:val="28"/>
          <w:szCs w:val="28"/>
        </w:rPr>
        <w:t>пр</w:t>
      </w:r>
      <w:r w:rsidR="007D39D6" w:rsidRPr="007D39D6">
        <w:rPr>
          <w:color w:val="000000" w:themeColor="text1"/>
          <w:sz w:val="28"/>
          <w:szCs w:val="28"/>
        </w:rPr>
        <w:t xml:space="preserve">ограмма на 2013-2020 годы. URL: </w:t>
      </w:r>
      <w:r w:rsidRPr="007D39D6">
        <w:rPr>
          <w:color w:val="000000" w:themeColor="text1"/>
          <w:sz w:val="28"/>
          <w:szCs w:val="28"/>
        </w:rPr>
        <w:t>http://mcx.ru/navigation/docfeeder/show/342</w:t>
      </w:r>
      <w:r w:rsidR="007D39D6" w:rsidRPr="007D39D6">
        <w:rPr>
          <w:color w:val="000000" w:themeColor="text1"/>
          <w:sz w:val="28"/>
          <w:szCs w:val="28"/>
        </w:rPr>
        <w:t>.htm (дата обращения: 23.04.2016</w:t>
      </w:r>
      <w:r w:rsidRPr="007D39D6">
        <w:rPr>
          <w:color w:val="000000" w:themeColor="text1"/>
          <w:sz w:val="28"/>
          <w:szCs w:val="28"/>
        </w:rPr>
        <w:t>).</w:t>
      </w:r>
    </w:p>
    <w:p w:rsidR="007D39D6" w:rsidRPr="007D39D6" w:rsidRDefault="007D39D6" w:rsidP="007D39D6">
      <w:pPr>
        <w:numPr>
          <w:ilvl w:val="0"/>
          <w:numId w:val="9"/>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7D39D6">
        <w:rPr>
          <w:rFonts w:ascii="Times New Roman" w:eastAsia="Times New Roman" w:hAnsi="Times New Roman" w:cs="Times New Roman"/>
          <w:color w:val="000000" w:themeColor="text1"/>
          <w:sz w:val="28"/>
          <w:szCs w:val="28"/>
          <w:lang w:eastAsia="ru-RU"/>
        </w:rPr>
        <w:t>Митин С. Работа АПК в 2015</w:t>
      </w:r>
      <w:r w:rsidRPr="000A50C1">
        <w:rPr>
          <w:rFonts w:ascii="Times New Roman" w:eastAsia="Times New Roman" w:hAnsi="Times New Roman" w:cs="Times New Roman"/>
          <w:color w:val="000000" w:themeColor="text1"/>
          <w:sz w:val="28"/>
          <w:szCs w:val="28"/>
          <w:lang w:eastAsia="ru-RU"/>
        </w:rPr>
        <w:t xml:space="preserve"> г. и формирование агропродовольств</w:t>
      </w:r>
      <w:r w:rsidRPr="007D39D6">
        <w:rPr>
          <w:rFonts w:ascii="Times New Roman" w:eastAsia="Times New Roman" w:hAnsi="Times New Roman" w:cs="Times New Roman"/>
          <w:color w:val="000000" w:themeColor="text1"/>
          <w:sz w:val="28"/>
          <w:szCs w:val="28"/>
          <w:lang w:eastAsia="ru-RU"/>
        </w:rPr>
        <w:t>енной политики / Экономист, 2016</w:t>
      </w:r>
      <w:r w:rsidRPr="000A50C1">
        <w:rPr>
          <w:rFonts w:ascii="Times New Roman" w:eastAsia="Times New Roman" w:hAnsi="Times New Roman" w:cs="Times New Roman"/>
          <w:color w:val="000000" w:themeColor="text1"/>
          <w:sz w:val="28"/>
          <w:szCs w:val="28"/>
          <w:lang w:eastAsia="ru-RU"/>
        </w:rPr>
        <w:t>,№4.</w:t>
      </w:r>
    </w:p>
    <w:p w:rsidR="007D39D6" w:rsidRPr="007D39D6" w:rsidRDefault="007D39D6" w:rsidP="007D39D6">
      <w:pPr>
        <w:pStyle w:val="a8"/>
        <w:numPr>
          <w:ilvl w:val="0"/>
          <w:numId w:val="9"/>
        </w:numPr>
        <w:tabs>
          <w:tab w:val="left" w:pos="1134"/>
        </w:tabs>
        <w:spacing w:after="0" w:line="360" w:lineRule="auto"/>
        <w:ind w:left="0" w:firstLine="709"/>
        <w:contextualSpacing w:val="0"/>
        <w:jc w:val="both"/>
        <w:rPr>
          <w:rFonts w:ascii="Times New Roman" w:eastAsia="Times New Roman" w:hAnsi="Times New Roman" w:cs="Times New Roman"/>
          <w:color w:val="000000" w:themeColor="text1"/>
          <w:sz w:val="28"/>
          <w:szCs w:val="28"/>
          <w:lang w:eastAsia="ru-RU"/>
        </w:rPr>
      </w:pPr>
      <w:r w:rsidRPr="007D39D6">
        <w:rPr>
          <w:rFonts w:ascii="Times New Roman" w:eastAsia="Times New Roman" w:hAnsi="Times New Roman" w:cs="Times New Roman"/>
          <w:color w:val="000000" w:themeColor="text1"/>
          <w:sz w:val="28"/>
          <w:szCs w:val="28"/>
          <w:lang w:eastAsia="ru-RU"/>
        </w:rPr>
        <w:t>Мухина Е. Оценка эффективности государственной поддержки агропромышленного производства / Экономист, 2015,№4.</w:t>
      </w:r>
    </w:p>
    <w:p w:rsidR="007D39D6" w:rsidRPr="007D39D6" w:rsidRDefault="007D39D6" w:rsidP="007D39D6">
      <w:pPr>
        <w:pStyle w:val="a3"/>
        <w:numPr>
          <w:ilvl w:val="0"/>
          <w:numId w:val="9"/>
        </w:numPr>
        <w:shd w:val="clear" w:color="auto" w:fill="FFFFFF"/>
        <w:tabs>
          <w:tab w:val="left" w:pos="1134"/>
        </w:tabs>
        <w:spacing w:before="0" w:beforeAutospacing="0" w:after="0" w:afterAutospacing="0" w:line="360" w:lineRule="auto"/>
        <w:ind w:left="0" w:firstLine="709"/>
        <w:jc w:val="both"/>
        <w:rPr>
          <w:color w:val="000000" w:themeColor="text1"/>
          <w:sz w:val="28"/>
          <w:szCs w:val="28"/>
        </w:rPr>
      </w:pPr>
      <w:r w:rsidRPr="007D39D6">
        <w:rPr>
          <w:color w:val="000000" w:themeColor="text1"/>
          <w:sz w:val="28"/>
          <w:szCs w:val="28"/>
        </w:rPr>
        <w:t>О развитии сельского хозяйства [Электронный ресурс] : федеральный закон принят Гос. Думой 22.12.2006г., одобрен Советом Федераций 27.12.2006г. от 29 декабря 2006 г. № 264-ФЗ // СПС «Консультант Плюс».</w:t>
      </w:r>
    </w:p>
    <w:p w:rsidR="007D39D6" w:rsidRPr="007D39D6" w:rsidRDefault="007D39D6" w:rsidP="007D39D6">
      <w:pPr>
        <w:numPr>
          <w:ilvl w:val="0"/>
          <w:numId w:val="9"/>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0A50C1">
        <w:rPr>
          <w:rFonts w:ascii="Times New Roman" w:eastAsia="Times New Roman" w:hAnsi="Times New Roman" w:cs="Times New Roman"/>
          <w:color w:val="000000" w:themeColor="text1"/>
          <w:sz w:val="28"/>
          <w:szCs w:val="28"/>
          <w:lang w:eastAsia="ru-RU"/>
        </w:rPr>
        <w:t>Трушин Ю. Национальный</w:t>
      </w:r>
      <w:r w:rsidRPr="007D39D6">
        <w:rPr>
          <w:rFonts w:ascii="Times New Roman" w:eastAsia="Times New Roman" w:hAnsi="Times New Roman" w:cs="Times New Roman"/>
          <w:color w:val="000000" w:themeColor="text1"/>
          <w:sz w:val="28"/>
          <w:szCs w:val="28"/>
          <w:lang w:eastAsia="ru-RU"/>
        </w:rPr>
        <w:t xml:space="preserve"> проект по АПК / Экономист, 2015</w:t>
      </w:r>
      <w:r w:rsidRPr="000A50C1">
        <w:rPr>
          <w:rFonts w:ascii="Times New Roman" w:eastAsia="Times New Roman" w:hAnsi="Times New Roman" w:cs="Times New Roman"/>
          <w:color w:val="000000" w:themeColor="text1"/>
          <w:sz w:val="28"/>
          <w:szCs w:val="28"/>
          <w:lang w:eastAsia="ru-RU"/>
        </w:rPr>
        <w:t xml:space="preserve">, №10. </w:t>
      </w:r>
    </w:p>
    <w:p w:rsidR="007D39D6" w:rsidRPr="007D39D6" w:rsidRDefault="007D39D6" w:rsidP="007D39D6">
      <w:pPr>
        <w:pStyle w:val="a8"/>
        <w:numPr>
          <w:ilvl w:val="0"/>
          <w:numId w:val="9"/>
        </w:numPr>
        <w:tabs>
          <w:tab w:val="left" w:pos="1134"/>
        </w:tabs>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7D39D6">
        <w:rPr>
          <w:rFonts w:ascii="Times New Roman" w:hAnsi="Times New Roman" w:cs="Times New Roman"/>
          <w:color w:val="000000" w:themeColor="text1"/>
          <w:sz w:val="28"/>
          <w:szCs w:val="28"/>
          <w:shd w:val="clear" w:color="auto" w:fill="FFFFFF"/>
        </w:rPr>
        <w:t>Финансовое обеспечение производственных ресурсов АПК: Монография Авторы: Глотова Ирина Ивановна,Томилина Елена Петровна,Углицких Ольга Николаевна. 2013</w:t>
      </w:r>
    </w:p>
    <w:p w:rsidR="007D39D6" w:rsidRPr="007D39D6" w:rsidRDefault="007D39D6" w:rsidP="007D39D6">
      <w:pPr>
        <w:pStyle w:val="a8"/>
        <w:numPr>
          <w:ilvl w:val="0"/>
          <w:numId w:val="9"/>
        </w:numPr>
        <w:tabs>
          <w:tab w:val="left" w:pos="1134"/>
        </w:tabs>
        <w:spacing w:after="0" w:line="360" w:lineRule="auto"/>
        <w:ind w:left="0" w:firstLine="709"/>
        <w:contextualSpacing w:val="0"/>
        <w:jc w:val="both"/>
        <w:rPr>
          <w:rFonts w:ascii="Times New Roman" w:hAnsi="Times New Roman" w:cs="Times New Roman"/>
          <w:color w:val="000000" w:themeColor="text1"/>
          <w:sz w:val="28"/>
          <w:szCs w:val="28"/>
          <w:shd w:val="clear" w:color="auto" w:fill="FFFFFF"/>
        </w:rPr>
      </w:pPr>
      <w:r w:rsidRPr="007D39D6">
        <w:rPr>
          <w:rFonts w:ascii="Times New Roman" w:hAnsi="Times New Roman" w:cs="Times New Roman"/>
          <w:color w:val="000000" w:themeColor="text1"/>
          <w:sz w:val="28"/>
          <w:szCs w:val="28"/>
        </w:rPr>
        <w:t>Эльдиева Т. Система государственного регулирования и поддержки АПК // Экономика сельского хозяйства России. 2014. № 6. С. 15.</w:t>
      </w:r>
    </w:p>
    <w:p w:rsidR="000A50C1" w:rsidRPr="000A50C1" w:rsidRDefault="000A50C1">
      <w:pPr>
        <w:rPr>
          <w:rFonts w:ascii="Times New Roman" w:hAnsi="Times New Roman" w:cs="Times New Roman"/>
          <w:sz w:val="28"/>
          <w:szCs w:val="28"/>
        </w:rPr>
      </w:pPr>
      <w:r w:rsidRPr="000A50C1">
        <w:rPr>
          <w:rFonts w:ascii="Times New Roman" w:hAnsi="Times New Roman" w:cs="Times New Roman"/>
          <w:color w:val="585858"/>
          <w:sz w:val="28"/>
          <w:szCs w:val="28"/>
        </w:rPr>
        <w:br/>
      </w:r>
      <w:r w:rsidRPr="000A50C1">
        <w:rPr>
          <w:rFonts w:ascii="Times New Roman" w:hAnsi="Times New Roman" w:cs="Times New Roman"/>
          <w:color w:val="585858"/>
          <w:sz w:val="28"/>
          <w:szCs w:val="28"/>
        </w:rPr>
        <w:br/>
      </w:r>
      <w:r w:rsidRPr="000A50C1">
        <w:rPr>
          <w:rFonts w:ascii="Times New Roman" w:hAnsi="Times New Roman" w:cs="Times New Roman"/>
          <w:color w:val="585858"/>
          <w:sz w:val="28"/>
          <w:szCs w:val="28"/>
        </w:rPr>
        <w:br/>
      </w:r>
      <w:r w:rsidRPr="000A50C1">
        <w:rPr>
          <w:rFonts w:ascii="Times New Roman" w:hAnsi="Times New Roman" w:cs="Times New Roman"/>
          <w:color w:val="585858"/>
          <w:sz w:val="28"/>
          <w:szCs w:val="28"/>
        </w:rPr>
        <w:br/>
      </w:r>
      <w:r w:rsidRPr="000A50C1">
        <w:rPr>
          <w:rFonts w:ascii="Times New Roman" w:hAnsi="Times New Roman" w:cs="Times New Roman"/>
          <w:color w:val="585858"/>
          <w:sz w:val="28"/>
          <w:szCs w:val="28"/>
        </w:rPr>
        <w:br/>
      </w:r>
    </w:p>
    <w:sectPr w:rsidR="000A50C1" w:rsidRPr="000A50C1" w:rsidSect="00C13A69">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185" w:rsidRDefault="00347185" w:rsidP="000A50C1">
      <w:pPr>
        <w:spacing w:after="0" w:line="240" w:lineRule="auto"/>
      </w:pPr>
      <w:r>
        <w:separator/>
      </w:r>
    </w:p>
  </w:endnote>
  <w:endnote w:type="continuationSeparator" w:id="0">
    <w:p w:rsidR="00347185" w:rsidRDefault="00347185" w:rsidP="000A5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7087550"/>
      <w:docPartObj>
        <w:docPartGallery w:val="Page Numbers (Bottom of Page)"/>
        <w:docPartUnique/>
      </w:docPartObj>
    </w:sdtPr>
    <w:sdtEndPr/>
    <w:sdtContent>
      <w:p w:rsidR="00C13A69" w:rsidRDefault="00C13A69">
        <w:pPr>
          <w:pStyle w:val="a6"/>
          <w:jc w:val="center"/>
        </w:pPr>
        <w:r>
          <w:fldChar w:fldCharType="begin"/>
        </w:r>
        <w:r>
          <w:instrText>PAGE   \* MERGEFORMAT</w:instrText>
        </w:r>
        <w:r>
          <w:fldChar w:fldCharType="separate"/>
        </w:r>
        <w:r w:rsidR="0075684D">
          <w:rPr>
            <w:noProof/>
          </w:rPr>
          <w:t>17</w:t>
        </w:r>
        <w:r>
          <w:fldChar w:fldCharType="end"/>
        </w:r>
      </w:p>
    </w:sdtContent>
  </w:sdt>
  <w:p w:rsidR="000A50C1" w:rsidRDefault="000A50C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185" w:rsidRDefault="00347185" w:rsidP="000A50C1">
      <w:pPr>
        <w:spacing w:after="0" w:line="240" w:lineRule="auto"/>
      </w:pPr>
      <w:r>
        <w:separator/>
      </w:r>
    </w:p>
  </w:footnote>
  <w:footnote w:type="continuationSeparator" w:id="0">
    <w:p w:rsidR="00347185" w:rsidRDefault="00347185" w:rsidP="000A50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B63DD2"/>
    <w:multiLevelType w:val="multilevel"/>
    <w:tmpl w:val="E426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B84348"/>
    <w:multiLevelType w:val="multilevel"/>
    <w:tmpl w:val="E0247D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227FDF"/>
    <w:multiLevelType w:val="multilevel"/>
    <w:tmpl w:val="E0247D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AFE6B60"/>
    <w:multiLevelType w:val="multilevel"/>
    <w:tmpl w:val="441E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660CEE"/>
    <w:multiLevelType w:val="multilevel"/>
    <w:tmpl w:val="5008C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B12C84"/>
    <w:multiLevelType w:val="multilevel"/>
    <w:tmpl w:val="E0247D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B0E4CD2"/>
    <w:multiLevelType w:val="hybridMultilevel"/>
    <w:tmpl w:val="C78E4D04"/>
    <w:lvl w:ilvl="0" w:tplc="41221FC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2E39EF"/>
    <w:multiLevelType w:val="multilevel"/>
    <w:tmpl w:val="E0247DB6"/>
    <w:lvl w:ilvl="0">
      <w:start w:val="1"/>
      <w:numFmt w:val="decimal"/>
      <w:lvlText w:val="%1."/>
      <w:lvlJc w:val="left"/>
      <w:pPr>
        <w:tabs>
          <w:tab w:val="num" w:pos="720"/>
        </w:tabs>
        <w:ind w:left="720" w:hanging="360"/>
      </w:pPr>
    </w:lvl>
    <w:lvl w:ilvl="1">
      <w:start w:val="1"/>
      <w:numFmt w:val="decimal"/>
      <w:lvlText w:val="%2."/>
      <w:lvlJc w:val="left"/>
      <w:pPr>
        <w:tabs>
          <w:tab w:val="num" w:pos="1637"/>
        </w:tabs>
        <w:ind w:left="1637"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4"/>
  </w:num>
  <w:num w:numId="4">
    <w:abstractNumId w:val="5"/>
  </w:num>
  <w:num w:numId="5">
    <w:abstractNumId w:val="5"/>
    <w:lvlOverride w:ilvl="0">
      <w:startOverride w:val="5"/>
    </w:lvlOverride>
  </w:num>
  <w:num w:numId="6">
    <w:abstractNumId w:val="2"/>
  </w:num>
  <w:num w:numId="7">
    <w:abstractNumId w:val="1"/>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1B6"/>
    <w:rsid w:val="00045D84"/>
    <w:rsid w:val="000A50C1"/>
    <w:rsid w:val="001F677D"/>
    <w:rsid w:val="00347185"/>
    <w:rsid w:val="007371B6"/>
    <w:rsid w:val="0075684D"/>
    <w:rsid w:val="007D39D6"/>
    <w:rsid w:val="00A32DBE"/>
    <w:rsid w:val="00C13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F8B9CB-5EFC-41FC-B52A-C01DCF48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D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371B6"/>
  </w:style>
  <w:style w:type="paragraph" w:styleId="a3">
    <w:name w:val="Normal (Web)"/>
    <w:basedOn w:val="a"/>
    <w:uiPriority w:val="99"/>
    <w:unhideWhenUsed/>
    <w:rsid w:val="000A50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A50C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A50C1"/>
  </w:style>
  <w:style w:type="paragraph" w:styleId="a6">
    <w:name w:val="footer"/>
    <w:basedOn w:val="a"/>
    <w:link w:val="a7"/>
    <w:uiPriority w:val="99"/>
    <w:unhideWhenUsed/>
    <w:rsid w:val="000A50C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A50C1"/>
  </w:style>
  <w:style w:type="paragraph" w:styleId="a8">
    <w:name w:val="List Paragraph"/>
    <w:basedOn w:val="a"/>
    <w:uiPriority w:val="34"/>
    <w:qFormat/>
    <w:rsid w:val="007D39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20297">
      <w:bodyDiv w:val="1"/>
      <w:marLeft w:val="0"/>
      <w:marRight w:val="0"/>
      <w:marTop w:val="0"/>
      <w:marBottom w:val="0"/>
      <w:divBdr>
        <w:top w:val="none" w:sz="0" w:space="0" w:color="auto"/>
        <w:left w:val="none" w:sz="0" w:space="0" w:color="auto"/>
        <w:bottom w:val="none" w:sz="0" w:space="0" w:color="auto"/>
        <w:right w:val="none" w:sz="0" w:space="0" w:color="auto"/>
      </w:divBdr>
    </w:div>
    <w:div w:id="421726272">
      <w:bodyDiv w:val="1"/>
      <w:marLeft w:val="0"/>
      <w:marRight w:val="0"/>
      <w:marTop w:val="0"/>
      <w:marBottom w:val="0"/>
      <w:divBdr>
        <w:top w:val="none" w:sz="0" w:space="0" w:color="auto"/>
        <w:left w:val="none" w:sz="0" w:space="0" w:color="auto"/>
        <w:bottom w:val="none" w:sz="0" w:space="0" w:color="auto"/>
        <w:right w:val="none" w:sz="0" w:space="0" w:color="auto"/>
      </w:divBdr>
    </w:div>
    <w:div w:id="433213266">
      <w:bodyDiv w:val="1"/>
      <w:marLeft w:val="0"/>
      <w:marRight w:val="0"/>
      <w:marTop w:val="0"/>
      <w:marBottom w:val="0"/>
      <w:divBdr>
        <w:top w:val="none" w:sz="0" w:space="0" w:color="auto"/>
        <w:left w:val="none" w:sz="0" w:space="0" w:color="auto"/>
        <w:bottom w:val="none" w:sz="0" w:space="0" w:color="auto"/>
        <w:right w:val="none" w:sz="0" w:space="0" w:color="auto"/>
      </w:divBdr>
    </w:div>
    <w:div w:id="993416616">
      <w:bodyDiv w:val="1"/>
      <w:marLeft w:val="0"/>
      <w:marRight w:val="0"/>
      <w:marTop w:val="0"/>
      <w:marBottom w:val="0"/>
      <w:divBdr>
        <w:top w:val="none" w:sz="0" w:space="0" w:color="auto"/>
        <w:left w:val="none" w:sz="0" w:space="0" w:color="auto"/>
        <w:bottom w:val="none" w:sz="0" w:space="0" w:color="auto"/>
        <w:right w:val="none" w:sz="0" w:space="0" w:color="auto"/>
      </w:divBdr>
    </w:div>
    <w:div w:id="1021248271">
      <w:bodyDiv w:val="1"/>
      <w:marLeft w:val="0"/>
      <w:marRight w:val="0"/>
      <w:marTop w:val="0"/>
      <w:marBottom w:val="0"/>
      <w:divBdr>
        <w:top w:val="none" w:sz="0" w:space="0" w:color="auto"/>
        <w:left w:val="none" w:sz="0" w:space="0" w:color="auto"/>
        <w:bottom w:val="none" w:sz="0" w:space="0" w:color="auto"/>
        <w:right w:val="none" w:sz="0" w:space="0" w:color="auto"/>
      </w:divBdr>
    </w:div>
    <w:div w:id="1156842918">
      <w:bodyDiv w:val="1"/>
      <w:marLeft w:val="0"/>
      <w:marRight w:val="0"/>
      <w:marTop w:val="0"/>
      <w:marBottom w:val="0"/>
      <w:divBdr>
        <w:top w:val="none" w:sz="0" w:space="0" w:color="auto"/>
        <w:left w:val="none" w:sz="0" w:space="0" w:color="auto"/>
        <w:bottom w:val="none" w:sz="0" w:space="0" w:color="auto"/>
        <w:right w:val="none" w:sz="0" w:space="0" w:color="auto"/>
      </w:divBdr>
    </w:div>
    <w:div w:id="1584603015">
      <w:bodyDiv w:val="1"/>
      <w:marLeft w:val="0"/>
      <w:marRight w:val="0"/>
      <w:marTop w:val="0"/>
      <w:marBottom w:val="0"/>
      <w:divBdr>
        <w:top w:val="none" w:sz="0" w:space="0" w:color="auto"/>
        <w:left w:val="none" w:sz="0" w:space="0" w:color="auto"/>
        <w:bottom w:val="none" w:sz="0" w:space="0" w:color="auto"/>
        <w:right w:val="none" w:sz="0" w:space="0" w:color="auto"/>
      </w:divBdr>
    </w:div>
    <w:div w:id="190900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3682</Words>
  <Characters>20988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3</cp:revision>
  <dcterms:created xsi:type="dcterms:W3CDTF">2016-05-15T14:46:00Z</dcterms:created>
  <dcterms:modified xsi:type="dcterms:W3CDTF">2016-05-15T17:21:00Z</dcterms:modified>
</cp:coreProperties>
</file>