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4E" w:rsidRPr="00C87463" w:rsidRDefault="00357B4E" w:rsidP="00357B4E">
      <w:pPr>
        <w:spacing w:line="360" w:lineRule="auto"/>
        <w:jc w:val="center"/>
        <w:rPr>
          <w:rFonts w:ascii="Times New Roman" w:eastAsia="Calibri" w:hAnsi="Times New Roman"/>
          <w:sz w:val="28"/>
          <w:szCs w:val="28"/>
        </w:rPr>
      </w:pPr>
    </w:p>
    <w:p w:rsidR="00357B4E" w:rsidRPr="00C87463" w:rsidRDefault="00357B4E" w:rsidP="00357B4E">
      <w:pPr>
        <w:spacing w:line="360" w:lineRule="auto"/>
        <w:jc w:val="center"/>
        <w:rPr>
          <w:rFonts w:ascii="Times New Roman" w:eastAsia="Calibri" w:hAnsi="Times New Roman"/>
          <w:sz w:val="28"/>
          <w:szCs w:val="28"/>
        </w:rPr>
      </w:pPr>
    </w:p>
    <w:p w:rsidR="00357B4E" w:rsidRPr="00C87463" w:rsidRDefault="00B708BE" w:rsidP="00357B4E">
      <w:pPr>
        <w:spacing w:after="0" w:line="240" w:lineRule="auto"/>
        <w:jc w:val="center"/>
        <w:rPr>
          <w:rFonts w:ascii="Times New Roman" w:hAnsi="Times New Roman"/>
          <w:sz w:val="28"/>
          <w:szCs w:val="28"/>
        </w:rPr>
      </w:pPr>
      <w:r w:rsidRPr="00C87463">
        <w:rPr>
          <w:rFonts w:ascii="Times New Roman" w:hAnsi="Times New Roman"/>
          <w:sz w:val="28"/>
          <w:szCs w:val="28"/>
        </w:rPr>
        <w:t>КУРСОВАЯ</w:t>
      </w:r>
      <w:r w:rsidR="00357B4E" w:rsidRPr="00C87463">
        <w:rPr>
          <w:rFonts w:ascii="Times New Roman" w:hAnsi="Times New Roman"/>
          <w:sz w:val="28"/>
          <w:szCs w:val="28"/>
        </w:rPr>
        <w:t xml:space="preserve"> РАБОТА</w:t>
      </w:r>
    </w:p>
    <w:p w:rsidR="00B708BE" w:rsidRPr="00C87463" w:rsidRDefault="00B708BE" w:rsidP="00B708BE">
      <w:pPr>
        <w:jc w:val="center"/>
        <w:rPr>
          <w:rFonts w:ascii="Times New Roman" w:hAnsi="Times New Roman"/>
          <w:sz w:val="28"/>
          <w:szCs w:val="28"/>
        </w:rPr>
      </w:pPr>
      <w:r w:rsidRPr="00C87463">
        <w:rPr>
          <w:rFonts w:ascii="Times New Roman" w:hAnsi="Times New Roman"/>
          <w:sz w:val="28"/>
          <w:szCs w:val="28"/>
        </w:rPr>
        <w:t>по дисциплине «ДЕНЬГИ. КРЕДИТ. БАНКИ</w:t>
      </w:r>
      <w:proofErr w:type="gramStart"/>
      <w:r w:rsidRPr="00C87463">
        <w:rPr>
          <w:rFonts w:ascii="Times New Roman" w:hAnsi="Times New Roman"/>
          <w:sz w:val="28"/>
          <w:szCs w:val="28"/>
        </w:rPr>
        <w:t>.»</w:t>
      </w:r>
      <w:proofErr w:type="gramEnd"/>
    </w:p>
    <w:p w:rsidR="00B708BE" w:rsidRPr="00C87463" w:rsidRDefault="00B708BE" w:rsidP="00B708BE">
      <w:pPr>
        <w:jc w:val="center"/>
        <w:rPr>
          <w:rFonts w:ascii="Times New Roman" w:hAnsi="Times New Roman"/>
          <w:sz w:val="28"/>
          <w:szCs w:val="28"/>
        </w:rPr>
      </w:pPr>
      <w:r w:rsidRPr="00C87463">
        <w:rPr>
          <w:rFonts w:ascii="Times New Roman" w:hAnsi="Times New Roman"/>
          <w:sz w:val="28"/>
          <w:szCs w:val="28"/>
        </w:rPr>
        <w:t>Тема: «Инструменты денежно-кредитной политики ЦБ РФ и механизм их функционирования»</w:t>
      </w:r>
    </w:p>
    <w:p w:rsidR="00357B4E" w:rsidRPr="00C87463" w:rsidRDefault="00357B4E" w:rsidP="00357B4E">
      <w:pPr>
        <w:jc w:val="right"/>
        <w:rPr>
          <w:rFonts w:ascii="Times New Roman" w:eastAsia="Calibri" w:hAnsi="Times New Roman"/>
          <w:sz w:val="28"/>
          <w:szCs w:val="28"/>
        </w:rPr>
      </w:pPr>
    </w:p>
    <w:p w:rsidR="00B708BE" w:rsidRPr="00C87463" w:rsidRDefault="00B708BE" w:rsidP="00357B4E">
      <w:pPr>
        <w:jc w:val="right"/>
        <w:rPr>
          <w:rFonts w:ascii="Times New Roman" w:eastAsia="Calibri" w:hAnsi="Times New Roman"/>
          <w:sz w:val="28"/>
          <w:szCs w:val="28"/>
        </w:rPr>
      </w:pPr>
    </w:p>
    <w:p w:rsidR="00B708BE" w:rsidRPr="00C87463" w:rsidRDefault="00B708BE" w:rsidP="00357B4E">
      <w:pPr>
        <w:jc w:val="right"/>
        <w:rPr>
          <w:rFonts w:ascii="Times New Roman" w:eastAsia="Calibri" w:hAnsi="Times New Roman"/>
          <w:sz w:val="28"/>
          <w:szCs w:val="28"/>
        </w:rPr>
      </w:pPr>
    </w:p>
    <w:p w:rsidR="00B708BE" w:rsidRPr="00C87463" w:rsidRDefault="00B708BE" w:rsidP="00357B4E">
      <w:pPr>
        <w:jc w:val="right"/>
        <w:rPr>
          <w:rFonts w:ascii="Times New Roman" w:eastAsia="Calibri" w:hAnsi="Times New Roman"/>
          <w:sz w:val="28"/>
          <w:szCs w:val="28"/>
        </w:rPr>
      </w:pPr>
    </w:p>
    <w:tbl>
      <w:tblPr>
        <w:tblW w:w="0" w:type="auto"/>
        <w:tblLook w:val="04A0" w:firstRow="1" w:lastRow="0" w:firstColumn="1" w:lastColumn="0" w:noHBand="0" w:noVBand="1"/>
      </w:tblPr>
      <w:tblGrid>
        <w:gridCol w:w="5494"/>
        <w:gridCol w:w="4076"/>
      </w:tblGrid>
      <w:tr w:rsidR="00357B4E" w:rsidRPr="00C87463" w:rsidTr="00B708BE">
        <w:tc>
          <w:tcPr>
            <w:tcW w:w="5494" w:type="dxa"/>
          </w:tcPr>
          <w:p w:rsidR="00357B4E" w:rsidRPr="00C87463" w:rsidRDefault="00357B4E" w:rsidP="00357B4E">
            <w:pPr>
              <w:spacing w:after="0"/>
              <w:jc w:val="right"/>
              <w:rPr>
                <w:rFonts w:ascii="Times New Roman" w:eastAsia="Calibri" w:hAnsi="Times New Roman"/>
                <w:sz w:val="28"/>
                <w:szCs w:val="28"/>
              </w:rPr>
            </w:pPr>
          </w:p>
        </w:tc>
        <w:tc>
          <w:tcPr>
            <w:tcW w:w="4076" w:type="dxa"/>
          </w:tcPr>
          <w:p w:rsidR="00357B4E" w:rsidRPr="00C87463" w:rsidRDefault="00357B4E" w:rsidP="00357B4E">
            <w:pPr>
              <w:spacing w:after="0" w:line="240" w:lineRule="auto"/>
              <w:rPr>
                <w:rFonts w:ascii="Times New Roman" w:eastAsia="Calibri" w:hAnsi="Times New Roman"/>
                <w:sz w:val="28"/>
                <w:szCs w:val="28"/>
              </w:rPr>
            </w:pPr>
          </w:p>
        </w:tc>
      </w:tr>
      <w:tr w:rsidR="00357B4E" w:rsidRPr="00C87463" w:rsidTr="00B708BE">
        <w:tc>
          <w:tcPr>
            <w:tcW w:w="5494" w:type="dxa"/>
          </w:tcPr>
          <w:p w:rsidR="00357B4E" w:rsidRPr="00C87463" w:rsidRDefault="00357B4E" w:rsidP="00357B4E">
            <w:pPr>
              <w:spacing w:after="0"/>
              <w:jc w:val="right"/>
              <w:rPr>
                <w:rFonts w:ascii="Times New Roman" w:eastAsia="Calibri" w:hAnsi="Times New Roman"/>
                <w:sz w:val="28"/>
                <w:szCs w:val="28"/>
              </w:rPr>
            </w:pPr>
          </w:p>
        </w:tc>
        <w:tc>
          <w:tcPr>
            <w:tcW w:w="4076" w:type="dxa"/>
          </w:tcPr>
          <w:p w:rsidR="00357B4E" w:rsidRPr="00C87463" w:rsidRDefault="00357B4E" w:rsidP="00357B4E">
            <w:pPr>
              <w:spacing w:after="0" w:line="240" w:lineRule="auto"/>
              <w:rPr>
                <w:rFonts w:ascii="Times New Roman" w:eastAsia="Calibri" w:hAnsi="Times New Roman"/>
                <w:sz w:val="28"/>
                <w:szCs w:val="28"/>
              </w:rPr>
            </w:pPr>
          </w:p>
        </w:tc>
      </w:tr>
      <w:tr w:rsidR="00357B4E" w:rsidRPr="00C87463" w:rsidTr="00B708BE">
        <w:tc>
          <w:tcPr>
            <w:tcW w:w="5494" w:type="dxa"/>
          </w:tcPr>
          <w:p w:rsidR="00357B4E" w:rsidRPr="00C87463" w:rsidRDefault="00357B4E" w:rsidP="00357B4E">
            <w:pPr>
              <w:spacing w:after="0"/>
              <w:jc w:val="right"/>
              <w:rPr>
                <w:rFonts w:ascii="Times New Roman" w:eastAsia="Calibri" w:hAnsi="Times New Roman"/>
                <w:sz w:val="28"/>
                <w:szCs w:val="28"/>
              </w:rPr>
            </w:pPr>
          </w:p>
        </w:tc>
        <w:tc>
          <w:tcPr>
            <w:tcW w:w="4076" w:type="dxa"/>
          </w:tcPr>
          <w:p w:rsidR="00357B4E" w:rsidRPr="00C87463" w:rsidRDefault="00357B4E" w:rsidP="00357B4E">
            <w:pPr>
              <w:spacing w:after="0" w:line="240" w:lineRule="auto"/>
              <w:rPr>
                <w:rFonts w:ascii="Times New Roman" w:eastAsia="Calibri" w:hAnsi="Times New Roman"/>
                <w:sz w:val="28"/>
                <w:szCs w:val="28"/>
              </w:rPr>
            </w:pPr>
          </w:p>
        </w:tc>
      </w:tr>
    </w:tbl>
    <w:p w:rsidR="00357B4E" w:rsidRPr="00C87463" w:rsidRDefault="00357B4E" w:rsidP="00357B4E">
      <w:pPr>
        <w:jc w:val="right"/>
        <w:rPr>
          <w:rFonts w:ascii="Times New Roman" w:eastAsia="Calibri" w:hAnsi="Times New Roman"/>
          <w:sz w:val="28"/>
          <w:szCs w:val="28"/>
        </w:rPr>
      </w:pPr>
    </w:p>
    <w:p w:rsidR="00357B4E" w:rsidRPr="00C87463" w:rsidRDefault="00357B4E" w:rsidP="00357B4E">
      <w:pPr>
        <w:spacing w:line="360" w:lineRule="auto"/>
        <w:jc w:val="center"/>
        <w:rPr>
          <w:rFonts w:ascii="Times New Roman" w:eastAsia="Calibri" w:hAnsi="Times New Roman"/>
          <w:sz w:val="28"/>
          <w:szCs w:val="28"/>
        </w:rPr>
      </w:pPr>
    </w:p>
    <w:p w:rsidR="00B708BE" w:rsidRPr="00C87463" w:rsidRDefault="00B708BE" w:rsidP="00357B4E">
      <w:pPr>
        <w:spacing w:line="360" w:lineRule="auto"/>
        <w:jc w:val="center"/>
        <w:rPr>
          <w:rFonts w:ascii="Times New Roman" w:eastAsia="Calibri" w:hAnsi="Times New Roman"/>
          <w:sz w:val="28"/>
          <w:szCs w:val="28"/>
        </w:rPr>
      </w:pPr>
    </w:p>
    <w:p w:rsidR="00B708BE" w:rsidRPr="00C87463" w:rsidRDefault="00B708BE" w:rsidP="00357B4E">
      <w:pPr>
        <w:spacing w:line="360" w:lineRule="auto"/>
        <w:jc w:val="center"/>
        <w:rPr>
          <w:rFonts w:ascii="Times New Roman" w:eastAsia="Calibri" w:hAnsi="Times New Roman"/>
          <w:sz w:val="28"/>
          <w:szCs w:val="28"/>
        </w:rPr>
      </w:pPr>
    </w:p>
    <w:p w:rsidR="00B708BE" w:rsidRPr="00C87463" w:rsidRDefault="00B708BE" w:rsidP="00357B4E">
      <w:pPr>
        <w:spacing w:line="360" w:lineRule="auto"/>
        <w:jc w:val="center"/>
        <w:rPr>
          <w:rFonts w:ascii="Times New Roman" w:eastAsia="Calibri" w:hAnsi="Times New Roman"/>
          <w:sz w:val="28"/>
          <w:szCs w:val="28"/>
        </w:rPr>
      </w:pPr>
    </w:p>
    <w:p w:rsidR="0068376A" w:rsidRDefault="0068376A">
      <w:pPr>
        <w:spacing w:after="0" w:line="240" w:lineRule="auto"/>
        <w:rPr>
          <w:rFonts w:ascii="Times New Roman" w:hAnsi="Times New Roman"/>
        </w:rPr>
      </w:pPr>
      <w:r>
        <w:rPr>
          <w:rFonts w:ascii="Times New Roman" w:hAnsi="Times New Roman"/>
          <w:b/>
          <w:bCs/>
          <w:caps/>
        </w:rPr>
        <w:br w:type="page"/>
      </w:r>
    </w:p>
    <w:bookmarkStart w:id="0" w:name="_GoBack" w:displacedByCustomXml="next"/>
    <w:bookmarkEnd w:id="0" w:displacedByCustomXml="next"/>
    <w:sdt>
      <w:sdtPr>
        <w:rPr>
          <w:rFonts w:ascii="Times New Roman" w:eastAsia="Times New Roman" w:hAnsi="Times New Roman" w:cs="Times New Roman"/>
          <w:b w:val="0"/>
          <w:bCs w:val="0"/>
          <w:caps w:val="0"/>
          <w:color w:val="auto"/>
          <w:sz w:val="22"/>
          <w:szCs w:val="22"/>
        </w:rPr>
        <w:id w:val="149980188"/>
        <w:docPartObj>
          <w:docPartGallery w:val="Table of Contents"/>
          <w:docPartUnique/>
        </w:docPartObj>
      </w:sdtPr>
      <w:sdtEndPr/>
      <w:sdtContent>
        <w:p w:rsidR="00C87463" w:rsidRDefault="00C87463" w:rsidP="00BA6166">
          <w:pPr>
            <w:pStyle w:val="af9"/>
            <w:spacing w:line="240" w:lineRule="auto"/>
            <w:rPr>
              <w:rFonts w:ascii="Times New Roman" w:hAnsi="Times New Roman" w:cs="Times New Roman"/>
            </w:rPr>
          </w:pPr>
          <w:r w:rsidRPr="00BA6166">
            <w:rPr>
              <w:rFonts w:ascii="Times New Roman" w:hAnsi="Times New Roman" w:cs="Times New Roman"/>
            </w:rPr>
            <w:t>Оглавление</w:t>
          </w:r>
        </w:p>
        <w:p w:rsidR="00213E51" w:rsidRPr="00213E51" w:rsidRDefault="00213E51" w:rsidP="00213E51"/>
        <w:p w:rsidR="0094737F" w:rsidRDefault="00A03FC8"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r w:rsidRPr="00C87463">
            <w:rPr>
              <w:rFonts w:ascii="Times New Roman" w:hAnsi="Times New Roman"/>
            </w:rPr>
            <w:fldChar w:fldCharType="begin"/>
          </w:r>
          <w:r w:rsidR="00C87463" w:rsidRPr="00C87463">
            <w:rPr>
              <w:rFonts w:ascii="Times New Roman" w:hAnsi="Times New Roman"/>
            </w:rPr>
            <w:instrText xml:space="preserve"> TOC \o "1-3" \h \z \u </w:instrText>
          </w:r>
          <w:r w:rsidRPr="00C87463">
            <w:rPr>
              <w:rFonts w:ascii="Times New Roman" w:hAnsi="Times New Roman"/>
            </w:rPr>
            <w:fldChar w:fldCharType="separate"/>
          </w:r>
          <w:hyperlink w:anchor="_Toc437453856" w:history="1">
            <w:r w:rsidR="0094737F" w:rsidRPr="00857463">
              <w:rPr>
                <w:rStyle w:val="af"/>
                <w:noProof/>
              </w:rPr>
              <w:t>Введение</w:t>
            </w:r>
            <w:r w:rsidR="0094737F">
              <w:rPr>
                <w:noProof/>
                <w:webHidden/>
              </w:rPr>
              <w:tab/>
            </w:r>
            <w:r w:rsidR="0094737F">
              <w:rPr>
                <w:noProof/>
                <w:webHidden/>
              </w:rPr>
              <w:fldChar w:fldCharType="begin"/>
            </w:r>
            <w:r w:rsidR="0094737F">
              <w:rPr>
                <w:noProof/>
                <w:webHidden/>
              </w:rPr>
              <w:instrText xml:space="preserve"> PAGEREF _Toc437453856 \h </w:instrText>
            </w:r>
            <w:r w:rsidR="0094737F">
              <w:rPr>
                <w:noProof/>
                <w:webHidden/>
              </w:rPr>
            </w:r>
            <w:r w:rsidR="0094737F">
              <w:rPr>
                <w:noProof/>
                <w:webHidden/>
              </w:rPr>
              <w:fldChar w:fldCharType="separate"/>
            </w:r>
            <w:r w:rsidR="0094737F">
              <w:rPr>
                <w:noProof/>
                <w:webHidden/>
              </w:rPr>
              <w:t>3</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57" w:history="1">
            <w:r w:rsidR="0094737F" w:rsidRPr="00857463">
              <w:rPr>
                <w:rStyle w:val="af"/>
                <w:noProof/>
              </w:rPr>
              <w:t>Глава 1. Понятие и цели кредитно-денежной политики</w:t>
            </w:r>
            <w:r w:rsidR="0094737F">
              <w:rPr>
                <w:noProof/>
                <w:webHidden/>
              </w:rPr>
              <w:tab/>
            </w:r>
            <w:r w:rsidR="0094737F">
              <w:rPr>
                <w:noProof/>
                <w:webHidden/>
              </w:rPr>
              <w:fldChar w:fldCharType="begin"/>
            </w:r>
            <w:r w:rsidR="0094737F">
              <w:rPr>
                <w:noProof/>
                <w:webHidden/>
              </w:rPr>
              <w:instrText xml:space="preserve"> PAGEREF _Toc437453857 \h </w:instrText>
            </w:r>
            <w:r w:rsidR="0094737F">
              <w:rPr>
                <w:noProof/>
                <w:webHidden/>
              </w:rPr>
            </w:r>
            <w:r w:rsidR="0094737F">
              <w:rPr>
                <w:noProof/>
                <w:webHidden/>
              </w:rPr>
              <w:fldChar w:fldCharType="separate"/>
            </w:r>
            <w:r w:rsidR="0094737F">
              <w:rPr>
                <w:noProof/>
                <w:webHidden/>
              </w:rPr>
              <w:t>5</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58" w:history="1">
            <w:r w:rsidR="0094737F" w:rsidRPr="00857463">
              <w:rPr>
                <w:rStyle w:val="af"/>
                <w:noProof/>
              </w:rPr>
              <w:t>1.1 Цели денежно-кредитного регулирования</w:t>
            </w:r>
            <w:r w:rsidR="0094737F">
              <w:rPr>
                <w:noProof/>
                <w:webHidden/>
              </w:rPr>
              <w:tab/>
            </w:r>
            <w:r w:rsidR="0094737F">
              <w:rPr>
                <w:noProof/>
                <w:webHidden/>
              </w:rPr>
              <w:fldChar w:fldCharType="begin"/>
            </w:r>
            <w:r w:rsidR="0094737F">
              <w:rPr>
                <w:noProof/>
                <w:webHidden/>
              </w:rPr>
              <w:instrText xml:space="preserve"> PAGEREF _Toc437453858 \h </w:instrText>
            </w:r>
            <w:r w:rsidR="0094737F">
              <w:rPr>
                <w:noProof/>
                <w:webHidden/>
              </w:rPr>
            </w:r>
            <w:r w:rsidR="0094737F">
              <w:rPr>
                <w:noProof/>
                <w:webHidden/>
              </w:rPr>
              <w:fldChar w:fldCharType="separate"/>
            </w:r>
            <w:r w:rsidR="0094737F">
              <w:rPr>
                <w:noProof/>
                <w:webHidden/>
              </w:rPr>
              <w:t>5</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59" w:history="1">
            <w:r w:rsidR="0094737F" w:rsidRPr="00857463">
              <w:rPr>
                <w:rStyle w:val="af"/>
                <w:noProof/>
              </w:rPr>
              <w:t>1.2 Инструменты денежно-кредитной политики</w:t>
            </w:r>
            <w:r w:rsidR="0094737F">
              <w:rPr>
                <w:noProof/>
                <w:webHidden/>
              </w:rPr>
              <w:tab/>
            </w:r>
            <w:r w:rsidR="0094737F">
              <w:rPr>
                <w:noProof/>
                <w:webHidden/>
              </w:rPr>
              <w:fldChar w:fldCharType="begin"/>
            </w:r>
            <w:r w:rsidR="0094737F">
              <w:rPr>
                <w:noProof/>
                <w:webHidden/>
              </w:rPr>
              <w:instrText xml:space="preserve"> PAGEREF _Toc437453859 \h </w:instrText>
            </w:r>
            <w:r w:rsidR="0094737F">
              <w:rPr>
                <w:noProof/>
                <w:webHidden/>
              </w:rPr>
            </w:r>
            <w:r w:rsidR="0094737F">
              <w:rPr>
                <w:noProof/>
                <w:webHidden/>
              </w:rPr>
              <w:fldChar w:fldCharType="separate"/>
            </w:r>
            <w:r w:rsidR="0094737F">
              <w:rPr>
                <w:noProof/>
                <w:webHidden/>
              </w:rPr>
              <w:t>13</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0" w:history="1">
            <w:r w:rsidR="0094737F" w:rsidRPr="00857463">
              <w:rPr>
                <w:rStyle w:val="af"/>
                <w:noProof/>
              </w:rPr>
              <w:t>ГЛАВА 2. ДЕНЕЖНО-КРЕДИТНАЯ ПОЛИТИКА ЦЕНТРАЛЬНОГО БАНКА РФ КАК ИНСТРУМЕНТ РЕГУЛИРОВАНИЯ ЭКОНОМИКИ</w:t>
            </w:r>
            <w:r w:rsidR="0094737F">
              <w:rPr>
                <w:noProof/>
                <w:webHidden/>
              </w:rPr>
              <w:tab/>
            </w:r>
            <w:r w:rsidR="0094737F">
              <w:rPr>
                <w:noProof/>
                <w:webHidden/>
              </w:rPr>
              <w:fldChar w:fldCharType="begin"/>
            </w:r>
            <w:r w:rsidR="0094737F">
              <w:rPr>
                <w:noProof/>
                <w:webHidden/>
              </w:rPr>
              <w:instrText xml:space="preserve"> PAGEREF _Toc437453860 \h </w:instrText>
            </w:r>
            <w:r w:rsidR="0094737F">
              <w:rPr>
                <w:noProof/>
                <w:webHidden/>
              </w:rPr>
            </w:r>
            <w:r w:rsidR="0094737F">
              <w:rPr>
                <w:noProof/>
                <w:webHidden/>
              </w:rPr>
              <w:fldChar w:fldCharType="separate"/>
            </w:r>
            <w:r w:rsidR="0094737F">
              <w:rPr>
                <w:noProof/>
                <w:webHidden/>
              </w:rPr>
              <w:t>30</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1" w:history="1">
            <w:r w:rsidR="0094737F" w:rsidRPr="00857463">
              <w:rPr>
                <w:rStyle w:val="af"/>
                <w:noProof/>
              </w:rPr>
              <w:t>2.1 Роль и функции ЦБ РФ</w:t>
            </w:r>
            <w:r w:rsidR="0094737F">
              <w:rPr>
                <w:noProof/>
                <w:webHidden/>
              </w:rPr>
              <w:tab/>
            </w:r>
            <w:r w:rsidR="0094737F">
              <w:rPr>
                <w:noProof/>
                <w:webHidden/>
              </w:rPr>
              <w:fldChar w:fldCharType="begin"/>
            </w:r>
            <w:r w:rsidR="0094737F">
              <w:rPr>
                <w:noProof/>
                <w:webHidden/>
              </w:rPr>
              <w:instrText xml:space="preserve"> PAGEREF _Toc437453861 \h </w:instrText>
            </w:r>
            <w:r w:rsidR="0094737F">
              <w:rPr>
                <w:noProof/>
                <w:webHidden/>
              </w:rPr>
            </w:r>
            <w:r w:rsidR="0094737F">
              <w:rPr>
                <w:noProof/>
                <w:webHidden/>
              </w:rPr>
              <w:fldChar w:fldCharType="separate"/>
            </w:r>
            <w:r w:rsidR="0094737F">
              <w:rPr>
                <w:noProof/>
                <w:webHidden/>
              </w:rPr>
              <w:t>30</w:t>
            </w:r>
            <w:r w:rsidR="0094737F">
              <w:rPr>
                <w:noProof/>
                <w:webHidden/>
              </w:rPr>
              <w:fldChar w:fldCharType="end"/>
            </w:r>
          </w:hyperlink>
        </w:p>
        <w:p w:rsidR="0094737F" w:rsidRDefault="008304BC" w:rsidP="0094737F">
          <w:pPr>
            <w:pStyle w:val="11"/>
            <w:tabs>
              <w:tab w:val="left" w:pos="660"/>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2" w:history="1">
            <w:r w:rsidR="0094737F" w:rsidRPr="00857463">
              <w:rPr>
                <w:rStyle w:val="af"/>
                <w:noProof/>
              </w:rPr>
              <w:t>2.2</w:t>
            </w:r>
            <w:r w:rsidR="0094737F">
              <w:rPr>
                <w:rFonts w:asciiTheme="minorHAnsi" w:eastAsiaTheme="minorEastAsia" w:hAnsiTheme="minorHAnsi" w:cstheme="minorBidi"/>
                <w:b w:val="0"/>
                <w:bCs w:val="0"/>
                <w:caps w:val="0"/>
                <w:noProof/>
                <w:sz w:val="22"/>
                <w:szCs w:val="22"/>
                <w:lang w:eastAsia="ru-RU"/>
              </w:rPr>
              <w:tab/>
            </w:r>
            <w:r w:rsidR="0094737F" w:rsidRPr="00857463">
              <w:rPr>
                <w:rStyle w:val="af"/>
                <w:noProof/>
              </w:rPr>
              <w:t>Инструменты денежно-кредитной политики Банка России</w:t>
            </w:r>
            <w:r w:rsidR="0094737F">
              <w:rPr>
                <w:noProof/>
                <w:webHidden/>
              </w:rPr>
              <w:tab/>
            </w:r>
            <w:r w:rsidR="0094737F">
              <w:rPr>
                <w:noProof/>
                <w:webHidden/>
              </w:rPr>
              <w:fldChar w:fldCharType="begin"/>
            </w:r>
            <w:r w:rsidR="0094737F">
              <w:rPr>
                <w:noProof/>
                <w:webHidden/>
              </w:rPr>
              <w:instrText xml:space="preserve"> PAGEREF _Toc437453862 \h </w:instrText>
            </w:r>
            <w:r w:rsidR="0094737F">
              <w:rPr>
                <w:noProof/>
                <w:webHidden/>
              </w:rPr>
            </w:r>
            <w:r w:rsidR="0094737F">
              <w:rPr>
                <w:noProof/>
                <w:webHidden/>
              </w:rPr>
              <w:fldChar w:fldCharType="separate"/>
            </w:r>
            <w:r w:rsidR="0094737F">
              <w:rPr>
                <w:noProof/>
                <w:webHidden/>
              </w:rPr>
              <w:t>34</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3" w:history="1">
            <w:r w:rsidR="0094737F" w:rsidRPr="00857463">
              <w:rPr>
                <w:rStyle w:val="af"/>
                <w:noProof/>
              </w:rPr>
              <w:t>2.2.1 Процентные ставки по операциям ЦБ РФ</w:t>
            </w:r>
            <w:r w:rsidR="0094737F">
              <w:rPr>
                <w:noProof/>
                <w:webHidden/>
              </w:rPr>
              <w:tab/>
            </w:r>
            <w:r w:rsidR="0094737F">
              <w:rPr>
                <w:noProof/>
                <w:webHidden/>
              </w:rPr>
              <w:fldChar w:fldCharType="begin"/>
            </w:r>
            <w:r w:rsidR="0094737F">
              <w:rPr>
                <w:noProof/>
                <w:webHidden/>
              </w:rPr>
              <w:instrText xml:space="preserve"> PAGEREF _Toc437453863 \h </w:instrText>
            </w:r>
            <w:r w:rsidR="0094737F">
              <w:rPr>
                <w:noProof/>
                <w:webHidden/>
              </w:rPr>
            </w:r>
            <w:r w:rsidR="0094737F">
              <w:rPr>
                <w:noProof/>
                <w:webHidden/>
              </w:rPr>
              <w:fldChar w:fldCharType="separate"/>
            </w:r>
            <w:r w:rsidR="0094737F">
              <w:rPr>
                <w:noProof/>
                <w:webHidden/>
              </w:rPr>
              <w:t>35</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4" w:history="1">
            <w:r w:rsidR="0094737F" w:rsidRPr="00857463">
              <w:rPr>
                <w:rStyle w:val="af"/>
                <w:noProof/>
              </w:rPr>
              <w:t>2.2.2 Обязательные резервные требования</w:t>
            </w:r>
            <w:r w:rsidR="0094737F">
              <w:rPr>
                <w:noProof/>
                <w:webHidden/>
              </w:rPr>
              <w:tab/>
            </w:r>
            <w:r w:rsidR="0094737F">
              <w:rPr>
                <w:noProof/>
                <w:webHidden/>
              </w:rPr>
              <w:fldChar w:fldCharType="begin"/>
            </w:r>
            <w:r w:rsidR="0094737F">
              <w:rPr>
                <w:noProof/>
                <w:webHidden/>
              </w:rPr>
              <w:instrText xml:space="preserve"> PAGEREF _Toc437453864 \h </w:instrText>
            </w:r>
            <w:r w:rsidR="0094737F">
              <w:rPr>
                <w:noProof/>
                <w:webHidden/>
              </w:rPr>
            </w:r>
            <w:r w:rsidR="0094737F">
              <w:rPr>
                <w:noProof/>
                <w:webHidden/>
              </w:rPr>
              <w:fldChar w:fldCharType="separate"/>
            </w:r>
            <w:r w:rsidR="0094737F">
              <w:rPr>
                <w:noProof/>
                <w:webHidden/>
              </w:rPr>
              <w:t>36</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5" w:history="1">
            <w:r w:rsidR="0094737F" w:rsidRPr="00857463">
              <w:rPr>
                <w:rStyle w:val="af"/>
                <w:noProof/>
              </w:rPr>
              <w:t>2.2.3 Операции РЕПО Банка России</w:t>
            </w:r>
            <w:r w:rsidR="0094737F">
              <w:rPr>
                <w:noProof/>
                <w:webHidden/>
              </w:rPr>
              <w:tab/>
            </w:r>
            <w:r w:rsidR="0094737F">
              <w:rPr>
                <w:noProof/>
                <w:webHidden/>
              </w:rPr>
              <w:fldChar w:fldCharType="begin"/>
            </w:r>
            <w:r w:rsidR="0094737F">
              <w:rPr>
                <w:noProof/>
                <w:webHidden/>
              </w:rPr>
              <w:instrText xml:space="preserve"> PAGEREF _Toc437453865 \h </w:instrText>
            </w:r>
            <w:r w:rsidR="0094737F">
              <w:rPr>
                <w:noProof/>
                <w:webHidden/>
              </w:rPr>
            </w:r>
            <w:r w:rsidR="0094737F">
              <w:rPr>
                <w:noProof/>
                <w:webHidden/>
              </w:rPr>
              <w:fldChar w:fldCharType="separate"/>
            </w:r>
            <w:r w:rsidR="0094737F">
              <w:rPr>
                <w:noProof/>
                <w:webHidden/>
              </w:rPr>
              <w:t>44</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6" w:history="1">
            <w:r w:rsidR="0094737F" w:rsidRPr="00857463">
              <w:rPr>
                <w:rStyle w:val="af"/>
                <w:noProof/>
              </w:rPr>
              <w:t>2.2.4 Рефинансирование кредитных организаций</w:t>
            </w:r>
            <w:r w:rsidR="0094737F">
              <w:rPr>
                <w:noProof/>
                <w:webHidden/>
              </w:rPr>
              <w:tab/>
            </w:r>
            <w:r w:rsidR="0094737F">
              <w:rPr>
                <w:noProof/>
                <w:webHidden/>
              </w:rPr>
              <w:fldChar w:fldCharType="begin"/>
            </w:r>
            <w:r w:rsidR="0094737F">
              <w:rPr>
                <w:noProof/>
                <w:webHidden/>
              </w:rPr>
              <w:instrText xml:space="preserve"> PAGEREF _Toc437453866 \h </w:instrText>
            </w:r>
            <w:r w:rsidR="0094737F">
              <w:rPr>
                <w:noProof/>
                <w:webHidden/>
              </w:rPr>
            </w:r>
            <w:r w:rsidR="0094737F">
              <w:rPr>
                <w:noProof/>
                <w:webHidden/>
              </w:rPr>
              <w:fldChar w:fldCharType="separate"/>
            </w:r>
            <w:r w:rsidR="0094737F">
              <w:rPr>
                <w:noProof/>
                <w:webHidden/>
              </w:rPr>
              <w:t>49</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7" w:history="1">
            <w:r w:rsidR="0094737F" w:rsidRPr="00857463">
              <w:rPr>
                <w:rStyle w:val="af"/>
                <w:noProof/>
              </w:rPr>
              <w:t>2.4 Основные направления единой государственной денежно-кредитной политики на 2016 год и период 2017 и 2018 годов</w:t>
            </w:r>
            <w:r w:rsidR="0094737F">
              <w:rPr>
                <w:noProof/>
                <w:webHidden/>
              </w:rPr>
              <w:tab/>
            </w:r>
            <w:r w:rsidR="0094737F">
              <w:rPr>
                <w:noProof/>
                <w:webHidden/>
              </w:rPr>
              <w:fldChar w:fldCharType="begin"/>
            </w:r>
            <w:r w:rsidR="0094737F">
              <w:rPr>
                <w:noProof/>
                <w:webHidden/>
              </w:rPr>
              <w:instrText xml:space="preserve"> PAGEREF _Toc437453867 \h </w:instrText>
            </w:r>
            <w:r w:rsidR="0094737F">
              <w:rPr>
                <w:noProof/>
                <w:webHidden/>
              </w:rPr>
            </w:r>
            <w:r w:rsidR="0094737F">
              <w:rPr>
                <w:noProof/>
                <w:webHidden/>
              </w:rPr>
              <w:fldChar w:fldCharType="separate"/>
            </w:r>
            <w:r w:rsidR="0094737F">
              <w:rPr>
                <w:noProof/>
                <w:webHidden/>
              </w:rPr>
              <w:t>58</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8" w:history="1">
            <w:r w:rsidR="0094737F" w:rsidRPr="00857463">
              <w:rPr>
                <w:rStyle w:val="af"/>
                <w:noProof/>
              </w:rPr>
              <w:t>Заключение</w:t>
            </w:r>
            <w:r w:rsidR="0094737F">
              <w:rPr>
                <w:noProof/>
                <w:webHidden/>
              </w:rPr>
              <w:tab/>
            </w:r>
            <w:r w:rsidR="0094737F">
              <w:rPr>
                <w:noProof/>
                <w:webHidden/>
              </w:rPr>
              <w:fldChar w:fldCharType="begin"/>
            </w:r>
            <w:r w:rsidR="0094737F">
              <w:rPr>
                <w:noProof/>
                <w:webHidden/>
              </w:rPr>
              <w:instrText xml:space="preserve"> PAGEREF _Toc437453868 \h </w:instrText>
            </w:r>
            <w:r w:rsidR="0094737F">
              <w:rPr>
                <w:noProof/>
                <w:webHidden/>
              </w:rPr>
            </w:r>
            <w:r w:rsidR="0094737F">
              <w:rPr>
                <w:noProof/>
                <w:webHidden/>
              </w:rPr>
              <w:fldChar w:fldCharType="separate"/>
            </w:r>
            <w:r w:rsidR="0094737F">
              <w:rPr>
                <w:noProof/>
                <w:webHidden/>
              </w:rPr>
              <w:t>62</w:t>
            </w:r>
            <w:r w:rsidR="0094737F">
              <w:rPr>
                <w:noProof/>
                <w:webHidden/>
              </w:rPr>
              <w:fldChar w:fldCharType="end"/>
            </w:r>
          </w:hyperlink>
        </w:p>
        <w:p w:rsidR="0094737F" w:rsidRDefault="008304BC" w:rsidP="0094737F">
          <w:pPr>
            <w:pStyle w:val="11"/>
            <w:tabs>
              <w:tab w:val="right" w:leader="dot" w:pos="9628"/>
            </w:tabs>
            <w:spacing w:before="0" w:line="360" w:lineRule="auto"/>
            <w:rPr>
              <w:rFonts w:asciiTheme="minorHAnsi" w:eastAsiaTheme="minorEastAsia" w:hAnsiTheme="minorHAnsi" w:cstheme="minorBidi"/>
              <w:b w:val="0"/>
              <w:bCs w:val="0"/>
              <w:caps w:val="0"/>
              <w:noProof/>
              <w:sz w:val="22"/>
              <w:szCs w:val="22"/>
              <w:lang w:eastAsia="ru-RU"/>
            </w:rPr>
          </w:pPr>
          <w:hyperlink w:anchor="_Toc437453869" w:history="1">
            <w:r w:rsidR="0094737F" w:rsidRPr="00857463">
              <w:rPr>
                <w:rStyle w:val="af"/>
                <w:noProof/>
              </w:rPr>
              <w:t>Библиографический список</w:t>
            </w:r>
            <w:r w:rsidR="0094737F">
              <w:rPr>
                <w:noProof/>
                <w:webHidden/>
              </w:rPr>
              <w:tab/>
            </w:r>
            <w:r w:rsidR="0094737F">
              <w:rPr>
                <w:noProof/>
                <w:webHidden/>
              </w:rPr>
              <w:fldChar w:fldCharType="begin"/>
            </w:r>
            <w:r w:rsidR="0094737F">
              <w:rPr>
                <w:noProof/>
                <w:webHidden/>
              </w:rPr>
              <w:instrText xml:space="preserve"> PAGEREF _Toc437453869 \h </w:instrText>
            </w:r>
            <w:r w:rsidR="0094737F">
              <w:rPr>
                <w:noProof/>
                <w:webHidden/>
              </w:rPr>
            </w:r>
            <w:r w:rsidR="0094737F">
              <w:rPr>
                <w:noProof/>
                <w:webHidden/>
              </w:rPr>
              <w:fldChar w:fldCharType="separate"/>
            </w:r>
            <w:r w:rsidR="0094737F">
              <w:rPr>
                <w:noProof/>
                <w:webHidden/>
              </w:rPr>
              <w:t>65</w:t>
            </w:r>
            <w:r w:rsidR="0094737F">
              <w:rPr>
                <w:noProof/>
                <w:webHidden/>
              </w:rPr>
              <w:fldChar w:fldCharType="end"/>
            </w:r>
          </w:hyperlink>
        </w:p>
        <w:p w:rsidR="00C87463" w:rsidRPr="00C87463" w:rsidRDefault="00A03FC8" w:rsidP="0094737F">
          <w:pPr>
            <w:spacing w:line="360" w:lineRule="auto"/>
            <w:rPr>
              <w:rFonts w:ascii="Times New Roman" w:hAnsi="Times New Roman"/>
            </w:rPr>
          </w:pPr>
          <w:r w:rsidRPr="00C87463">
            <w:rPr>
              <w:rFonts w:ascii="Times New Roman" w:hAnsi="Times New Roman"/>
              <w:sz w:val="24"/>
              <w:szCs w:val="24"/>
            </w:rPr>
            <w:fldChar w:fldCharType="end"/>
          </w:r>
        </w:p>
      </w:sdtContent>
    </w:sdt>
    <w:p w:rsidR="00035D86" w:rsidRPr="00C87463" w:rsidRDefault="00035D86" w:rsidP="00035D86">
      <w:pPr>
        <w:spacing w:after="0" w:line="360" w:lineRule="auto"/>
        <w:ind w:firstLine="709"/>
        <w:jc w:val="both"/>
        <w:rPr>
          <w:rFonts w:ascii="Times New Roman" w:hAnsi="Times New Roman"/>
          <w:sz w:val="28"/>
          <w:szCs w:val="28"/>
        </w:rPr>
      </w:pPr>
    </w:p>
    <w:p w:rsidR="00035D86" w:rsidRPr="00C87463" w:rsidRDefault="00035D86">
      <w:pPr>
        <w:spacing w:after="0" w:line="240" w:lineRule="auto"/>
        <w:rPr>
          <w:rFonts w:ascii="Times New Roman" w:hAnsi="Times New Roman"/>
          <w:sz w:val="28"/>
          <w:szCs w:val="28"/>
        </w:rPr>
      </w:pPr>
      <w:r w:rsidRPr="00C87463">
        <w:rPr>
          <w:rFonts w:ascii="Times New Roman" w:hAnsi="Times New Roman"/>
          <w:sz w:val="28"/>
          <w:szCs w:val="28"/>
        </w:rPr>
        <w:br w:type="page"/>
      </w:r>
    </w:p>
    <w:p w:rsidR="00C831D7" w:rsidRPr="00C87463" w:rsidRDefault="00FA73E9" w:rsidP="00FD195D">
      <w:pPr>
        <w:pStyle w:val="1"/>
      </w:pPr>
      <w:bookmarkStart w:id="1" w:name="_Toc437453856"/>
      <w:r w:rsidRPr="00C87463">
        <w:lastRenderedPageBreak/>
        <w:t>Введение</w:t>
      </w:r>
      <w:bookmarkEnd w:id="1"/>
    </w:p>
    <w:p w:rsidR="00035D86" w:rsidRPr="00C87463" w:rsidRDefault="00035D86" w:rsidP="00035D86">
      <w:pPr>
        <w:spacing w:after="0" w:line="360" w:lineRule="auto"/>
        <w:ind w:firstLine="709"/>
        <w:jc w:val="both"/>
        <w:rPr>
          <w:rFonts w:ascii="Times New Roman" w:hAnsi="Times New Roman"/>
          <w:sz w:val="28"/>
          <w:szCs w:val="28"/>
        </w:rPr>
      </w:pPr>
    </w:p>
    <w:p w:rsidR="00C831D7" w:rsidRPr="00C87463" w:rsidRDefault="00C831D7" w:rsidP="00035D86">
      <w:pPr>
        <w:spacing w:after="0" w:line="360" w:lineRule="auto"/>
        <w:ind w:firstLine="709"/>
        <w:jc w:val="both"/>
        <w:rPr>
          <w:rFonts w:ascii="Times New Roman" w:hAnsi="Times New Roman"/>
          <w:sz w:val="28"/>
          <w:szCs w:val="28"/>
        </w:rPr>
      </w:pPr>
      <w:bookmarkStart w:id="2" w:name="OLE_LINK1"/>
      <w:r w:rsidRPr="00C87463">
        <w:rPr>
          <w:rFonts w:ascii="Times New Roman" w:hAnsi="Times New Roman"/>
          <w:sz w:val="28"/>
          <w:szCs w:val="28"/>
        </w:rPr>
        <w:t>В рыночной экономике имеется ряд социально-экономических проблем, которые сам рынок не в силах решить и поэтому требуется государственное вмешательство. Не существует ни одной страны в мире, экономика, которой функционировала бы только за счет рыночного механизма, наряду с ним всегда используется и механизм государственного регулирования экономики.</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Денежно-кредитная политика является одним из направлений единой финансовой политики государства, действие которой направлено на достижение экономического роста, сдерживание инфляции и обеспечение эффективной занятости населения. Она служит важнейшим инструментом целенаправленного вмешательства государства в экономику страны.</w:t>
      </w:r>
    </w:p>
    <w:p w:rsidR="00C831D7" w:rsidRPr="00C87463" w:rsidRDefault="00FD195D"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В настоящий момент наша с</w:t>
      </w:r>
      <w:r w:rsidR="00E66102" w:rsidRPr="00C87463">
        <w:rPr>
          <w:rFonts w:ascii="Times New Roman" w:hAnsi="Times New Roman"/>
          <w:sz w:val="28"/>
          <w:szCs w:val="28"/>
        </w:rPr>
        <w:t xml:space="preserve">трана находится </w:t>
      </w:r>
      <w:r w:rsidRPr="00C87463">
        <w:rPr>
          <w:rFonts w:ascii="Times New Roman" w:hAnsi="Times New Roman"/>
          <w:sz w:val="28"/>
          <w:szCs w:val="28"/>
        </w:rPr>
        <w:t xml:space="preserve">в </w:t>
      </w:r>
      <w:r w:rsidR="007566AE" w:rsidRPr="00C87463">
        <w:rPr>
          <w:rFonts w:ascii="Times New Roman" w:hAnsi="Times New Roman"/>
          <w:sz w:val="28"/>
          <w:szCs w:val="28"/>
        </w:rPr>
        <w:t>состоянии</w:t>
      </w:r>
      <w:r w:rsidRPr="00C87463">
        <w:rPr>
          <w:rFonts w:ascii="Times New Roman" w:hAnsi="Times New Roman"/>
          <w:sz w:val="28"/>
          <w:szCs w:val="28"/>
        </w:rPr>
        <w:t xml:space="preserve"> острого экономического кризиса</w:t>
      </w:r>
      <w:r w:rsidR="007566AE" w:rsidRPr="00C87463">
        <w:rPr>
          <w:rFonts w:ascii="Times New Roman" w:hAnsi="Times New Roman"/>
          <w:sz w:val="28"/>
          <w:szCs w:val="28"/>
        </w:rPr>
        <w:t xml:space="preserve">, </w:t>
      </w:r>
      <w:r w:rsidRPr="00C87463">
        <w:rPr>
          <w:rFonts w:ascii="Times New Roman" w:hAnsi="Times New Roman"/>
          <w:sz w:val="28"/>
          <w:szCs w:val="28"/>
        </w:rPr>
        <w:t>во многом 2015 год оказался переломным и для российской, и для мировой экономики. Резкое, почти двукратное падение цен на нефть ниже 50 долларов США за баррель при низкой степени диверсификации российского экспорта, необходимость погашения значительных объемов внешнего долга в условиях действия финансовых санкций привели к ослаблению рубля, повышению его волатильности и росту инфляционных и девальвационных ожиданий</w:t>
      </w:r>
      <w:r w:rsidR="00E66102" w:rsidRPr="00C87463">
        <w:rPr>
          <w:rFonts w:ascii="Times New Roman" w:hAnsi="Times New Roman"/>
          <w:sz w:val="28"/>
          <w:szCs w:val="28"/>
        </w:rPr>
        <w:t xml:space="preserve">. </w:t>
      </w:r>
      <w:r w:rsidR="001B1557" w:rsidRPr="00C87463">
        <w:rPr>
          <w:rFonts w:ascii="Times New Roman" w:hAnsi="Times New Roman"/>
          <w:sz w:val="28"/>
          <w:szCs w:val="28"/>
        </w:rPr>
        <w:t>Поэтому в</w:t>
      </w:r>
      <w:r w:rsidR="00C831D7" w:rsidRPr="00C87463">
        <w:rPr>
          <w:rFonts w:ascii="Times New Roman" w:hAnsi="Times New Roman"/>
          <w:sz w:val="28"/>
          <w:szCs w:val="28"/>
        </w:rPr>
        <w:t xml:space="preserve"> настоящее время деятельность Центрального Банка Российской Федерации имеет огромное значение, ведь именно от его эффективного функционирования и правильно выбранных методов, с помощью которых он осуществляет свою деятельность и зависит стабильность экономики,</w:t>
      </w:r>
      <w:r w:rsidR="00035D86" w:rsidRPr="00C87463">
        <w:rPr>
          <w:rFonts w:ascii="Times New Roman" w:hAnsi="Times New Roman"/>
          <w:sz w:val="28"/>
          <w:szCs w:val="28"/>
        </w:rPr>
        <w:t xml:space="preserve"> </w:t>
      </w:r>
      <w:r w:rsidR="00C831D7" w:rsidRPr="00C87463">
        <w:rPr>
          <w:rFonts w:ascii="Times New Roman" w:hAnsi="Times New Roman"/>
          <w:sz w:val="28"/>
          <w:szCs w:val="28"/>
        </w:rPr>
        <w:t>дальнейший рост экономического потенциала страны,</w:t>
      </w:r>
      <w:r w:rsidR="00035D86" w:rsidRPr="00C87463">
        <w:rPr>
          <w:rFonts w:ascii="Times New Roman" w:hAnsi="Times New Roman"/>
          <w:sz w:val="28"/>
          <w:szCs w:val="28"/>
        </w:rPr>
        <w:t xml:space="preserve"> </w:t>
      </w:r>
      <w:r w:rsidR="00C831D7" w:rsidRPr="00C87463">
        <w:rPr>
          <w:rFonts w:ascii="Times New Roman" w:hAnsi="Times New Roman"/>
          <w:sz w:val="28"/>
          <w:szCs w:val="28"/>
        </w:rPr>
        <w:t>ну и, конечно же, укрепление позиций на международном рынке.</w:t>
      </w:r>
      <w:r w:rsidR="00E66102" w:rsidRPr="00C87463">
        <w:rPr>
          <w:rFonts w:ascii="Times New Roman" w:hAnsi="Times New Roman"/>
          <w:sz w:val="28"/>
          <w:szCs w:val="28"/>
        </w:rPr>
        <w:t xml:space="preserve"> </w:t>
      </w:r>
    </w:p>
    <w:bookmarkEnd w:id="2"/>
    <w:p w:rsidR="005C50F6" w:rsidRPr="00C87463" w:rsidRDefault="00C831D7" w:rsidP="003B1CFB">
      <w:pPr>
        <w:autoSpaceDE w:val="0"/>
        <w:autoSpaceDN w:val="0"/>
        <w:adjustRightInd w:val="0"/>
        <w:spacing w:after="0" w:line="360" w:lineRule="auto"/>
        <w:ind w:firstLine="708"/>
        <w:jc w:val="both"/>
        <w:rPr>
          <w:rFonts w:ascii="Times New Roman" w:hAnsi="Times New Roman"/>
          <w:sz w:val="28"/>
          <w:szCs w:val="28"/>
        </w:rPr>
      </w:pPr>
      <w:r w:rsidRPr="00C87463">
        <w:rPr>
          <w:rFonts w:ascii="Times New Roman" w:hAnsi="Times New Roman"/>
          <w:sz w:val="28"/>
          <w:szCs w:val="28"/>
        </w:rPr>
        <w:t>Директивными документами определено, что основной целью деятельности Банка России в долгосрочном периоде является снижение инфляции до уровня, который не препятствовал бы экономическому росту</w:t>
      </w:r>
      <w:r w:rsidR="005C50F6" w:rsidRPr="00C87463">
        <w:rPr>
          <w:rFonts w:ascii="Times New Roman" w:hAnsi="Times New Roman"/>
          <w:sz w:val="28"/>
          <w:szCs w:val="28"/>
        </w:rPr>
        <w:t>.</w:t>
      </w:r>
      <w:r w:rsidR="003B1CFB" w:rsidRPr="00C87463">
        <w:rPr>
          <w:rFonts w:ascii="Times New Roman" w:hAnsi="Times New Roman"/>
          <w:sz w:val="28"/>
          <w:szCs w:val="28"/>
        </w:rPr>
        <w:t xml:space="preserve"> </w:t>
      </w:r>
      <w:r w:rsidR="003B1CFB" w:rsidRPr="00C87463">
        <w:rPr>
          <w:rFonts w:ascii="Times New Roman" w:hAnsi="Times New Roman"/>
          <w:sz w:val="28"/>
          <w:szCs w:val="28"/>
        </w:rPr>
        <w:lastRenderedPageBreak/>
        <w:t>Банк России планирует снизить темпы прироста потребительских цен до 4% в 2017 году и в дальнейшем поддерживать их вблизи данного уровня</w:t>
      </w:r>
      <w:r w:rsidR="003B1CFB" w:rsidRPr="00C87463">
        <w:rPr>
          <w:rStyle w:val="a7"/>
          <w:rFonts w:ascii="Times New Roman" w:hAnsi="Times New Roman"/>
          <w:sz w:val="28"/>
          <w:szCs w:val="28"/>
        </w:rPr>
        <w:footnoteReference w:id="1"/>
      </w:r>
      <w:r w:rsidR="003B1CFB" w:rsidRPr="00C87463">
        <w:rPr>
          <w:rFonts w:ascii="Times New Roman" w:hAnsi="Times New Roman"/>
          <w:sz w:val="28"/>
          <w:szCs w:val="28"/>
        </w:rPr>
        <w:t>.</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Ц</w:t>
      </w:r>
      <w:r w:rsidR="005C50F6" w:rsidRPr="00C87463">
        <w:rPr>
          <w:rFonts w:ascii="Times New Roman" w:hAnsi="Times New Roman"/>
          <w:sz w:val="28"/>
          <w:szCs w:val="28"/>
        </w:rPr>
        <w:t>ель данной</w:t>
      </w:r>
      <w:r w:rsidRPr="00C87463">
        <w:rPr>
          <w:rFonts w:ascii="Times New Roman" w:hAnsi="Times New Roman"/>
          <w:sz w:val="28"/>
          <w:szCs w:val="28"/>
        </w:rPr>
        <w:t xml:space="preserve"> курсовой работы заключается в исследовании особенностей денежно-кредитной политики России, проводимой Центральным Банком, изучение методов и инструментов, с помощью, которых она осуществляется, </w:t>
      </w:r>
      <w:r w:rsidR="00FD0CEB" w:rsidRPr="00C87463">
        <w:rPr>
          <w:rFonts w:ascii="Times New Roman" w:hAnsi="Times New Roman"/>
          <w:sz w:val="28"/>
          <w:szCs w:val="28"/>
        </w:rPr>
        <w:t>а также механизмов ее функционирования</w:t>
      </w:r>
      <w:r w:rsidRPr="00C87463">
        <w:rPr>
          <w:rFonts w:ascii="Times New Roman" w:hAnsi="Times New Roman"/>
          <w:sz w:val="28"/>
          <w:szCs w:val="28"/>
        </w:rPr>
        <w:t>.</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Для достижения поставленной цели представляется необходимым решить следующие задачи:</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рассмотреть теоретические аспекты денежно-кредитной политики, определить ее цели, методы и инструменты реализации;</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 показать основные направления, и инструменты денежно-кредитной политики России. </w:t>
      </w:r>
    </w:p>
    <w:p w:rsidR="00C831D7"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проанализировать основные направления единой государственной денежно-кредитной политики на 201</w:t>
      </w:r>
      <w:r w:rsidR="00FD0CEB" w:rsidRPr="00C87463">
        <w:rPr>
          <w:rFonts w:ascii="Times New Roman" w:hAnsi="Times New Roman"/>
          <w:sz w:val="28"/>
          <w:szCs w:val="28"/>
        </w:rPr>
        <w:t>6</w:t>
      </w:r>
      <w:r w:rsidRPr="00C87463">
        <w:rPr>
          <w:rFonts w:ascii="Times New Roman" w:hAnsi="Times New Roman"/>
          <w:sz w:val="28"/>
          <w:szCs w:val="28"/>
        </w:rPr>
        <w:t xml:space="preserve"> год и период 201</w:t>
      </w:r>
      <w:r w:rsidR="00FD0CEB" w:rsidRPr="00C87463">
        <w:rPr>
          <w:rFonts w:ascii="Times New Roman" w:hAnsi="Times New Roman"/>
          <w:sz w:val="28"/>
          <w:szCs w:val="28"/>
        </w:rPr>
        <w:t>7</w:t>
      </w:r>
      <w:r w:rsidRPr="00C87463">
        <w:rPr>
          <w:rFonts w:ascii="Times New Roman" w:hAnsi="Times New Roman"/>
          <w:sz w:val="28"/>
          <w:szCs w:val="28"/>
        </w:rPr>
        <w:t xml:space="preserve"> и 201</w:t>
      </w:r>
      <w:r w:rsidR="00FD0CEB" w:rsidRPr="00C87463">
        <w:rPr>
          <w:rFonts w:ascii="Times New Roman" w:hAnsi="Times New Roman"/>
          <w:sz w:val="28"/>
          <w:szCs w:val="28"/>
        </w:rPr>
        <w:t>8</w:t>
      </w:r>
      <w:r w:rsidRPr="00C87463">
        <w:rPr>
          <w:rFonts w:ascii="Times New Roman" w:hAnsi="Times New Roman"/>
          <w:sz w:val="28"/>
          <w:szCs w:val="28"/>
        </w:rPr>
        <w:t xml:space="preserve"> годов</w:t>
      </w:r>
    </w:p>
    <w:p w:rsidR="00190962"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Объектом изучения является </w:t>
      </w:r>
      <w:r w:rsidR="008F38D1" w:rsidRPr="00C87463">
        <w:rPr>
          <w:rFonts w:ascii="Times New Roman" w:hAnsi="Times New Roman"/>
          <w:sz w:val="28"/>
          <w:szCs w:val="28"/>
        </w:rPr>
        <w:t xml:space="preserve">денежно-кредитная политика, проводимая </w:t>
      </w:r>
      <w:r w:rsidRPr="00C87463">
        <w:rPr>
          <w:rFonts w:ascii="Times New Roman" w:hAnsi="Times New Roman"/>
          <w:sz w:val="28"/>
          <w:szCs w:val="28"/>
        </w:rPr>
        <w:t>Центральн</w:t>
      </w:r>
      <w:r w:rsidR="008F38D1" w:rsidRPr="00C87463">
        <w:rPr>
          <w:rFonts w:ascii="Times New Roman" w:hAnsi="Times New Roman"/>
          <w:sz w:val="28"/>
          <w:szCs w:val="28"/>
        </w:rPr>
        <w:t>ым</w:t>
      </w:r>
      <w:r w:rsidRPr="00C87463">
        <w:rPr>
          <w:rFonts w:ascii="Times New Roman" w:hAnsi="Times New Roman"/>
          <w:sz w:val="28"/>
          <w:szCs w:val="28"/>
        </w:rPr>
        <w:t xml:space="preserve"> Банк</w:t>
      </w:r>
      <w:r w:rsidR="008F38D1" w:rsidRPr="00C87463">
        <w:rPr>
          <w:rFonts w:ascii="Times New Roman" w:hAnsi="Times New Roman"/>
          <w:sz w:val="28"/>
          <w:szCs w:val="28"/>
        </w:rPr>
        <w:t>ом</w:t>
      </w:r>
      <w:r w:rsidRPr="00C87463">
        <w:rPr>
          <w:rFonts w:ascii="Times New Roman" w:hAnsi="Times New Roman"/>
          <w:sz w:val="28"/>
          <w:szCs w:val="28"/>
        </w:rPr>
        <w:t xml:space="preserve"> Российской Федерации. </w:t>
      </w:r>
      <w:r w:rsidR="00284D30" w:rsidRPr="00C87463">
        <w:rPr>
          <w:rFonts w:ascii="Times New Roman" w:hAnsi="Times New Roman"/>
          <w:sz w:val="28"/>
          <w:szCs w:val="28"/>
        </w:rPr>
        <w:t xml:space="preserve">Предметом </w:t>
      </w:r>
      <w:r w:rsidR="008F38D1" w:rsidRPr="00C87463">
        <w:rPr>
          <w:rFonts w:ascii="Times New Roman" w:hAnsi="Times New Roman"/>
          <w:sz w:val="28"/>
          <w:szCs w:val="28"/>
        </w:rPr>
        <w:t>изучения</w:t>
      </w:r>
      <w:r w:rsidR="00284D30" w:rsidRPr="00C87463">
        <w:rPr>
          <w:rFonts w:ascii="Times New Roman" w:hAnsi="Times New Roman"/>
          <w:sz w:val="28"/>
          <w:szCs w:val="28"/>
        </w:rPr>
        <w:t xml:space="preserve"> </w:t>
      </w:r>
      <w:r w:rsidR="008F38D1" w:rsidRPr="00C87463">
        <w:rPr>
          <w:rFonts w:ascii="Times New Roman" w:hAnsi="Times New Roman"/>
          <w:sz w:val="28"/>
          <w:szCs w:val="28"/>
        </w:rPr>
        <w:t xml:space="preserve">являются </w:t>
      </w:r>
      <w:r w:rsidR="00AE4E59" w:rsidRPr="00C87463">
        <w:rPr>
          <w:rFonts w:ascii="Times New Roman" w:hAnsi="Times New Roman"/>
          <w:sz w:val="28"/>
          <w:szCs w:val="28"/>
        </w:rPr>
        <w:t>инструменты денежно-кредитной политики</w:t>
      </w:r>
      <w:r w:rsidR="00614919" w:rsidRPr="00C87463">
        <w:rPr>
          <w:rFonts w:ascii="Times New Roman" w:hAnsi="Times New Roman"/>
          <w:sz w:val="28"/>
          <w:szCs w:val="28"/>
        </w:rPr>
        <w:t xml:space="preserve">. </w:t>
      </w:r>
    </w:p>
    <w:p w:rsidR="00FA5BF6" w:rsidRPr="00C87463" w:rsidRDefault="00C831D7"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В первой главе рассматриваются теоретические основы денежно- кредитной политики государства, ее функции, цели, инструменты реализации, во второй главе особенности, основные направления </w:t>
      </w:r>
      <w:r w:rsidR="00AE4E59" w:rsidRPr="00C87463">
        <w:rPr>
          <w:rFonts w:ascii="Times New Roman" w:hAnsi="Times New Roman"/>
          <w:sz w:val="28"/>
          <w:szCs w:val="28"/>
        </w:rPr>
        <w:t xml:space="preserve">достаточно подробно рассмотрены основные инструменты </w:t>
      </w:r>
      <w:r w:rsidRPr="00C87463">
        <w:rPr>
          <w:rFonts w:ascii="Times New Roman" w:hAnsi="Times New Roman"/>
          <w:sz w:val="28"/>
          <w:szCs w:val="28"/>
        </w:rPr>
        <w:t>денежно-кредитной политики Центрального Банка России, а также основные направления денежно-кредитной политики России на 201</w:t>
      </w:r>
      <w:r w:rsidR="00FD0CEB" w:rsidRPr="00C87463">
        <w:rPr>
          <w:rFonts w:ascii="Times New Roman" w:hAnsi="Times New Roman"/>
          <w:sz w:val="28"/>
          <w:szCs w:val="28"/>
        </w:rPr>
        <w:t>6</w:t>
      </w:r>
      <w:r w:rsidRPr="00C87463">
        <w:rPr>
          <w:rFonts w:ascii="Times New Roman" w:hAnsi="Times New Roman"/>
          <w:sz w:val="28"/>
          <w:szCs w:val="28"/>
        </w:rPr>
        <w:t xml:space="preserve"> и период 201</w:t>
      </w:r>
      <w:r w:rsidR="00FD0CEB" w:rsidRPr="00C87463">
        <w:rPr>
          <w:rFonts w:ascii="Times New Roman" w:hAnsi="Times New Roman"/>
          <w:sz w:val="28"/>
          <w:szCs w:val="28"/>
        </w:rPr>
        <w:t>7</w:t>
      </w:r>
      <w:r w:rsidRPr="00C87463">
        <w:rPr>
          <w:rFonts w:ascii="Times New Roman" w:hAnsi="Times New Roman"/>
          <w:sz w:val="28"/>
          <w:szCs w:val="28"/>
        </w:rPr>
        <w:t>-201</w:t>
      </w:r>
      <w:r w:rsidR="00FD0CEB" w:rsidRPr="00C87463">
        <w:rPr>
          <w:rFonts w:ascii="Times New Roman" w:hAnsi="Times New Roman"/>
          <w:sz w:val="28"/>
          <w:szCs w:val="28"/>
        </w:rPr>
        <w:t>8</w:t>
      </w:r>
      <w:r w:rsidRPr="00C87463">
        <w:rPr>
          <w:rFonts w:ascii="Times New Roman" w:hAnsi="Times New Roman"/>
          <w:sz w:val="28"/>
          <w:szCs w:val="28"/>
        </w:rPr>
        <w:t xml:space="preserve"> годов</w:t>
      </w:r>
      <w:r w:rsidR="00FD0CEB" w:rsidRPr="00C87463">
        <w:rPr>
          <w:rFonts w:ascii="Times New Roman" w:hAnsi="Times New Roman"/>
          <w:sz w:val="28"/>
          <w:szCs w:val="28"/>
        </w:rPr>
        <w:t>.</w:t>
      </w:r>
    </w:p>
    <w:p w:rsidR="00FA73E9" w:rsidRPr="00C87463" w:rsidRDefault="00FA73E9" w:rsidP="00035D86">
      <w:pPr>
        <w:spacing w:after="0" w:line="360" w:lineRule="auto"/>
        <w:ind w:firstLine="709"/>
        <w:jc w:val="both"/>
        <w:rPr>
          <w:rFonts w:ascii="Times New Roman" w:hAnsi="Times New Roman"/>
          <w:sz w:val="28"/>
          <w:szCs w:val="28"/>
        </w:rPr>
      </w:pPr>
    </w:p>
    <w:p w:rsidR="00035D86" w:rsidRPr="00C87463" w:rsidRDefault="00035D86">
      <w:pPr>
        <w:spacing w:after="0" w:line="240" w:lineRule="auto"/>
        <w:rPr>
          <w:rFonts w:ascii="Times New Roman" w:hAnsi="Times New Roman"/>
          <w:sz w:val="28"/>
          <w:szCs w:val="28"/>
        </w:rPr>
      </w:pPr>
      <w:r w:rsidRPr="00C87463">
        <w:rPr>
          <w:rFonts w:ascii="Times New Roman" w:hAnsi="Times New Roman"/>
          <w:sz w:val="28"/>
          <w:szCs w:val="28"/>
        </w:rPr>
        <w:br w:type="page"/>
      </w:r>
    </w:p>
    <w:p w:rsidR="00CD0268" w:rsidRPr="003A316C" w:rsidRDefault="00CD0268" w:rsidP="003A316C">
      <w:pPr>
        <w:pStyle w:val="1"/>
      </w:pPr>
      <w:bookmarkStart w:id="3" w:name="_Toc437453857"/>
      <w:r w:rsidRPr="003A316C">
        <w:lastRenderedPageBreak/>
        <w:t>Глава 1. Понятие и цели кредитно-денежной политики</w:t>
      </w:r>
      <w:bookmarkEnd w:id="3"/>
    </w:p>
    <w:p w:rsidR="00CD0268" w:rsidRPr="003A316C" w:rsidRDefault="00CD0268" w:rsidP="003A316C">
      <w:pPr>
        <w:pStyle w:val="afa"/>
      </w:pPr>
      <w:bookmarkStart w:id="4" w:name="_Toc437453858"/>
      <w:r w:rsidRPr="003A316C">
        <w:t xml:space="preserve">1.1 Цели </w:t>
      </w:r>
      <w:r w:rsidRPr="003A316C">
        <w:rPr>
          <w:szCs w:val="28"/>
        </w:rPr>
        <w:t>денежно</w:t>
      </w:r>
      <w:r w:rsidRPr="003A316C">
        <w:t>-кредитного регулирования</w:t>
      </w:r>
      <w:bookmarkEnd w:id="4"/>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Денежно-кредитная политика является частью общей финансовой политики. «Под финансовой политикой понимают комплекс мероприятий государства по использованию финансовых отношений, мобилизации финансовых ресурсов, их распределению и использованию на основе финансового законодательства. Финансовая политика государства является лишь средством осуществления его социально-экономической политики и выполняет вспомогательную роль»</w:t>
      </w:r>
      <w:r w:rsidRPr="003A316C">
        <w:rPr>
          <w:rStyle w:val="a7"/>
          <w:rFonts w:ascii="Times New Roman" w:hAnsi="Times New Roman"/>
          <w:sz w:val="28"/>
          <w:szCs w:val="28"/>
        </w:rPr>
        <w:footnoteReference w:id="2"/>
      </w:r>
      <w:r w:rsidRPr="003A316C">
        <w:rPr>
          <w:rFonts w:ascii="Times New Roman" w:hAnsi="Times New Roman"/>
          <w:sz w:val="28"/>
          <w:szCs w:val="28"/>
        </w:rPr>
        <w:t xml:space="preserve">.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Именно в рамках социально-экономической политики может разрабатываться и проводиться в жизнь эффективная финансовая политика.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bCs/>
          <w:sz w:val="28"/>
          <w:szCs w:val="28"/>
        </w:rPr>
        <w:t xml:space="preserve">Как известно, финансовая политика состоит из следующих </w:t>
      </w:r>
      <w:r w:rsidRPr="003A316C">
        <w:rPr>
          <w:rFonts w:ascii="Times New Roman" w:hAnsi="Times New Roman"/>
          <w:b/>
          <w:bCs/>
          <w:sz w:val="28"/>
          <w:szCs w:val="28"/>
        </w:rPr>
        <w:t>главных компонентов:</w:t>
      </w:r>
      <w:r w:rsidRPr="003A316C">
        <w:rPr>
          <w:rFonts w:ascii="Times New Roman" w:hAnsi="Times New Roman"/>
          <w:sz w:val="28"/>
          <w:szCs w:val="28"/>
        </w:rPr>
        <w:t xml:space="preserve">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налоговой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бюджетной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денежно-кредитной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ценовой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таможенной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социальной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инвестиционной политики; </w:t>
      </w:r>
    </w:p>
    <w:p w:rsidR="003A316C" w:rsidRPr="003A316C" w:rsidRDefault="003A316C" w:rsidP="008337AB">
      <w:pPr>
        <w:numPr>
          <w:ilvl w:val="0"/>
          <w:numId w:val="5"/>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политики в области международных финансов.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bCs/>
          <w:sz w:val="28"/>
          <w:szCs w:val="28"/>
        </w:rPr>
        <w:t xml:space="preserve">«К </w:t>
      </w:r>
      <w:r w:rsidRPr="003A316C">
        <w:rPr>
          <w:rFonts w:ascii="Times New Roman" w:hAnsi="Times New Roman"/>
          <w:b/>
          <w:bCs/>
          <w:sz w:val="28"/>
          <w:szCs w:val="28"/>
        </w:rPr>
        <w:t>основным задачам финансовой политики</w:t>
      </w:r>
      <w:r w:rsidRPr="003A316C">
        <w:rPr>
          <w:rFonts w:ascii="Times New Roman" w:hAnsi="Times New Roman"/>
          <w:bCs/>
          <w:sz w:val="28"/>
          <w:szCs w:val="28"/>
        </w:rPr>
        <w:t xml:space="preserve"> можно отнести</w:t>
      </w:r>
      <w:r w:rsidRPr="003A316C">
        <w:rPr>
          <w:rFonts w:ascii="Times New Roman" w:hAnsi="Times New Roman"/>
          <w:b/>
          <w:bCs/>
          <w:sz w:val="28"/>
          <w:szCs w:val="28"/>
        </w:rPr>
        <w:t>:</w:t>
      </w:r>
      <w:r w:rsidRPr="003A316C">
        <w:rPr>
          <w:rFonts w:ascii="Times New Roman" w:hAnsi="Times New Roman"/>
          <w:sz w:val="28"/>
          <w:szCs w:val="28"/>
        </w:rPr>
        <w:t xml:space="preserve"> </w:t>
      </w:r>
    </w:p>
    <w:p w:rsidR="003A316C" w:rsidRPr="003A316C" w:rsidRDefault="003A316C" w:rsidP="008337AB">
      <w:pPr>
        <w:numPr>
          <w:ilvl w:val="0"/>
          <w:numId w:val="6"/>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обеспечение условий для формирования максимально возможных финансовых ресурсов; </w:t>
      </w:r>
    </w:p>
    <w:p w:rsidR="003A316C" w:rsidRPr="003A316C" w:rsidRDefault="003A316C" w:rsidP="008337AB">
      <w:pPr>
        <w:numPr>
          <w:ilvl w:val="0"/>
          <w:numId w:val="6"/>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установление рационального с точки зрения государства распределения и использования финансовых ресурсов; </w:t>
      </w:r>
    </w:p>
    <w:p w:rsidR="003A316C" w:rsidRPr="003A316C" w:rsidRDefault="003A316C" w:rsidP="008337AB">
      <w:pPr>
        <w:numPr>
          <w:ilvl w:val="0"/>
          <w:numId w:val="6"/>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lastRenderedPageBreak/>
        <w:t xml:space="preserve">организацию регулирования и стимулирования </w:t>
      </w:r>
      <w:proofErr w:type="gramStart"/>
      <w:r w:rsidRPr="003A316C">
        <w:rPr>
          <w:rFonts w:ascii="Times New Roman" w:hAnsi="Times New Roman"/>
          <w:sz w:val="28"/>
          <w:szCs w:val="28"/>
        </w:rPr>
        <w:t>экономических и социальных процессов</w:t>
      </w:r>
      <w:proofErr w:type="gramEnd"/>
      <w:r w:rsidRPr="003A316C">
        <w:rPr>
          <w:rFonts w:ascii="Times New Roman" w:hAnsi="Times New Roman"/>
          <w:sz w:val="28"/>
          <w:szCs w:val="28"/>
        </w:rPr>
        <w:t xml:space="preserve"> финансовыми методами; </w:t>
      </w:r>
    </w:p>
    <w:p w:rsidR="003A316C" w:rsidRPr="003A316C" w:rsidRDefault="003A316C" w:rsidP="008337AB">
      <w:pPr>
        <w:numPr>
          <w:ilvl w:val="0"/>
          <w:numId w:val="6"/>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выработку инструментов финансового механизма и его развитие в соответствии с изменяющимися целями и задачами стратегии; </w:t>
      </w:r>
    </w:p>
    <w:p w:rsidR="003A316C" w:rsidRPr="003A316C" w:rsidRDefault="003A316C" w:rsidP="008337AB">
      <w:pPr>
        <w:numPr>
          <w:ilvl w:val="0"/>
          <w:numId w:val="6"/>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создание эффективной и максимально деловой системы оперативного управления финансами»</w:t>
      </w:r>
      <w:r w:rsidRPr="003A316C">
        <w:rPr>
          <w:rStyle w:val="a7"/>
          <w:rFonts w:ascii="Times New Roman" w:hAnsi="Times New Roman"/>
          <w:sz w:val="28"/>
          <w:szCs w:val="28"/>
        </w:rPr>
        <w:footnoteReference w:id="3"/>
      </w:r>
      <w:r w:rsidRPr="003A316C">
        <w:rPr>
          <w:rFonts w:ascii="Times New Roman" w:hAnsi="Times New Roman"/>
          <w:sz w:val="28"/>
          <w:szCs w:val="28"/>
        </w:rPr>
        <w:t xml:space="preserve">.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В процессе экономического регулирования государство широко использует денежно-кредитную политику.</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ЦБ РФ ежегодно не позднее 26 августа представляет в Государственную Думу проект Основных направлений единой государственной денежно-кредитной политики на три предстоящих года и не позднее 1 декабря – окончательный вариант основных направлений.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b/>
          <w:bCs/>
          <w:sz w:val="28"/>
          <w:szCs w:val="28"/>
        </w:rPr>
        <w:t>Основные направления кредитно-денежной политики:</w:t>
      </w:r>
      <w:r w:rsidRPr="003A316C">
        <w:rPr>
          <w:rFonts w:ascii="Times New Roman" w:hAnsi="Times New Roman"/>
          <w:sz w:val="28"/>
          <w:szCs w:val="28"/>
        </w:rPr>
        <w:t xml:space="preserve">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концептуальные принципы, лежащие в основе денежно-кредитной политики, проводимой ЦБ РФ;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краткую характеристику состояния экономики РФ;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прогноз ожидаемого выполнения основных параметров денежно-кредитной политики в текущем году;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количественный анализ причин отклонения от целей денежно-кредитной политики, заявленных ЦБ РФ на текущий год, оценку перспектив достижения указанных целей и обоснование их возможной корректировки;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сценарный (состоящий не менее чем из двух вариантов) прогноз развития экономики РФ на предстоящий год с указанием цен на нефть и другие товары российского экспорта, предусматриваемых каждым сценарием;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прогноз основных показателей платежного баланса РФ на предстоящий год;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lastRenderedPageBreak/>
        <w:t xml:space="preserve">целевые ориентиры, характеризующие основные цели денежно-кредитной политики, заявляемые ЦБ РФ на предстоящий год, включая интервальные показатели инфляции, денежной базы, денежной массы, процентных ставок, изменения золотовалютных резервов;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основные показатели денежной программы на предстоящий финансовый год;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варианты применения инструментов и методов денежно-кредитной политики, обеспечивающих достижение целевых ориентиров при различных сценариях социально-экономической конъюнктуры;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план мероприятий ЦБ РФ на предстоящий год по совершенствованию банковской системы РФ, банковского надзора, финансовых рынков и платежной системы.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Государственное регулирование при помощи денежно-кредитных инструментов – это количественное изменение, во-первых, предложения свободных денег, во-вторых, «цены кредита» – процента.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Процент определяет спрос на заемный капитал и масштабы притока вкладов и депозитов, т.е. формирование кредитных ресурсов. Государственная экономическая политика, ориентированная на использование денежно-кредитных механизмов, называется монетаристской. </w:t>
      </w:r>
      <w:proofErr w:type="gramStart"/>
      <w:r w:rsidRPr="003A316C">
        <w:rPr>
          <w:rFonts w:ascii="Times New Roman" w:hAnsi="Times New Roman"/>
          <w:sz w:val="28"/>
          <w:szCs w:val="28"/>
        </w:rPr>
        <w:t>Ее предпосылками служат развитая рыночная экономика, эффективные институциональная и юридическая инфраструктуры, укоренившаяся предпринимательская психология.</w:t>
      </w:r>
      <w:proofErr w:type="gramEnd"/>
      <w:r w:rsidRPr="003A316C">
        <w:rPr>
          <w:rFonts w:ascii="Times New Roman" w:hAnsi="Times New Roman"/>
          <w:sz w:val="28"/>
          <w:szCs w:val="28"/>
        </w:rPr>
        <w:t xml:space="preserve"> </w:t>
      </w:r>
      <w:proofErr w:type="gramStart"/>
      <w:r w:rsidRPr="003A316C">
        <w:rPr>
          <w:rFonts w:ascii="Times New Roman" w:hAnsi="Times New Roman"/>
          <w:sz w:val="28"/>
          <w:szCs w:val="28"/>
        </w:rPr>
        <w:t xml:space="preserve">Имеются в виду массовое, логичное с экономической и юридической точек зрения поведение хозяйствующих субъектов, высокая степень их зависимости от кредита, низкие и прогнозируемые показатели инфляции, сбалансированный бюджет, упорядоченный государственный долг. </w:t>
      </w:r>
      <w:proofErr w:type="gramEnd"/>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Денежно-кредитная политика имеет значительный временной лаг – время от принятия решения до его результата. Влияние ее на размер валового внутреннего продукта в значительной степени связано (через колебания ставки процента) с изменением инвестиционной активности в экономике, что само по </w:t>
      </w:r>
      <w:r w:rsidRPr="003A316C">
        <w:rPr>
          <w:rFonts w:ascii="Times New Roman" w:hAnsi="Times New Roman"/>
          <w:sz w:val="28"/>
          <w:szCs w:val="28"/>
        </w:rPr>
        <w:lastRenderedPageBreak/>
        <w:t xml:space="preserve">себе является довольно длительным процессом. Запаздывание результата может даже ухудшить ситуацию. Например, </w:t>
      </w:r>
      <w:proofErr w:type="spellStart"/>
      <w:r w:rsidRPr="003A316C">
        <w:rPr>
          <w:rFonts w:ascii="Times New Roman" w:hAnsi="Times New Roman"/>
          <w:sz w:val="28"/>
          <w:szCs w:val="28"/>
        </w:rPr>
        <w:t>антициклическое</w:t>
      </w:r>
      <w:proofErr w:type="spellEnd"/>
      <w:r w:rsidRPr="003A316C">
        <w:rPr>
          <w:rFonts w:ascii="Times New Roman" w:hAnsi="Times New Roman"/>
          <w:sz w:val="28"/>
          <w:szCs w:val="28"/>
        </w:rPr>
        <w:t xml:space="preserve"> расширение денежной массы (и вызванное этим снижение процентной ставки) для предотвращения спада может дать результат, когда экономика будет уже на подъеме и вызовет нежелательные инфляционные процессы.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b/>
          <w:sz w:val="28"/>
          <w:szCs w:val="28"/>
        </w:rPr>
        <w:t>Субъектом денежно-кредитной политики</w:t>
      </w:r>
      <w:r w:rsidRPr="003A316C">
        <w:rPr>
          <w:rFonts w:ascii="Times New Roman" w:hAnsi="Times New Roman"/>
          <w:sz w:val="28"/>
          <w:szCs w:val="28"/>
        </w:rPr>
        <w:t xml:space="preserve"> является центральный банк. «По закону он выполняет установки правительства, но не является правительственным институтом, а имеет определенную степень самостоятельности. Такие права даны ему на основе принципа разделения властей. Правительство не вправе требовать от кредитного центра решения своих финансовых проблем за счет выпуска дополнительного количества денег.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В основном ЦБ РФ использует методы косвенного воздействия на денежно-кредитную сферу и сопряженные области экономики. Однако при проведении определенного круга операций ЦБ РФ вправе и прямо вмешиваться в те или иные процессы. В частности, прямым вмешательством в рассматриваемую сферу можно считать регулирование денежной эмиссии и ограничения динамики кредитования»</w:t>
      </w:r>
      <w:r w:rsidRPr="003A316C">
        <w:rPr>
          <w:rStyle w:val="a7"/>
          <w:rFonts w:ascii="Times New Roman" w:hAnsi="Times New Roman"/>
          <w:sz w:val="28"/>
          <w:szCs w:val="28"/>
        </w:rPr>
        <w:footnoteReference w:id="4"/>
      </w:r>
      <w:r w:rsidRPr="003A316C">
        <w:rPr>
          <w:rFonts w:ascii="Times New Roman" w:hAnsi="Times New Roman"/>
          <w:sz w:val="28"/>
          <w:szCs w:val="28"/>
        </w:rPr>
        <w:t>.</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proofErr w:type="gramStart"/>
      <w:r w:rsidRPr="003A316C">
        <w:rPr>
          <w:rFonts w:ascii="Times New Roman" w:hAnsi="Times New Roman"/>
          <w:b/>
          <w:bCs/>
          <w:sz w:val="28"/>
          <w:szCs w:val="28"/>
        </w:rPr>
        <w:t>Денежно-кредитная</w:t>
      </w:r>
      <w:proofErr w:type="gramEnd"/>
      <w:r w:rsidRPr="003A316C">
        <w:rPr>
          <w:rFonts w:ascii="Times New Roman" w:hAnsi="Times New Roman"/>
          <w:b/>
          <w:bCs/>
          <w:sz w:val="28"/>
          <w:szCs w:val="28"/>
        </w:rPr>
        <w:t xml:space="preserve"> политики содержит несколько элементов:</w:t>
      </w:r>
      <w:r w:rsidRPr="003A316C">
        <w:rPr>
          <w:rFonts w:ascii="Times New Roman" w:hAnsi="Times New Roman"/>
          <w:sz w:val="28"/>
          <w:szCs w:val="28"/>
        </w:rPr>
        <w:t xml:space="preserve">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эмиссионная политика;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политика стабилизации национальной валюты; </w:t>
      </w:r>
    </w:p>
    <w:p w:rsidR="003A316C" w:rsidRPr="003A316C" w:rsidRDefault="003A316C" w:rsidP="008337AB">
      <w:pPr>
        <w:numPr>
          <w:ilvl w:val="0"/>
          <w:numId w:val="7"/>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кредитная политика.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В рамках проведения </w:t>
      </w:r>
      <w:r w:rsidRPr="003A316C">
        <w:rPr>
          <w:rFonts w:ascii="Times New Roman" w:hAnsi="Times New Roman"/>
          <w:i/>
          <w:sz w:val="28"/>
          <w:szCs w:val="28"/>
        </w:rPr>
        <w:t>эмиссионной политики</w:t>
      </w:r>
      <w:r w:rsidRPr="003A316C">
        <w:rPr>
          <w:rFonts w:ascii="Times New Roman" w:hAnsi="Times New Roman"/>
          <w:sz w:val="28"/>
          <w:szCs w:val="28"/>
        </w:rPr>
        <w:t xml:space="preserve"> обеспечивается оптимизация необходимой массы денег в обороте. Разумная эмиссионная политика направлена также на некоторое увеличение доходов бюджета – так называемых эмиссионных доходов. Второе направление требует особой осмотрительности, поскольку при переходе определенных количественных границ денежная система подвержена инфляции, т.е. реальному обесценению доходов бюджета. </w:t>
      </w:r>
      <w:r w:rsidRPr="003A316C">
        <w:rPr>
          <w:rFonts w:ascii="Times New Roman" w:hAnsi="Times New Roman"/>
          <w:sz w:val="28"/>
          <w:szCs w:val="28"/>
        </w:rPr>
        <w:lastRenderedPageBreak/>
        <w:t xml:space="preserve">Если государство не в состоянии регулировать размер денежной массы, это подрывает экономическую безопасность страны, поскольку национальная валюта не в состоянии противостоять экспансии более сильных валют и национальное богатство может быть обесценено либо в значительной степени утеряно.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b/>
          <w:bCs/>
          <w:sz w:val="28"/>
          <w:szCs w:val="28"/>
        </w:rPr>
        <w:t>Функции эмиссия денег:</w:t>
      </w:r>
      <w:r w:rsidRPr="003A316C">
        <w:rPr>
          <w:rFonts w:ascii="Times New Roman" w:hAnsi="Times New Roman"/>
          <w:sz w:val="28"/>
          <w:szCs w:val="28"/>
        </w:rPr>
        <w:t xml:space="preserve"> </w:t>
      </w:r>
    </w:p>
    <w:p w:rsidR="003A316C" w:rsidRPr="003A316C" w:rsidRDefault="003A316C" w:rsidP="008337AB">
      <w:pPr>
        <w:numPr>
          <w:ilvl w:val="0"/>
          <w:numId w:val="8"/>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обеспечение экономики средствами обращения, платежа, накопления; </w:t>
      </w:r>
    </w:p>
    <w:p w:rsidR="003A316C" w:rsidRPr="003A316C" w:rsidRDefault="003A316C" w:rsidP="008337AB">
      <w:pPr>
        <w:numPr>
          <w:ilvl w:val="0"/>
          <w:numId w:val="8"/>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покрытие в критической ситуации дефицита государственного бюджета; </w:t>
      </w:r>
    </w:p>
    <w:p w:rsidR="003A316C" w:rsidRPr="003A316C" w:rsidRDefault="003A316C" w:rsidP="008337AB">
      <w:pPr>
        <w:numPr>
          <w:ilvl w:val="0"/>
          <w:numId w:val="8"/>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sz w:val="28"/>
          <w:szCs w:val="28"/>
        </w:rPr>
        <w:t xml:space="preserve">регулирование экономики – путем увеличения или уменьшения в различных пределах эмиссии денег государство может способствовать либо оживлению экономики, либо ограничению роста цен.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Совокупность государственных мероприятий в области денежного обращения и кредита получила название денежно-кредитной политики. Ее главная цель — регулирование экономической активности в стране и борьба с инфляцией.</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proofErr w:type="gramStart"/>
      <w:r w:rsidRPr="003A316C">
        <w:rPr>
          <w:rFonts w:ascii="Times New Roman" w:hAnsi="Times New Roman"/>
          <w:sz w:val="28"/>
          <w:szCs w:val="28"/>
        </w:rPr>
        <w:t xml:space="preserve">Первоначально основной функцией центральных банков было осуществление эмиссии наличных денег, в настоящее время эта функция постепенно ушла на второй план, однако не следует забывать, что наличные деньги все еще являются тем фундаментом, на котором зиждется вся оставшаяся денежная масса, поэтому деятельность центрального банка по эмиссии наличных денег должна быть не менее взвешенной и продуманной, чем любая другая. </w:t>
      </w:r>
      <w:proofErr w:type="gramEnd"/>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«Осуществляя денежно-кредитную политику, центральный банк, воздействуя на кредитную деятельность коммерческих банков и направляя регулирование на расширение или сокращение кредитования экономики, достигает стабильного развития внутренней экономики, укрепления денежного обращения, сбалансированности внутренних экономических процессов. Таким </w:t>
      </w:r>
      <w:r w:rsidRPr="003A316C">
        <w:rPr>
          <w:rFonts w:ascii="Times New Roman" w:hAnsi="Times New Roman"/>
          <w:sz w:val="28"/>
          <w:szCs w:val="28"/>
        </w:rPr>
        <w:lastRenderedPageBreak/>
        <w:t>образом, воздействие на кредит позволяет достичь более глубоких стратегических задач развития всего хозяйства в целом. Например, недостаток у предприятий свободных денежных средств затрудняет осуществление коммерческих сделок, внутренних инвестиций и т.д. С другой стороны, избыточная денежная масса имеет свои недостатки: обесценение денег, и, как следствие, снижение жизненного уровня населения, ухудшение валютного положения в стране. Соответственно в первом случае денежно-кредитная политика должна быть направлена на расширение кредитной деятельности банков, а во втором случае - на ее сокращение, переходу к политике "дорогих денег" (</w:t>
      </w:r>
      <w:proofErr w:type="spellStart"/>
      <w:r w:rsidRPr="003A316C">
        <w:rPr>
          <w:rFonts w:ascii="Times New Roman" w:hAnsi="Times New Roman"/>
          <w:sz w:val="28"/>
          <w:szCs w:val="28"/>
        </w:rPr>
        <w:t>рестрикционной</w:t>
      </w:r>
      <w:proofErr w:type="spellEnd"/>
      <w:r w:rsidRPr="003A316C">
        <w:rPr>
          <w:rFonts w:ascii="Times New Roman" w:hAnsi="Times New Roman"/>
          <w:sz w:val="28"/>
          <w:szCs w:val="28"/>
        </w:rPr>
        <w:t>)»</w:t>
      </w:r>
      <w:r w:rsidRPr="003A316C">
        <w:rPr>
          <w:rStyle w:val="a7"/>
          <w:rFonts w:ascii="Times New Roman" w:hAnsi="Times New Roman"/>
          <w:sz w:val="28"/>
          <w:szCs w:val="28"/>
        </w:rPr>
        <w:footnoteReference w:id="5"/>
      </w:r>
      <w:r w:rsidRPr="003A316C">
        <w:rPr>
          <w:rFonts w:ascii="Times New Roman" w:hAnsi="Times New Roman"/>
          <w:sz w:val="28"/>
          <w:szCs w:val="28"/>
        </w:rPr>
        <w:t>.</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С помощью денежно-кредитного регулирования государство стремится смягчить экономические кризисы, сдержать рост инфляции, в целях поддержания конъюнктуры государство использует кредит для стимулирования капиталовложений в различные отрасли экономики страны.</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Нужно отметить, что денежно-кредитная политика осуществляется как </w:t>
      </w:r>
      <w:r w:rsidRPr="003A316C">
        <w:rPr>
          <w:rFonts w:ascii="Times New Roman" w:hAnsi="Times New Roman"/>
          <w:i/>
          <w:sz w:val="28"/>
          <w:szCs w:val="28"/>
        </w:rPr>
        <w:t>косвенными (экономическими</w:t>
      </w:r>
      <w:r w:rsidRPr="003A316C">
        <w:rPr>
          <w:rFonts w:ascii="Times New Roman" w:hAnsi="Times New Roman"/>
          <w:sz w:val="28"/>
          <w:szCs w:val="28"/>
        </w:rPr>
        <w:t xml:space="preserve">), так и </w:t>
      </w:r>
      <w:r w:rsidRPr="003A316C">
        <w:rPr>
          <w:rFonts w:ascii="Times New Roman" w:hAnsi="Times New Roman"/>
          <w:i/>
          <w:sz w:val="28"/>
          <w:szCs w:val="28"/>
        </w:rPr>
        <w:t>прямыми (административными)</w:t>
      </w:r>
      <w:r w:rsidRPr="003A316C">
        <w:rPr>
          <w:rFonts w:ascii="Times New Roman" w:hAnsi="Times New Roman"/>
          <w:sz w:val="28"/>
          <w:szCs w:val="28"/>
        </w:rPr>
        <w:t xml:space="preserve"> методами воздействия. Различие между ними состоит в том, что центральный банк либо оказывает косвенное воздействие через ликвидность кредитных учреждений, либо устанавливает лимиты в отношении количественных и качественных параметров деятельности банков.</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Также принято разделение методов на две группы: </w:t>
      </w:r>
    </w:p>
    <w:p w:rsidR="003A316C" w:rsidRPr="003A316C" w:rsidRDefault="003A316C" w:rsidP="008337AB">
      <w:pPr>
        <w:numPr>
          <w:ilvl w:val="0"/>
          <w:numId w:val="9"/>
        </w:numPr>
        <w:tabs>
          <w:tab w:val="left" w:pos="993"/>
        </w:tabs>
        <w:suppressAutoHyphens/>
        <w:spacing w:after="0" w:line="360" w:lineRule="auto"/>
        <w:ind w:left="0" w:firstLine="709"/>
        <w:jc w:val="both"/>
        <w:rPr>
          <w:rFonts w:ascii="Times New Roman" w:hAnsi="Times New Roman"/>
          <w:sz w:val="28"/>
          <w:szCs w:val="28"/>
        </w:rPr>
      </w:pPr>
      <w:proofErr w:type="gramStart"/>
      <w:r w:rsidRPr="003A316C">
        <w:rPr>
          <w:rFonts w:ascii="Times New Roman" w:hAnsi="Times New Roman"/>
          <w:b/>
          <w:sz w:val="28"/>
          <w:szCs w:val="28"/>
        </w:rPr>
        <w:t>общие</w:t>
      </w:r>
      <w:proofErr w:type="gramEnd"/>
      <w:r w:rsidRPr="003A316C">
        <w:rPr>
          <w:rFonts w:ascii="Times New Roman" w:hAnsi="Times New Roman"/>
          <w:sz w:val="28"/>
          <w:szCs w:val="28"/>
        </w:rPr>
        <w:t xml:space="preserve"> (влияют на рынок ссудных капиталов в целом);</w:t>
      </w:r>
    </w:p>
    <w:p w:rsidR="003A316C" w:rsidRPr="003A316C" w:rsidRDefault="003A316C" w:rsidP="008337AB">
      <w:pPr>
        <w:numPr>
          <w:ilvl w:val="0"/>
          <w:numId w:val="9"/>
        </w:numPr>
        <w:tabs>
          <w:tab w:val="left" w:pos="993"/>
        </w:tabs>
        <w:suppressAutoHyphens/>
        <w:spacing w:after="0" w:line="360" w:lineRule="auto"/>
        <w:ind w:left="0" w:firstLine="709"/>
        <w:jc w:val="both"/>
        <w:rPr>
          <w:rFonts w:ascii="Times New Roman" w:hAnsi="Times New Roman"/>
          <w:sz w:val="28"/>
          <w:szCs w:val="28"/>
        </w:rPr>
      </w:pPr>
      <w:r w:rsidRPr="003A316C">
        <w:rPr>
          <w:rFonts w:ascii="Times New Roman" w:hAnsi="Times New Roman"/>
          <w:b/>
          <w:sz w:val="28"/>
          <w:szCs w:val="28"/>
        </w:rPr>
        <w:t>селективные</w:t>
      </w:r>
      <w:r w:rsidRPr="003A316C">
        <w:rPr>
          <w:rFonts w:ascii="Times New Roman" w:hAnsi="Times New Roman"/>
          <w:sz w:val="28"/>
          <w:szCs w:val="28"/>
        </w:rPr>
        <w:t xml:space="preserve"> (предназначены для регулирования конкретных видов кредита или кредитования отдельных отраслей, крупных фирм и т.д.).</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Охарактеризуем общие методы денежно-кредитной политики. Учетная (дисконтная) политика является старейшим методом кредитного регулирования: она активно применяется с середины XIX в. Возникновение </w:t>
      </w:r>
      <w:r w:rsidRPr="003A316C">
        <w:rPr>
          <w:rFonts w:ascii="Times New Roman" w:hAnsi="Times New Roman"/>
          <w:sz w:val="28"/>
          <w:szCs w:val="28"/>
        </w:rPr>
        <w:lastRenderedPageBreak/>
        <w:t>этого метода было связано с превращением центрального банка в кредитора коммерческих банков. Последние переучитывали у него свои векселя или получали кредиты под собственные долговые обязательства. Повышая ставку по кредитам (учетную ставку, ставку дисконта, ставку рефинансирования), центральный банк побуждал другие кредитные учреждения сокращать заимствования. Это затрудняло пополнение банковских ресурсов, вело к повышению процентных ставок и в конечном итоге к сокращению кредитных операций.</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Следовательно, учетная (дисконтная) политика — это условия, на которых центральный банк покупает векселя у коммерческих банков. Учетная политика относится к прямым методам регулирования и представляет собой вариант регулирования качественного параметра рынка, а именно стоимости банковских кредитов.</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В тех случаях, когда предприниматель расплачивается с поставщиком не сразу после отгрузки товаров, а через определенный срок, например через 3 мес., для подтверждения отсрочки платежа они обычно выставляют вексель. Поставщик товара может использовать этот вексель следующим образом: либо ожидать поступления срока его оплаты, либо оплатить им свои денежные обязательства, либо реализовать его коммерческому банку. Покупая вексель, осуществляя тем самым его учет, коммерческий банк оплачивает не всю сумму, а лишь ее часть, удерживая определенный процент (комиссию). Коммерческий банк в случае необходимости может переучесть полученный вексель в центральном банке. При этом последний также удерживает в свою пользу определенный процент — учетную ставку. Устанавливая единую учетную ставку, центральный банк тем самым определяет ее низшую границу для коммерческих банков. Комиссионный процент коммерческих банков превышает ставку центрального банка, как правило, на 0,5—2%.</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«Наибольшей популярностью учетная политика пользовалась в конце XIX — начале XX в. В 30—40-х гг. центральные банки проводили </w:t>
      </w:r>
      <w:r w:rsidRPr="003A316C">
        <w:rPr>
          <w:rFonts w:ascii="Times New Roman" w:hAnsi="Times New Roman"/>
          <w:sz w:val="28"/>
          <w:szCs w:val="28"/>
        </w:rPr>
        <w:lastRenderedPageBreak/>
        <w:t xml:space="preserve">рекомендованную Дж. М. </w:t>
      </w:r>
      <w:proofErr w:type="spellStart"/>
      <w:r w:rsidRPr="003A316C">
        <w:rPr>
          <w:rFonts w:ascii="Times New Roman" w:hAnsi="Times New Roman"/>
          <w:sz w:val="28"/>
          <w:szCs w:val="28"/>
        </w:rPr>
        <w:t>Кейнсом</w:t>
      </w:r>
      <w:proofErr w:type="spellEnd"/>
      <w:r w:rsidRPr="003A316C">
        <w:rPr>
          <w:rFonts w:ascii="Times New Roman" w:hAnsi="Times New Roman"/>
          <w:sz w:val="28"/>
          <w:szCs w:val="28"/>
        </w:rPr>
        <w:t xml:space="preserve"> политику «дешевых денег», т.е. низких процентных ставок и обильного кредитования. В Англии с 1932 по </w:t>
      </w:r>
      <w:smartTag w:uri="urn:schemas-microsoft-com:office:smarttags" w:element="metricconverter">
        <w:smartTagPr>
          <w:attr w:name="ProductID" w:val="1951 г"/>
        </w:smartTagPr>
        <w:r w:rsidRPr="003A316C">
          <w:rPr>
            <w:rFonts w:ascii="Times New Roman" w:hAnsi="Times New Roman"/>
            <w:sz w:val="28"/>
            <w:szCs w:val="28"/>
          </w:rPr>
          <w:t>1951 г</w:t>
        </w:r>
      </w:smartTag>
      <w:r w:rsidRPr="003A316C">
        <w:rPr>
          <w:rFonts w:ascii="Times New Roman" w:hAnsi="Times New Roman"/>
          <w:sz w:val="28"/>
          <w:szCs w:val="28"/>
        </w:rPr>
        <w:t xml:space="preserve">. учетная ставка сохранялась на уровне 2%, в США с 1937 по </w:t>
      </w:r>
      <w:smartTag w:uri="urn:schemas-microsoft-com:office:smarttags" w:element="metricconverter">
        <w:smartTagPr>
          <w:attr w:name="ProductID" w:val="1948 г"/>
        </w:smartTagPr>
        <w:r w:rsidRPr="003A316C">
          <w:rPr>
            <w:rFonts w:ascii="Times New Roman" w:hAnsi="Times New Roman"/>
            <w:sz w:val="28"/>
            <w:szCs w:val="28"/>
          </w:rPr>
          <w:t>1948 г</w:t>
        </w:r>
      </w:smartTag>
      <w:r w:rsidRPr="003A316C">
        <w:rPr>
          <w:rFonts w:ascii="Times New Roman" w:hAnsi="Times New Roman"/>
          <w:sz w:val="28"/>
          <w:szCs w:val="28"/>
        </w:rPr>
        <w:t xml:space="preserve">.—1%. Большую роль в поддержании низких ставок сыграло стремление обеспечить финансирование казначейства на льготных условиях в период после Второй мировой войны. С 50-х гг. во многих странах вновь активизировалось использование учетной политики. В настоящее время за рубежом учетная ставка колеблется в достаточно широких пределах — от 2 до 15%, отражая как общие тенденции </w:t>
      </w:r>
      <w:proofErr w:type="gramStart"/>
      <w:r w:rsidRPr="003A316C">
        <w:rPr>
          <w:rFonts w:ascii="Times New Roman" w:hAnsi="Times New Roman"/>
          <w:sz w:val="28"/>
          <w:szCs w:val="28"/>
        </w:rPr>
        <w:t>экономическою</w:t>
      </w:r>
      <w:proofErr w:type="gramEnd"/>
      <w:r w:rsidRPr="003A316C">
        <w:rPr>
          <w:rFonts w:ascii="Times New Roman" w:hAnsi="Times New Roman"/>
          <w:sz w:val="28"/>
          <w:szCs w:val="28"/>
        </w:rPr>
        <w:t xml:space="preserve"> развития, так и циклические колебания конъюнктуры. Но в целом значение этого метода регулирования по сравнению с другими существенно снизилось»</w:t>
      </w:r>
      <w:r w:rsidRPr="003A316C">
        <w:rPr>
          <w:rStyle w:val="a7"/>
          <w:rFonts w:ascii="Times New Roman" w:hAnsi="Times New Roman"/>
          <w:sz w:val="28"/>
          <w:szCs w:val="28"/>
        </w:rPr>
        <w:footnoteReference w:id="6"/>
      </w:r>
      <w:r w:rsidRPr="003A316C">
        <w:rPr>
          <w:rFonts w:ascii="Times New Roman" w:hAnsi="Times New Roman"/>
          <w:sz w:val="28"/>
          <w:szCs w:val="28"/>
        </w:rPr>
        <w:t>.</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В России подобную функцию выполняет ставка рефинансирования Центробанка РФ, т.е. предоставление кредитных ресурсов в форме прямых кредитов, переучета векселей, ссуд под залог ценных бумаг (ломбардные кредиты), а также организации кредитных аукционов. При установлении данной ставки учитывается влияние процентной политики на формирование производственных затрат и на уровень доходности вкладов физических лиц в коммерческих банках. </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К </w:t>
      </w:r>
      <w:r w:rsidRPr="003A316C">
        <w:rPr>
          <w:rFonts w:ascii="Times New Roman" w:hAnsi="Times New Roman"/>
          <w:b/>
          <w:sz w:val="28"/>
          <w:szCs w:val="28"/>
        </w:rPr>
        <w:t>селективным методам денежно-кредитной политики</w:t>
      </w:r>
      <w:r w:rsidRPr="003A316C">
        <w:rPr>
          <w:rFonts w:ascii="Times New Roman" w:hAnsi="Times New Roman"/>
          <w:sz w:val="28"/>
          <w:szCs w:val="28"/>
        </w:rPr>
        <w:t xml:space="preserve"> относятся следующие</w:t>
      </w:r>
      <w:r w:rsidRPr="003A316C">
        <w:rPr>
          <w:rStyle w:val="a7"/>
          <w:rFonts w:ascii="Times New Roman" w:hAnsi="Times New Roman"/>
          <w:sz w:val="28"/>
          <w:szCs w:val="28"/>
        </w:rPr>
        <w:footnoteReference w:id="7"/>
      </w:r>
      <w:r w:rsidRPr="003A316C">
        <w:rPr>
          <w:rFonts w:ascii="Times New Roman" w:hAnsi="Times New Roman"/>
          <w:sz w:val="28"/>
          <w:szCs w:val="28"/>
        </w:rPr>
        <w:t>:</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t xml:space="preserve">1. </w:t>
      </w:r>
      <w:r w:rsidRPr="003A316C">
        <w:rPr>
          <w:rFonts w:ascii="Times New Roman" w:hAnsi="Times New Roman"/>
          <w:b/>
          <w:sz w:val="28"/>
          <w:szCs w:val="28"/>
        </w:rPr>
        <w:t>Контроль по отдельным видам кредитов</w:t>
      </w:r>
      <w:r w:rsidRPr="003A316C">
        <w:rPr>
          <w:rFonts w:ascii="Times New Roman" w:hAnsi="Times New Roman"/>
          <w:sz w:val="28"/>
          <w:szCs w:val="28"/>
        </w:rPr>
        <w:t>. Он часто практикуется в отношении кредитов под залог биржевых ценных бумаг, потребительских ссуд на покупку товаров в рассрочку, ипотечного кредита. Регулирование потребительского кредита обычно вводится в периоды напряжения на рынке ссудных капиталов, когда государство стремится перераспределить их в пользу отдельных отраслей или ограничить общий объем потребительского спроса.</w:t>
      </w:r>
    </w:p>
    <w:p w:rsidR="003A316C" w:rsidRPr="003A316C" w:rsidRDefault="003A316C" w:rsidP="003A316C">
      <w:pPr>
        <w:tabs>
          <w:tab w:val="left" w:pos="993"/>
        </w:tabs>
        <w:suppressAutoHyphens/>
        <w:spacing w:line="360" w:lineRule="auto"/>
        <w:ind w:firstLine="709"/>
        <w:jc w:val="both"/>
        <w:rPr>
          <w:rFonts w:ascii="Times New Roman" w:hAnsi="Times New Roman"/>
          <w:sz w:val="28"/>
          <w:szCs w:val="28"/>
        </w:rPr>
      </w:pPr>
      <w:r w:rsidRPr="003A316C">
        <w:rPr>
          <w:rFonts w:ascii="Times New Roman" w:hAnsi="Times New Roman"/>
          <w:sz w:val="28"/>
          <w:szCs w:val="28"/>
        </w:rPr>
        <w:lastRenderedPageBreak/>
        <w:t xml:space="preserve">2. </w:t>
      </w:r>
      <w:r w:rsidRPr="003A316C">
        <w:rPr>
          <w:rFonts w:ascii="Times New Roman" w:hAnsi="Times New Roman"/>
          <w:b/>
          <w:sz w:val="28"/>
          <w:szCs w:val="28"/>
        </w:rPr>
        <w:t>Регулирование риска и ликвидности банковских операций.</w:t>
      </w:r>
      <w:r w:rsidRPr="003A316C">
        <w:rPr>
          <w:rFonts w:ascii="Times New Roman" w:hAnsi="Times New Roman"/>
          <w:sz w:val="28"/>
          <w:szCs w:val="28"/>
        </w:rPr>
        <w:t xml:space="preserve"> В многочисленных правительственных положениях и документах (законах, актах, инструкциях, директивах, указаниях и т.д.), регулирующих операционную деятельность банков, основное внимание уделяется риску и ликвидности банковских операций. Государственный контроль за риском усилился в последние два десятилетия. Характерно, что риск банковской деятельности определяется не через оценку финансового положения должников, а через соотношение выданных кредитов и суммы собственных средств банка.</w:t>
      </w:r>
    </w:p>
    <w:p w:rsidR="00117314" w:rsidRDefault="00117314" w:rsidP="00117314">
      <w:pPr>
        <w:pStyle w:val="afa"/>
      </w:pPr>
      <w:bookmarkStart w:id="5" w:name="_Toc437453859"/>
      <w:r>
        <w:t>1.2 Инструменты денежно-кредитной политики</w:t>
      </w:r>
      <w:bookmarkEnd w:id="5"/>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Рассмотрим основные инструменты, с помощью которых центральный банк проводит свою политику по отношению к коммерческим банкам. К ним относятся:</w:t>
      </w:r>
    </w:p>
    <w:p w:rsidR="00117314" w:rsidRPr="00117314" w:rsidRDefault="00117314" w:rsidP="008337AB">
      <w:pPr>
        <w:numPr>
          <w:ilvl w:val="0"/>
          <w:numId w:val="10"/>
        </w:numPr>
        <w:tabs>
          <w:tab w:val="left" w:pos="993"/>
        </w:tabs>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изменение п</w:t>
      </w:r>
      <w:r w:rsidRPr="00117314">
        <w:rPr>
          <w:rFonts w:ascii="Times New Roman" w:hAnsi="Times New Roman"/>
          <w:sz w:val="28"/>
          <w:szCs w:val="28"/>
        </w:rPr>
        <w:t xml:space="preserve">роцентной ставки, основным ее параметром является ключевая ставка Банка России, </w:t>
      </w:r>
    </w:p>
    <w:p w:rsidR="00117314" w:rsidRPr="00117314" w:rsidRDefault="00117314" w:rsidP="008337AB">
      <w:pPr>
        <w:numPr>
          <w:ilvl w:val="0"/>
          <w:numId w:val="10"/>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изменение норм обязательных резервов, </w:t>
      </w:r>
    </w:p>
    <w:p w:rsidR="00117314" w:rsidRPr="00117314" w:rsidRDefault="00117314" w:rsidP="008337AB">
      <w:pPr>
        <w:numPr>
          <w:ilvl w:val="0"/>
          <w:numId w:val="10"/>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операции на открытом рынке с ценными бумагами и иностранной валютой</w:t>
      </w:r>
    </w:p>
    <w:p w:rsidR="00117314" w:rsidRPr="00117314" w:rsidRDefault="00117314" w:rsidP="008337AB">
      <w:pPr>
        <w:numPr>
          <w:ilvl w:val="0"/>
          <w:numId w:val="10"/>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административные меры</w:t>
      </w:r>
    </w:p>
    <w:p w:rsidR="0094737F" w:rsidRPr="0094737F" w:rsidRDefault="0094737F" w:rsidP="0094737F">
      <w:pPr>
        <w:tabs>
          <w:tab w:val="left" w:pos="993"/>
        </w:tabs>
        <w:suppressAutoHyphens/>
        <w:spacing w:line="360" w:lineRule="auto"/>
        <w:jc w:val="both"/>
        <w:rPr>
          <w:i/>
          <w:sz w:val="28"/>
          <w:szCs w:val="28"/>
        </w:rPr>
      </w:pPr>
      <w:r w:rsidRPr="0094737F">
        <w:rPr>
          <w:i/>
          <w:sz w:val="28"/>
          <w:szCs w:val="28"/>
        </w:rPr>
        <w:t>Политика обязательных резервов.</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В настоящее время </w:t>
      </w:r>
      <w:r w:rsidR="00297971">
        <w:rPr>
          <w:rFonts w:ascii="Times New Roman" w:hAnsi="Times New Roman"/>
          <w:sz w:val="28"/>
          <w:szCs w:val="28"/>
        </w:rPr>
        <w:t xml:space="preserve">резервные требования </w:t>
      </w:r>
      <w:r w:rsidR="00297971" w:rsidRPr="00297971">
        <w:rPr>
          <w:rFonts w:ascii="Times New Roman" w:hAnsi="Times New Roman"/>
          <w:sz w:val="28"/>
          <w:szCs w:val="28"/>
        </w:rPr>
        <w:t>представляют собой инструмент монетарной политики, использующийся во многих странах мира. Их суть заключается в следующем: при наличии в </w:t>
      </w:r>
      <w:hyperlink r:id="rId9" w:tooltip="Пассив (бухгалтерия)" w:history="1">
        <w:r w:rsidR="00297971" w:rsidRPr="00297971">
          <w:rPr>
            <w:rFonts w:ascii="Times New Roman" w:hAnsi="Times New Roman"/>
            <w:sz w:val="28"/>
            <w:szCs w:val="28"/>
          </w:rPr>
          <w:t>пассиве</w:t>
        </w:r>
      </w:hyperlink>
      <w:r w:rsidR="00297971" w:rsidRPr="00297971">
        <w:rPr>
          <w:rFonts w:ascii="Times New Roman" w:hAnsi="Times New Roman"/>
          <w:sz w:val="28"/>
          <w:szCs w:val="28"/>
        </w:rPr>
        <w:t> баланса банков определенного вида обязательств (“резервируемые обязательства”)</w:t>
      </w:r>
      <w:r w:rsidR="00297971">
        <w:rPr>
          <w:rFonts w:ascii="Times New Roman" w:hAnsi="Times New Roman"/>
          <w:sz w:val="28"/>
          <w:szCs w:val="28"/>
        </w:rPr>
        <w:t xml:space="preserve"> </w:t>
      </w:r>
      <w:hyperlink r:id="rId10" w:tooltip="Центральный банк" w:history="1">
        <w:r w:rsidR="00297971">
          <w:rPr>
            <w:rFonts w:ascii="Times New Roman" w:hAnsi="Times New Roman"/>
            <w:sz w:val="28"/>
            <w:szCs w:val="28"/>
          </w:rPr>
          <w:t>Ц</w:t>
        </w:r>
        <w:r w:rsidR="00297971" w:rsidRPr="00297971">
          <w:rPr>
            <w:rFonts w:ascii="Times New Roman" w:hAnsi="Times New Roman"/>
            <w:sz w:val="28"/>
            <w:szCs w:val="28"/>
          </w:rPr>
          <w:t xml:space="preserve">ентральный </w:t>
        </w:r>
        <w:r w:rsidR="00297971">
          <w:rPr>
            <w:rFonts w:ascii="Times New Roman" w:hAnsi="Times New Roman"/>
            <w:sz w:val="28"/>
            <w:szCs w:val="28"/>
          </w:rPr>
          <w:t>Б</w:t>
        </w:r>
        <w:r w:rsidR="00297971" w:rsidRPr="00297971">
          <w:rPr>
            <w:rFonts w:ascii="Times New Roman" w:hAnsi="Times New Roman"/>
            <w:sz w:val="28"/>
            <w:szCs w:val="28"/>
          </w:rPr>
          <w:t>анк</w:t>
        </w:r>
      </w:hyperlink>
      <w:r w:rsidR="00297971">
        <w:rPr>
          <w:rFonts w:ascii="Times New Roman" w:hAnsi="Times New Roman"/>
          <w:sz w:val="28"/>
          <w:szCs w:val="28"/>
        </w:rPr>
        <w:t xml:space="preserve"> т</w:t>
      </w:r>
      <w:r w:rsidR="00297971" w:rsidRPr="00297971">
        <w:rPr>
          <w:rFonts w:ascii="Times New Roman" w:hAnsi="Times New Roman"/>
          <w:sz w:val="28"/>
          <w:szCs w:val="28"/>
        </w:rPr>
        <w:t>ребует от банков осуществить вложения в конкретные виды активов (“резервные активы”) в определенном объеме. Данные вложения носят название обязательных резервов, а соотношение их объемов с объемами резервируемых обязательств задается путем установления набора коэффициентов – </w:t>
      </w:r>
      <w:hyperlink r:id="rId11" w:tooltip="Норма обязательных резервов" w:history="1">
        <w:r w:rsidR="00297971" w:rsidRPr="00297971">
          <w:rPr>
            <w:rFonts w:ascii="Times New Roman" w:hAnsi="Times New Roman"/>
            <w:sz w:val="28"/>
            <w:szCs w:val="28"/>
          </w:rPr>
          <w:t>норм (нормативов) резервирования</w:t>
        </w:r>
      </w:hyperlink>
      <w:r w:rsidR="00297971" w:rsidRPr="00297971">
        <w:rPr>
          <w:rFonts w:ascii="Times New Roman" w:hAnsi="Times New Roman"/>
          <w:sz w:val="28"/>
          <w:szCs w:val="28"/>
        </w:rPr>
        <w:t>.</w:t>
      </w:r>
    </w:p>
    <w:p w:rsidR="00297971" w:rsidRPr="00297971" w:rsidRDefault="00297971" w:rsidP="00297971">
      <w:pPr>
        <w:pStyle w:val="af1"/>
        <w:shd w:val="clear" w:color="auto" w:fill="FFFFFF"/>
        <w:spacing w:before="0" w:beforeAutospacing="0" w:after="0" w:afterAutospacing="0" w:line="360" w:lineRule="auto"/>
        <w:ind w:firstLine="708"/>
        <w:jc w:val="both"/>
        <w:rPr>
          <w:sz w:val="28"/>
          <w:szCs w:val="28"/>
          <w:lang w:eastAsia="en-US"/>
        </w:rPr>
      </w:pPr>
      <w:r w:rsidRPr="00297971">
        <w:rPr>
          <w:sz w:val="28"/>
          <w:szCs w:val="28"/>
          <w:lang w:eastAsia="en-US"/>
        </w:rPr>
        <w:lastRenderedPageBreak/>
        <w:t>Данный механизм позволяет центральному банку оказывать воздействие на активную часть баланса банков, вынуждая банковский сектор осуществлять определенные виды вложений.</w:t>
      </w:r>
    </w:p>
    <w:p w:rsidR="00EC6FDC" w:rsidRPr="00297971" w:rsidRDefault="00297971" w:rsidP="00EC6FDC">
      <w:pPr>
        <w:pStyle w:val="af1"/>
        <w:shd w:val="clear" w:color="auto" w:fill="FFFFFF"/>
        <w:spacing w:before="0" w:beforeAutospacing="0" w:after="0" w:afterAutospacing="0" w:line="360" w:lineRule="auto"/>
        <w:ind w:firstLine="284"/>
        <w:jc w:val="both"/>
        <w:rPr>
          <w:sz w:val="28"/>
          <w:szCs w:val="28"/>
          <w:lang w:eastAsia="en-US"/>
        </w:rPr>
      </w:pPr>
      <w:r w:rsidRPr="00297971">
        <w:rPr>
          <w:sz w:val="28"/>
          <w:szCs w:val="28"/>
          <w:lang w:eastAsia="en-US"/>
        </w:rPr>
        <w:t>Описанная система обязательного резервирования получила название резервных требований, основанных на обязательствах (</w:t>
      </w:r>
      <w:proofErr w:type="spellStart"/>
      <w:r w:rsidRPr="00297971">
        <w:rPr>
          <w:sz w:val="28"/>
          <w:szCs w:val="28"/>
          <w:lang w:eastAsia="en-US"/>
        </w:rPr>
        <w:t>liability-based</w:t>
      </w:r>
      <w:proofErr w:type="spellEnd"/>
      <w:r w:rsidRPr="00297971">
        <w:rPr>
          <w:sz w:val="28"/>
          <w:szCs w:val="28"/>
          <w:lang w:eastAsia="en-US"/>
        </w:rPr>
        <w:t xml:space="preserve"> </w:t>
      </w:r>
      <w:proofErr w:type="spellStart"/>
      <w:r w:rsidRPr="00297971">
        <w:rPr>
          <w:sz w:val="28"/>
          <w:szCs w:val="28"/>
          <w:lang w:eastAsia="en-US"/>
        </w:rPr>
        <w:t>reserve</w:t>
      </w:r>
      <w:proofErr w:type="spellEnd"/>
      <w:r w:rsidRPr="00297971">
        <w:rPr>
          <w:sz w:val="28"/>
          <w:szCs w:val="28"/>
          <w:lang w:eastAsia="en-US"/>
        </w:rPr>
        <w:t xml:space="preserve"> </w:t>
      </w:r>
      <w:proofErr w:type="spellStart"/>
      <w:r w:rsidRPr="00297971">
        <w:rPr>
          <w:sz w:val="28"/>
          <w:szCs w:val="28"/>
          <w:lang w:eastAsia="en-US"/>
        </w:rPr>
        <w:t>requirements</w:t>
      </w:r>
      <w:proofErr w:type="spellEnd"/>
      <w:r w:rsidRPr="00297971">
        <w:rPr>
          <w:sz w:val="28"/>
          <w:szCs w:val="28"/>
          <w:lang w:eastAsia="en-US"/>
        </w:rPr>
        <w:t>). В ее рамках повышение резервных требований центрального банка может производиться путем</w:t>
      </w:r>
      <w:r w:rsidR="00EC6FDC">
        <w:rPr>
          <w:sz w:val="28"/>
          <w:szCs w:val="28"/>
          <w:lang w:eastAsia="en-US"/>
        </w:rPr>
        <w:t>:</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расширения состава резервируемых обязательств;</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сокращения состава резервных активов;</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повышения</w:t>
      </w:r>
      <w:r>
        <w:rPr>
          <w:rFonts w:ascii="Times New Roman" w:hAnsi="Times New Roman"/>
          <w:sz w:val="28"/>
          <w:szCs w:val="28"/>
        </w:rPr>
        <w:t xml:space="preserve"> </w:t>
      </w:r>
      <w:hyperlink r:id="rId12" w:tooltip="Норма обязательных резервов" w:history="1">
        <w:r w:rsidRPr="00297971">
          <w:rPr>
            <w:rFonts w:ascii="Times New Roman" w:hAnsi="Times New Roman"/>
            <w:sz w:val="28"/>
            <w:szCs w:val="28"/>
          </w:rPr>
          <w:t>нормативов резервирования</w:t>
        </w:r>
      </w:hyperlink>
      <w:r w:rsidRPr="00297971">
        <w:rPr>
          <w:rFonts w:ascii="Times New Roman" w:hAnsi="Times New Roman"/>
          <w:sz w:val="28"/>
          <w:szCs w:val="28"/>
        </w:rPr>
        <w:t>.</w:t>
      </w:r>
    </w:p>
    <w:p w:rsidR="00297971" w:rsidRPr="00297971" w:rsidRDefault="00297971" w:rsidP="00297971">
      <w:pPr>
        <w:pStyle w:val="af1"/>
        <w:shd w:val="clear" w:color="auto" w:fill="FFFFFF"/>
        <w:spacing w:before="0" w:beforeAutospacing="0" w:after="0" w:afterAutospacing="0" w:line="360" w:lineRule="auto"/>
        <w:jc w:val="both"/>
        <w:rPr>
          <w:sz w:val="28"/>
          <w:szCs w:val="28"/>
          <w:lang w:eastAsia="en-US"/>
        </w:rPr>
      </w:pPr>
      <w:r w:rsidRPr="00297971">
        <w:rPr>
          <w:sz w:val="28"/>
          <w:szCs w:val="28"/>
          <w:lang w:eastAsia="en-US"/>
        </w:rPr>
        <w:t>В свою очередь снижение резервных требований может достигаться за счет</w:t>
      </w:r>
      <w:r w:rsidR="00EC6FDC">
        <w:rPr>
          <w:sz w:val="28"/>
          <w:szCs w:val="28"/>
          <w:lang w:eastAsia="en-US"/>
        </w:rPr>
        <w:t>:</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сокращения состава резервируемых обязательств;</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расширения состава резервных активов;</w:t>
      </w:r>
    </w:p>
    <w:p w:rsidR="00297971" w:rsidRPr="00297971" w:rsidRDefault="00297971" w:rsidP="008337AB">
      <w:pPr>
        <w:numPr>
          <w:ilvl w:val="0"/>
          <w:numId w:val="16"/>
        </w:numPr>
        <w:shd w:val="clear" w:color="auto" w:fill="FFFFFF"/>
        <w:spacing w:after="0" w:line="360" w:lineRule="auto"/>
        <w:ind w:left="851" w:hanging="567"/>
        <w:jc w:val="both"/>
        <w:rPr>
          <w:rFonts w:ascii="Times New Roman" w:hAnsi="Times New Roman"/>
          <w:sz w:val="28"/>
          <w:szCs w:val="28"/>
        </w:rPr>
      </w:pPr>
      <w:r w:rsidRPr="00297971">
        <w:rPr>
          <w:rFonts w:ascii="Times New Roman" w:hAnsi="Times New Roman"/>
          <w:sz w:val="28"/>
          <w:szCs w:val="28"/>
        </w:rPr>
        <w:t>снижения </w:t>
      </w:r>
      <w:hyperlink r:id="rId13" w:tooltip="Норма обязательных резервов" w:history="1">
        <w:r w:rsidRPr="00297971">
          <w:rPr>
            <w:rFonts w:ascii="Times New Roman" w:hAnsi="Times New Roman"/>
            <w:sz w:val="28"/>
            <w:szCs w:val="28"/>
          </w:rPr>
          <w:t>нормативов резервирования</w:t>
        </w:r>
      </w:hyperlink>
      <w:r w:rsidRPr="00297971">
        <w:rPr>
          <w:rFonts w:ascii="Times New Roman" w:hAnsi="Times New Roman"/>
          <w:sz w:val="28"/>
          <w:szCs w:val="28"/>
        </w:rPr>
        <w:t>.</w:t>
      </w:r>
    </w:p>
    <w:p w:rsidR="00297971" w:rsidRPr="00297971" w:rsidRDefault="00297971" w:rsidP="00297971">
      <w:pPr>
        <w:pStyle w:val="af1"/>
        <w:shd w:val="clear" w:color="auto" w:fill="FFFFFF"/>
        <w:spacing w:before="0" w:beforeAutospacing="0" w:after="0" w:afterAutospacing="0" w:line="360" w:lineRule="auto"/>
        <w:ind w:firstLine="284"/>
        <w:jc w:val="both"/>
        <w:rPr>
          <w:sz w:val="28"/>
          <w:szCs w:val="28"/>
          <w:lang w:eastAsia="en-US"/>
        </w:rPr>
      </w:pPr>
      <w:r w:rsidRPr="00297971">
        <w:rPr>
          <w:sz w:val="28"/>
          <w:szCs w:val="28"/>
          <w:lang w:eastAsia="en-US"/>
        </w:rPr>
        <w:t>Таким образом, несмотря на то, что изменение резервных требований чаще всего производится за счет изменения </w:t>
      </w:r>
      <w:hyperlink r:id="rId14" w:tooltip="Норма обязательных резервов" w:history="1">
        <w:r w:rsidRPr="00297971">
          <w:rPr>
            <w:sz w:val="28"/>
            <w:szCs w:val="28"/>
            <w:lang w:eastAsia="en-US"/>
          </w:rPr>
          <w:t>норм резервирования</w:t>
        </w:r>
      </w:hyperlink>
      <w:r w:rsidRPr="00297971">
        <w:rPr>
          <w:sz w:val="28"/>
          <w:szCs w:val="28"/>
          <w:lang w:eastAsia="en-US"/>
        </w:rPr>
        <w:t>, ставить знак равенства между резервными требованиями и</w:t>
      </w:r>
      <w:r>
        <w:rPr>
          <w:sz w:val="28"/>
          <w:szCs w:val="28"/>
          <w:lang w:eastAsia="en-US"/>
        </w:rPr>
        <w:t xml:space="preserve"> </w:t>
      </w:r>
      <w:hyperlink r:id="rId15" w:tooltip="Норма обязательных резервов" w:history="1">
        <w:r w:rsidRPr="00297971">
          <w:rPr>
            <w:sz w:val="28"/>
            <w:szCs w:val="28"/>
            <w:lang w:eastAsia="en-US"/>
          </w:rPr>
          <w:t>нормами резервирования</w:t>
        </w:r>
      </w:hyperlink>
      <w:r w:rsidRPr="00297971">
        <w:rPr>
          <w:sz w:val="28"/>
          <w:szCs w:val="28"/>
          <w:lang w:eastAsia="en-US"/>
        </w:rPr>
        <w:t> некорректно. Именно резервные требования являются инструментом монетарной политики, а </w:t>
      </w:r>
      <w:hyperlink r:id="rId16" w:tooltip="Норма обязательных резервов" w:history="1">
        <w:r w:rsidRPr="00297971">
          <w:rPr>
            <w:sz w:val="28"/>
            <w:szCs w:val="28"/>
            <w:lang w:eastAsia="en-US"/>
          </w:rPr>
          <w:t>нормы резервирования</w:t>
        </w:r>
      </w:hyperlink>
      <w:r w:rsidRPr="00297971">
        <w:rPr>
          <w:sz w:val="28"/>
          <w:szCs w:val="28"/>
          <w:lang w:eastAsia="en-US"/>
        </w:rPr>
        <w:t> - всего лишь одним из элементов обязательного резервирования.</w:t>
      </w:r>
    </w:p>
    <w:p w:rsidR="00297971" w:rsidRPr="00297971" w:rsidRDefault="00297971" w:rsidP="00297971">
      <w:pPr>
        <w:pStyle w:val="af1"/>
        <w:shd w:val="clear" w:color="auto" w:fill="FFFFFF"/>
        <w:spacing w:before="0" w:beforeAutospacing="0" w:after="0" w:afterAutospacing="0" w:line="360" w:lineRule="auto"/>
        <w:ind w:firstLine="284"/>
        <w:jc w:val="both"/>
        <w:rPr>
          <w:sz w:val="28"/>
          <w:szCs w:val="28"/>
          <w:lang w:eastAsia="en-US"/>
        </w:rPr>
      </w:pPr>
      <w:r w:rsidRPr="00297971">
        <w:rPr>
          <w:sz w:val="28"/>
          <w:szCs w:val="28"/>
          <w:lang w:eastAsia="en-US"/>
        </w:rPr>
        <w:t>В зависимости от периода формирования резервов их можно разделить на синхронные и асинхронные. Синхронные резервы формируются в течение отчетного периода, то есть в тот же отрезок времени, в котором определяются резервируемые обязательства. Асинхронные резервы формируются в иные отрезки времени, как правило – более поздние по о</w:t>
      </w:r>
      <w:r>
        <w:rPr>
          <w:sz w:val="28"/>
          <w:szCs w:val="28"/>
          <w:lang w:eastAsia="en-US"/>
        </w:rPr>
        <w:t>тношению к отчетному периоду.</w:t>
      </w:r>
    </w:p>
    <w:p w:rsidR="00117314" w:rsidRDefault="00EC6FDC" w:rsidP="00117314">
      <w:pPr>
        <w:tabs>
          <w:tab w:val="left" w:pos="993"/>
        </w:tabs>
        <w:suppressAutoHyphens/>
        <w:spacing w:line="360" w:lineRule="auto"/>
        <w:ind w:firstLine="709"/>
        <w:jc w:val="both"/>
        <w:rPr>
          <w:rFonts w:ascii="Times New Roman" w:hAnsi="Times New Roman"/>
          <w:sz w:val="28"/>
          <w:szCs w:val="28"/>
        </w:rPr>
      </w:pPr>
      <w:r>
        <w:rPr>
          <w:rFonts w:ascii="Times New Roman" w:hAnsi="Times New Roman"/>
          <w:sz w:val="28"/>
          <w:szCs w:val="28"/>
        </w:rPr>
        <w:t xml:space="preserve">Последнее изменение </w:t>
      </w:r>
      <w:r w:rsidRPr="00EC6FDC">
        <w:rPr>
          <w:rFonts w:ascii="Times New Roman" w:hAnsi="Times New Roman"/>
          <w:sz w:val="28"/>
          <w:szCs w:val="28"/>
        </w:rPr>
        <w:t xml:space="preserve"> коэффициента усреднения, используемого банками для расчета усредненной величины обязательных резервов изменялся с 10 сентября 2015 года с 0.7 до 0.8, для небанковских кредитных организаций, осуществляющих депозитно-кредитные операции, коэффициент с 10 сентября </w:t>
      </w:r>
      <w:r w:rsidRPr="00EC6FDC">
        <w:rPr>
          <w:rFonts w:ascii="Times New Roman" w:hAnsi="Times New Roman"/>
          <w:sz w:val="28"/>
          <w:szCs w:val="28"/>
        </w:rPr>
        <w:lastRenderedPageBreak/>
        <w:t>2015 года повышен с 0,7 до 1 (для расчетных НКО и НКО, имеющих право на осуществление переводов без открытия банковских счетов и связанных с ними иных банковских операций, коэффициент сохраняется равным 1)</w:t>
      </w:r>
      <w:r>
        <w:rPr>
          <w:rStyle w:val="a7"/>
          <w:rFonts w:ascii="Times New Roman" w:hAnsi="Times New Roman"/>
          <w:sz w:val="28"/>
          <w:szCs w:val="28"/>
        </w:rPr>
        <w:footnoteReference w:id="8"/>
      </w:r>
    </w:p>
    <w:p w:rsidR="009E478C" w:rsidRPr="009E478C" w:rsidRDefault="009E478C" w:rsidP="009E478C">
      <w:pPr>
        <w:pStyle w:val="psection"/>
        <w:shd w:val="clear" w:color="auto" w:fill="FFFFFF"/>
        <w:spacing w:before="0" w:beforeAutospacing="0" w:after="0" w:afterAutospacing="0" w:line="360" w:lineRule="auto"/>
        <w:jc w:val="both"/>
        <w:rPr>
          <w:i/>
          <w:sz w:val="28"/>
          <w:szCs w:val="28"/>
          <w:lang w:eastAsia="en-US"/>
        </w:rPr>
      </w:pPr>
      <w:r w:rsidRPr="009E478C">
        <w:rPr>
          <w:i/>
          <w:sz w:val="28"/>
          <w:szCs w:val="28"/>
          <w:lang w:eastAsia="en-US"/>
        </w:rPr>
        <w:t>Валютное регулирование</w:t>
      </w:r>
    </w:p>
    <w:p w:rsidR="000D7721" w:rsidRDefault="009E478C" w:rsidP="009E478C">
      <w:pPr>
        <w:pStyle w:val="psection"/>
        <w:shd w:val="clear" w:color="auto" w:fill="FFFFFF"/>
        <w:spacing w:before="0" w:beforeAutospacing="0" w:after="0" w:afterAutospacing="0" w:line="360" w:lineRule="auto"/>
        <w:ind w:firstLine="708"/>
        <w:jc w:val="both"/>
        <w:rPr>
          <w:sz w:val="28"/>
          <w:szCs w:val="28"/>
          <w:lang w:eastAsia="en-US"/>
        </w:rPr>
      </w:pPr>
      <w:r w:rsidRPr="009E478C">
        <w:rPr>
          <w:sz w:val="28"/>
          <w:szCs w:val="28"/>
          <w:lang w:eastAsia="en-US"/>
        </w:rPr>
        <w:t>Валютное регулирование в качестве инструмента денежно-</w:t>
      </w:r>
      <w:hyperlink r:id="rId17" w:tgtFrame="_blank" w:tooltip="ezaem.ru" w:history="1">
        <w:r w:rsidRPr="009E478C">
          <w:rPr>
            <w:sz w:val="28"/>
            <w:szCs w:val="28"/>
            <w:lang w:eastAsia="en-US"/>
          </w:rPr>
          <w:t>кредитной</w:t>
        </w:r>
      </w:hyperlink>
      <w:r w:rsidRPr="009E478C">
        <w:rPr>
          <w:sz w:val="28"/>
          <w:szCs w:val="28"/>
          <w:lang w:eastAsia="en-US"/>
        </w:rPr>
        <w:t xml:space="preserve"> политики стало применяться центральными банками с 30-х годов XX века как реакция на «бегство капиталов» в условиях экономического кризиса и Великой депрессии. Под валютным регулированием понимается управление валютными потоками и внешними платежами, формирование валютного курса национальной денежной единицы. </w:t>
      </w:r>
    </w:p>
    <w:p w:rsidR="000D7721" w:rsidRDefault="009E478C" w:rsidP="009E478C">
      <w:pPr>
        <w:pStyle w:val="psection"/>
        <w:shd w:val="clear" w:color="auto" w:fill="FFFFFF"/>
        <w:spacing w:before="0" w:beforeAutospacing="0" w:after="0" w:afterAutospacing="0" w:line="360" w:lineRule="auto"/>
        <w:ind w:firstLine="708"/>
        <w:jc w:val="both"/>
        <w:rPr>
          <w:sz w:val="28"/>
          <w:szCs w:val="28"/>
          <w:lang w:eastAsia="en-US"/>
        </w:rPr>
      </w:pPr>
      <w:r w:rsidRPr="009E478C">
        <w:rPr>
          <w:sz w:val="28"/>
          <w:szCs w:val="28"/>
          <w:lang w:eastAsia="en-US"/>
        </w:rPr>
        <w:t xml:space="preserve">На валютный курс оказывает влияние множество факторов: состояние платежного баланса, экспорта и импорта, доля внешней торговли в валовом внутреннем продукте, дефицит бюджета и источников его покрытия, экономическая и политическая ситуации и др. Реальный в конкретных условиях валютный курс может быть определен в результате свободных предложений по купле и продаже валюты на валютных биржах. </w:t>
      </w:r>
    </w:p>
    <w:p w:rsidR="009E478C" w:rsidRPr="00117314" w:rsidRDefault="009E478C" w:rsidP="000D7721">
      <w:pPr>
        <w:pStyle w:val="psection"/>
        <w:shd w:val="clear" w:color="auto" w:fill="FFFFFF"/>
        <w:spacing w:before="0" w:beforeAutospacing="0" w:after="0" w:afterAutospacing="0" w:line="360" w:lineRule="auto"/>
        <w:ind w:firstLine="708"/>
        <w:jc w:val="both"/>
        <w:rPr>
          <w:sz w:val="28"/>
          <w:szCs w:val="28"/>
          <w:lang w:eastAsia="en-US"/>
        </w:rPr>
      </w:pPr>
      <w:r w:rsidRPr="009E478C">
        <w:rPr>
          <w:sz w:val="28"/>
          <w:szCs w:val="28"/>
          <w:lang w:eastAsia="en-US"/>
        </w:rPr>
        <w:t xml:space="preserve">Эффективной системой валютного регулирования является валютная интервенция. Она заключается в том, что центральный банк вмешивается в операции на валютном рынке с целью воздействия на курс национальной валюты путем купли или продажи иностранной валюты. Для повышения курса национальной валюты центральный банк продает иностранную валюту, для снижения этого курса скупает иностранную валюту в обмен на национальную. Центральный банк проводит валютные интервенции для того, чтобы максимально приблизить курс национальной валюты к его покупательной способности и в то же время найти компромисс между интересами экспортеров и импортеров. В некотором занижении курса национальной валюты заинтересованы фирмы-экспортеры, они обеспечивают основную часть поступающей валютной выручки. В некотором завышении курса национальной </w:t>
      </w:r>
      <w:r w:rsidRPr="009E478C">
        <w:rPr>
          <w:sz w:val="28"/>
          <w:szCs w:val="28"/>
          <w:lang w:eastAsia="en-US"/>
        </w:rPr>
        <w:lastRenderedPageBreak/>
        <w:t>валюты заинтересованы предприятия, получающие сырье, материалы, комплектующие детали из-за рубежа, а также отрасли промышленности, производящие продукцию, которая неконкурентоспособна по сравнению с иностранной продукцией</w:t>
      </w:r>
      <w:r w:rsidR="000D7721">
        <w:rPr>
          <w:rStyle w:val="a7"/>
          <w:sz w:val="28"/>
          <w:szCs w:val="28"/>
          <w:lang w:eastAsia="en-US"/>
        </w:rPr>
        <w:footnoteReference w:id="9"/>
      </w:r>
      <w:r w:rsidRPr="009E478C">
        <w:rPr>
          <w:sz w:val="28"/>
          <w:szCs w:val="28"/>
          <w:lang w:eastAsia="en-US"/>
        </w:rPr>
        <w:t>.</w:t>
      </w:r>
    </w:p>
    <w:p w:rsidR="00117314" w:rsidRPr="00117314" w:rsidRDefault="00117314" w:rsidP="00117314">
      <w:pPr>
        <w:tabs>
          <w:tab w:val="left" w:pos="993"/>
        </w:tabs>
        <w:suppressAutoHyphens/>
        <w:spacing w:line="360" w:lineRule="auto"/>
        <w:ind w:firstLine="709"/>
        <w:jc w:val="both"/>
        <w:rPr>
          <w:rFonts w:ascii="Times New Roman" w:hAnsi="Times New Roman"/>
          <w:i/>
          <w:sz w:val="28"/>
          <w:szCs w:val="28"/>
        </w:rPr>
      </w:pPr>
      <w:r w:rsidRPr="00117314">
        <w:rPr>
          <w:rFonts w:ascii="Times New Roman" w:hAnsi="Times New Roman"/>
          <w:sz w:val="28"/>
          <w:szCs w:val="28"/>
        </w:rPr>
        <w:t>Рассмотрим содержание понятия</w:t>
      </w:r>
      <w:r w:rsidRPr="00117314">
        <w:rPr>
          <w:rFonts w:ascii="Times New Roman" w:hAnsi="Times New Roman"/>
          <w:i/>
          <w:sz w:val="28"/>
          <w:szCs w:val="28"/>
        </w:rPr>
        <w:t xml:space="preserve"> рефинансирование коммерческих банков. </w:t>
      </w:r>
      <w:r w:rsidRPr="00117314">
        <w:rPr>
          <w:rFonts w:ascii="Times New Roman" w:hAnsi="Times New Roman"/>
          <w:sz w:val="28"/>
          <w:szCs w:val="28"/>
        </w:rPr>
        <w:t>Термин "рефинансирование" означает получение денежных средств кредитными учреждениями от центрального банка. Центральный банк может выдавать кредиты коммерческим банкам, а также переучитывать ценные бумаги, находящиеся в их портфелях (как правило, векселя).</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В случае повышения центральным банком </w:t>
      </w:r>
      <w:r w:rsidR="00D80768">
        <w:rPr>
          <w:rFonts w:ascii="Times New Roman" w:hAnsi="Times New Roman"/>
          <w:sz w:val="28"/>
          <w:szCs w:val="28"/>
        </w:rPr>
        <w:t xml:space="preserve">ключевой </w:t>
      </w:r>
      <w:r w:rsidRPr="00117314">
        <w:rPr>
          <w:rFonts w:ascii="Times New Roman" w:hAnsi="Times New Roman"/>
          <w:sz w:val="28"/>
          <w:szCs w:val="28"/>
        </w:rPr>
        <w:t xml:space="preserve">ставки, коммерческие банки будут стремиться компенсировать потери, вызванные ее ростом (удорожанием кредита) путем повышения ставок по кредитам, предоставляемым заемщикам. Т.е. изменение </w:t>
      </w:r>
      <w:r w:rsidR="00D80768">
        <w:rPr>
          <w:rFonts w:ascii="Times New Roman" w:hAnsi="Times New Roman"/>
          <w:sz w:val="28"/>
          <w:szCs w:val="28"/>
        </w:rPr>
        <w:t xml:space="preserve">ключевой </w:t>
      </w:r>
      <w:r w:rsidR="00D80768" w:rsidRPr="00117314">
        <w:rPr>
          <w:rFonts w:ascii="Times New Roman" w:hAnsi="Times New Roman"/>
          <w:sz w:val="28"/>
          <w:szCs w:val="28"/>
        </w:rPr>
        <w:t>ставки</w:t>
      </w:r>
      <w:r w:rsidRPr="00117314">
        <w:rPr>
          <w:rFonts w:ascii="Times New Roman" w:hAnsi="Times New Roman"/>
          <w:sz w:val="28"/>
          <w:szCs w:val="28"/>
        </w:rPr>
        <w:t xml:space="preserve"> прямо влияет на изменение ставок по кредитам коммерческих банков. Последнее является главной целью данного метода денежно-кредитной политики центрального банка. Например, повышение официальной учетной ставки в период усиления инфляции вызывает рост процентной ставки по кредитным операциям коммерческих банков, что приводит к их сокращению, поскольку происходит удорожание кредита, и наоборот.</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Мы видим, что изменение официальной процентной ставки оказывает влияние на кредитную сферу. Во-первых, затруднение или облегчение возможности коммерческих банков получить кредит в центральном банке влияет на ликвидность кредитных учреждений. Во-вторых, изменение официальной ставки означает удорожание или удешевление кредита коммерческих банков для клиентуры, так как происходит изменение процентных ставок по активным кредитным операциям.</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Также изменение официальной ставки центрального банка означает переход к новой денежно-кредитной политике, что заставляет коммерческие банки вносить необходимые коррективы в свою деятельность.</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Недостатком использования рефинансирования при проведении денежно-кредитной политики является то, что этот метод затрагивает лишь коммерческие банки. Если рефинансирование используется мало или осуществляется не в центральном банке, то указанный метод почти полностью теряет свою эффективность.</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Помимо </w:t>
      </w:r>
      <w:r w:rsidR="00D80768">
        <w:rPr>
          <w:rFonts w:ascii="Times New Roman" w:hAnsi="Times New Roman"/>
          <w:sz w:val="28"/>
          <w:szCs w:val="28"/>
        </w:rPr>
        <w:t xml:space="preserve">установления значения ключевой ставки </w:t>
      </w:r>
      <w:r w:rsidRPr="00117314">
        <w:rPr>
          <w:rFonts w:ascii="Times New Roman" w:hAnsi="Times New Roman"/>
          <w:sz w:val="28"/>
          <w:szCs w:val="28"/>
        </w:rPr>
        <w:t xml:space="preserve">центральный банк устанавливает процентную ставку по ломбардным кредитам, т.е. кредитам, выдаваемым под какой-либо залог, в качестве которого выступают </w:t>
      </w:r>
      <w:r w:rsidR="0094737F">
        <w:rPr>
          <w:rFonts w:ascii="Times New Roman" w:hAnsi="Times New Roman"/>
          <w:sz w:val="28"/>
          <w:szCs w:val="28"/>
        </w:rPr>
        <w:t xml:space="preserve">кроме всего прочего, </w:t>
      </w:r>
      <w:r w:rsidRPr="00117314">
        <w:rPr>
          <w:rFonts w:ascii="Times New Roman" w:hAnsi="Times New Roman"/>
          <w:sz w:val="28"/>
          <w:szCs w:val="28"/>
        </w:rPr>
        <w:t>ценные бумаги. Следует учесть, что в залог могут быть приняты только те ценные бумаги, качество которых не вызывает сомнения.</w:t>
      </w:r>
      <w:r w:rsidR="00D80768">
        <w:rPr>
          <w:rFonts w:ascii="Times New Roman" w:hAnsi="Times New Roman"/>
          <w:sz w:val="28"/>
          <w:szCs w:val="28"/>
        </w:rPr>
        <w:t xml:space="preserve"> Согласно п.</w:t>
      </w:r>
      <w:r w:rsidR="00AB42EC">
        <w:rPr>
          <w:rFonts w:ascii="Times New Roman" w:hAnsi="Times New Roman"/>
          <w:sz w:val="28"/>
          <w:szCs w:val="28"/>
        </w:rPr>
        <w:t xml:space="preserve"> </w:t>
      </w:r>
      <w:r w:rsidR="00D80768">
        <w:rPr>
          <w:rFonts w:ascii="Times New Roman" w:hAnsi="Times New Roman"/>
          <w:sz w:val="28"/>
          <w:szCs w:val="28"/>
        </w:rPr>
        <w:t xml:space="preserve">3.4.7 </w:t>
      </w:r>
      <w:r w:rsidR="00AB42EC" w:rsidRPr="00AB42EC">
        <w:rPr>
          <w:rFonts w:ascii="Times New Roman" w:hAnsi="Times New Roman"/>
          <w:sz w:val="28"/>
          <w:szCs w:val="28"/>
        </w:rPr>
        <w:t>Положения Банка России от 12 ноября 2007 г. N 312-П "О порядке предоставления Банком России кредитным организациям кредитов, обеспеченных активами или поручительствами" (с изменениями и дополнениями)</w:t>
      </w:r>
      <w:r w:rsidR="00AB42EC">
        <w:rPr>
          <w:rFonts w:ascii="Times New Roman" w:hAnsi="Times New Roman"/>
          <w:sz w:val="28"/>
          <w:szCs w:val="28"/>
        </w:rPr>
        <w:t xml:space="preserve"> (далее Положение № 312-П), вексель должен соответствовать следующим критериям:</w:t>
      </w:r>
      <w:r w:rsidR="00D80768">
        <w:rPr>
          <w:rFonts w:ascii="Times New Roman" w:hAnsi="Times New Roman"/>
          <w:sz w:val="28"/>
          <w:szCs w:val="28"/>
        </w:rPr>
        <w:t xml:space="preserve"> </w:t>
      </w:r>
      <w:r w:rsidR="00D80768" w:rsidRPr="00D80768">
        <w:rPr>
          <w:rFonts w:ascii="Times New Roman" w:hAnsi="Times New Roman"/>
          <w:sz w:val="28"/>
          <w:szCs w:val="28"/>
        </w:rPr>
        <w:t>вексель отнесен к I или II категории качества, а если векселедатель является субъектом малого предпринимательства - к I категории качества в соответствии с </w:t>
      </w:r>
      <w:hyperlink r:id="rId18" w:anchor="block_62" w:history="1">
        <w:r w:rsidR="00D80768" w:rsidRPr="00D80768">
          <w:rPr>
            <w:rFonts w:ascii="Times New Roman" w:hAnsi="Times New Roman"/>
            <w:sz w:val="28"/>
            <w:szCs w:val="28"/>
          </w:rPr>
          <w:t>Положением</w:t>
        </w:r>
      </w:hyperlink>
      <w:r w:rsidR="00D80768" w:rsidRPr="00D80768">
        <w:rPr>
          <w:rFonts w:ascii="Times New Roman" w:hAnsi="Times New Roman"/>
          <w:sz w:val="28"/>
          <w:szCs w:val="28"/>
        </w:rPr>
        <w:t> Банка России от 26 марта 2004 года N 254-П "О порядке формирования кредитными организациями резервов на возможные потери по ссудам, по ссудной и приравненной к ней задолженности"</w:t>
      </w:r>
      <w:r w:rsidR="00AB42EC">
        <w:rPr>
          <w:rStyle w:val="a7"/>
          <w:rFonts w:ascii="Times New Roman" w:hAnsi="Times New Roman"/>
          <w:sz w:val="28"/>
          <w:szCs w:val="28"/>
        </w:rPr>
        <w:footnoteReference w:id="10"/>
      </w:r>
    </w:p>
    <w:p w:rsidR="00AB42EC" w:rsidRDefault="00117314" w:rsidP="00AB42EC">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i/>
          <w:sz w:val="28"/>
          <w:szCs w:val="28"/>
        </w:rPr>
        <w:t>Операции на открытом рынке</w:t>
      </w:r>
      <w:r w:rsidRPr="00117314">
        <w:rPr>
          <w:rFonts w:ascii="Times New Roman" w:hAnsi="Times New Roman"/>
          <w:sz w:val="28"/>
          <w:szCs w:val="28"/>
        </w:rPr>
        <w:t xml:space="preserve"> заключаются в продаже или покупке центральным банком у коммерческих банков ценных бумаг (преимущественно обязательств казначейских и государственных корпораций, а также облигаций </w:t>
      </w:r>
      <w:r w:rsidRPr="00117314">
        <w:rPr>
          <w:rFonts w:ascii="Times New Roman" w:hAnsi="Times New Roman"/>
          <w:sz w:val="28"/>
          <w:szCs w:val="28"/>
        </w:rPr>
        <w:lastRenderedPageBreak/>
        <w:t>промышленных компаний и банков, коммерческих векселей, учитываемых центральным банком).</w:t>
      </w:r>
    </w:p>
    <w:p w:rsidR="00117314" w:rsidRPr="00117314" w:rsidRDefault="00AB42EC" w:rsidP="009E478C">
      <w:pPr>
        <w:tabs>
          <w:tab w:val="left" w:pos="993"/>
        </w:tabs>
        <w:suppressAutoHyphens/>
        <w:spacing w:after="0" w:line="360" w:lineRule="auto"/>
        <w:ind w:firstLine="709"/>
        <w:jc w:val="both"/>
        <w:rPr>
          <w:rFonts w:ascii="Times New Roman" w:hAnsi="Times New Roman"/>
          <w:sz w:val="28"/>
          <w:szCs w:val="28"/>
        </w:rPr>
      </w:pPr>
      <w:r>
        <w:rPr>
          <w:rFonts w:ascii="Times New Roman" w:hAnsi="Times New Roman"/>
          <w:sz w:val="28"/>
          <w:szCs w:val="28"/>
        </w:rPr>
        <w:tab/>
      </w:r>
      <w:r w:rsidR="00117314" w:rsidRPr="00117314">
        <w:rPr>
          <w:rFonts w:ascii="Times New Roman" w:hAnsi="Times New Roman"/>
          <w:sz w:val="28"/>
          <w:szCs w:val="28"/>
        </w:rPr>
        <w:t>Этот метод заключается в том, что центральный банк осуществляет операции купли-продажи ценных бумаг в банковской системе. Приобретение ценных бумаг у коммерческих банков увеличивает ресурсы последних, соответственно повышая их кредитные возможности, и наоборот. Центральные банки периодически вносят изменения в указанный метод кредитного регулирования, изменяют интенсивность своих операций, их частоту.</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«Операции на открытом рынке впервые стали активно применяться в США, Канаде и Великобритании в связи с наличием в этих странах развитого рынка ценных бумаг. Позднее этот метод кредитного регулирования получил всеобщее применение и в Западной Европе.</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По форме проведения рыночные операции центрального банка с ценными бумагами могут быть прямыми либо обратными. Прямая операция представляет собой обычную покупку или продажу. Обратная заключается в купле-продаже ценных бумаг с обязательным совершением обратной сделки по заранее установленному курсу. Гибкость обратных операций, более мягкий эффект их воздействия, придают популярность данному инструменту регулирования. Так доля обратных операций центральных банков ведущих промышленно-развитых стран на открытом рынке достигает от 82 до 99,6%".1 Если разобраться, то можно увидеть, что по своей сути эти операции аналогичны рефинансированию под залог ценных бумаг. “Центральный банк предлагает коммерчески банкам продать ему ценные бумаги на условиях, определяемых на основе аукционных (конкурентных) торгов, с обязательством их обратной продажи через 4-8 недель. Причем процентные платежи, "набегающие" по данным ценным бумагам в период их нахождения в </w:t>
      </w:r>
      <w:r w:rsidRPr="00117314">
        <w:rPr>
          <w:rFonts w:ascii="Times New Roman" w:hAnsi="Times New Roman"/>
          <w:sz w:val="28"/>
          <w:szCs w:val="28"/>
        </w:rPr>
        <w:lastRenderedPageBreak/>
        <w:t>собственности центрального банка, будут принадлежать коммерческим банкам»</w:t>
      </w:r>
      <w:r w:rsidRPr="00117314">
        <w:rPr>
          <w:rStyle w:val="a7"/>
          <w:rFonts w:ascii="Times New Roman" w:hAnsi="Times New Roman"/>
          <w:sz w:val="28"/>
          <w:szCs w:val="28"/>
        </w:rPr>
        <w:footnoteReference w:id="11"/>
      </w:r>
      <w:r w:rsidRPr="00117314">
        <w:rPr>
          <w:rFonts w:ascii="Times New Roman" w:hAnsi="Times New Roman"/>
          <w:sz w:val="28"/>
          <w:szCs w:val="28"/>
        </w:rPr>
        <w:t>.</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Таким образом, операции на открытом рынке, как метод денежно-кредитного регулирования, значительно отличаются от двух предыдущих. Главное отличие - это использование более гибкого регулирования, поскольку объем покупки ценных бумаг, а также используемая при этом процентная ставка могут изменяться ежедневно в соответствии с направлением политики центрального банка. Коммерческие банки, учитывая указанную особенность данного метода, должны внимательно следить за своим финансовым положением, не допуская при этом ухудшения ликвидности.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Посредством проведения центральным банком операций на открытом рынке увеличивается (при покупке ценных бумаг) или уменьшается (при их продаже) объем собственных резервов коммерческих банков в отдельности и банковской системы в целом, что влечет за собой изменение стоимости кредита и, как следствие, спроса на деньги.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Операции на открытом рынке различаются в зависимости от: </w:t>
      </w:r>
    </w:p>
    <w:p w:rsidR="00117314" w:rsidRPr="00117314" w:rsidRDefault="00117314" w:rsidP="008337AB">
      <w:pPr>
        <w:numPr>
          <w:ilvl w:val="0"/>
          <w:numId w:val="11"/>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b/>
          <w:sz w:val="28"/>
          <w:szCs w:val="28"/>
        </w:rPr>
        <w:t>условия сделки</w:t>
      </w:r>
      <w:r w:rsidRPr="00117314">
        <w:rPr>
          <w:rFonts w:ascii="Times New Roman" w:hAnsi="Times New Roman"/>
          <w:sz w:val="28"/>
          <w:szCs w:val="28"/>
        </w:rPr>
        <w:t xml:space="preserve"> — купля-продажа за наличные или купля на срок с обязательной обратной продажей — так называемые обратные операции (операции РЕПО);</w:t>
      </w:r>
    </w:p>
    <w:p w:rsidR="00117314" w:rsidRPr="00117314" w:rsidRDefault="00117314" w:rsidP="008337AB">
      <w:pPr>
        <w:numPr>
          <w:ilvl w:val="0"/>
          <w:numId w:val="11"/>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b/>
          <w:sz w:val="28"/>
          <w:szCs w:val="28"/>
        </w:rPr>
        <w:t>объектов сделок</w:t>
      </w:r>
      <w:r w:rsidRPr="00117314">
        <w:rPr>
          <w:rFonts w:ascii="Times New Roman" w:hAnsi="Times New Roman"/>
          <w:sz w:val="28"/>
          <w:szCs w:val="28"/>
        </w:rPr>
        <w:t xml:space="preserve"> — операции с государственными или частными бумагами;</w:t>
      </w:r>
    </w:p>
    <w:p w:rsidR="00117314" w:rsidRPr="00117314" w:rsidRDefault="00117314" w:rsidP="008337AB">
      <w:pPr>
        <w:numPr>
          <w:ilvl w:val="0"/>
          <w:numId w:val="11"/>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b/>
          <w:sz w:val="28"/>
          <w:szCs w:val="28"/>
        </w:rPr>
        <w:t>срочности сделки</w:t>
      </w:r>
      <w:r w:rsidRPr="00117314">
        <w:rPr>
          <w:rFonts w:ascii="Times New Roman" w:hAnsi="Times New Roman"/>
          <w:sz w:val="28"/>
          <w:szCs w:val="28"/>
        </w:rPr>
        <w:t xml:space="preserve"> — краткосрочные (до 3 мес.) и долгосрочные (от 1 года и более) операции с ценными бумагами;</w:t>
      </w:r>
    </w:p>
    <w:p w:rsidR="00117314" w:rsidRPr="00117314" w:rsidRDefault="00117314" w:rsidP="008337AB">
      <w:pPr>
        <w:numPr>
          <w:ilvl w:val="0"/>
          <w:numId w:val="11"/>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b/>
          <w:sz w:val="28"/>
          <w:szCs w:val="28"/>
        </w:rPr>
        <w:t>сферы проведения операций</w:t>
      </w:r>
      <w:r w:rsidRPr="00117314">
        <w:rPr>
          <w:rFonts w:ascii="Times New Roman" w:hAnsi="Times New Roman"/>
          <w:sz w:val="28"/>
          <w:szCs w:val="28"/>
        </w:rPr>
        <w:t xml:space="preserve"> — охватывают только банковский сектор или включают и небанковский сектор рынка ценных бумаг;</w:t>
      </w:r>
    </w:p>
    <w:p w:rsidR="00117314" w:rsidRPr="00117314" w:rsidRDefault="00117314" w:rsidP="008337AB">
      <w:pPr>
        <w:numPr>
          <w:ilvl w:val="0"/>
          <w:numId w:val="11"/>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b/>
          <w:sz w:val="28"/>
          <w:szCs w:val="28"/>
        </w:rPr>
        <w:t>способа установления ставок</w:t>
      </w:r>
      <w:r w:rsidRPr="00117314">
        <w:rPr>
          <w:rFonts w:ascii="Times New Roman" w:hAnsi="Times New Roman"/>
          <w:sz w:val="28"/>
          <w:szCs w:val="28"/>
        </w:rPr>
        <w:t xml:space="preserve"> — определяемые центральными банком или рынком.</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 xml:space="preserve">« Установление норм обязательных резервов коммерческих банков, с одной стороны, способствует улучшению банковской ликвидности, а с другой — эти нормы выступают в качестве прямого ограничителя инвестиций. Изменения норм обязательных резервов — метод прямого воздействия на величину банковских резервов. Впервые данный метод применили в США в </w:t>
      </w:r>
      <w:smartTag w:uri="urn:schemas-microsoft-com:office:smarttags" w:element="metricconverter">
        <w:smartTagPr>
          <w:attr w:name="ProductID" w:val="1933 г"/>
        </w:smartTagPr>
        <w:r w:rsidRPr="00117314">
          <w:rPr>
            <w:rFonts w:ascii="Times New Roman" w:hAnsi="Times New Roman"/>
            <w:sz w:val="28"/>
            <w:szCs w:val="28"/>
          </w:rPr>
          <w:t>1933 г</w:t>
        </w:r>
      </w:smartTag>
      <w:r w:rsidRPr="00117314">
        <w:rPr>
          <w:rFonts w:ascii="Times New Roman" w:hAnsi="Times New Roman"/>
          <w:sz w:val="28"/>
          <w:szCs w:val="28"/>
        </w:rPr>
        <w:t>. В отличие от операций на открытом рынке и учетной политики этот механизм денежно-кредитного регулирования затрагивает основы банковской системы и способен оказывать сильное воздействие на финансово-экономическую систему в целом»</w:t>
      </w:r>
      <w:r w:rsidRPr="00117314">
        <w:rPr>
          <w:rStyle w:val="a7"/>
          <w:rFonts w:ascii="Times New Roman" w:hAnsi="Times New Roman"/>
          <w:sz w:val="28"/>
          <w:szCs w:val="28"/>
        </w:rPr>
        <w:footnoteReference w:id="12"/>
      </w:r>
      <w:r w:rsidRPr="00117314">
        <w:rPr>
          <w:rFonts w:ascii="Times New Roman" w:hAnsi="Times New Roman"/>
          <w:sz w:val="28"/>
          <w:szCs w:val="28"/>
        </w:rPr>
        <w:t xml:space="preserve">.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Рассмотрим некоторые </w:t>
      </w:r>
      <w:r w:rsidRPr="00117314">
        <w:rPr>
          <w:rFonts w:ascii="Times New Roman" w:hAnsi="Times New Roman"/>
          <w:b/>
          <w:sz w:val="28"/>
          <w:szCs w:val="28"/>
        </w:rPr>
        <w:t>административные методы регулирования</w:t>
      </w:r>
      <w:r w:rsidRPr="00117314">
        <w:rPr>
          <w:rFonts w:ascii="Times New Roman" w:hAnsi="Times New Roman"/>
          <w:sz w:val="28"/>
          <w:szCs w:val="28"/>
        </w:rPr>
        <w:t xml:space="preserve"> денежно-кредитной сферы.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Наряду с экономическими методами, посредством которых центральный банк регулирует деятельность коммерческих банков, им могут использоваться в этой области и административные методы воздействия.</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К ним относится, например, </w:t>
      </w:r>
      <w:r w:rsidRPr="00117314">
        <w:rPr>
          <w:rFonts w:ascii="Times New Roman" w:hAnsi="Times New Roman"/>
          <w:i/>
          <w:sz w:val="28"/>
          <w:szCs w:val="28"/>
        </w:rPr>
        <w:t>использование количественных кредитных ограничений.</w:t>
      </w:r>
      <w:r w:rsidRPr="00117314">
        <w:rPr>
          <w:rFonts w:ascii="Times New Roman" w:hAnsi="Times New Roman"/>
          <w:sz w:val="28"/>
          <w:szCs w:val="28"/>
        </w:rPr>
        <w:t xml:space="preserve">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Этот метод кредитного регулирования представляет собой количественное ограничение суммы выданных кредитов. В отличие от рассмотренных выше методов регулирования, контингентирование кредита является прямым методом воздействия на деятельность банков. Также кредитные ограничения приводят к тому, что предприятия заемщики попадают в неодинаковое положение. Банки стремятся выдавать кредиты в первую очередь своим традиционным клиентам, как правило, крупным предприятиям. Мелкие и средние фирмы оказываются главными жертвами данной политики.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В настоящее время Банком России прямые количественные ограничения не применяются.</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 xml:space="preserve">Также центральный банк может устанавливать различные нормативы (коэффициенты), которые коммерческие банки обязаны поддерживать на необходимом уровне. К ним относятся нормативы достаточности капитала коммерческого банка, нормативы ликвидности баланса, нормативы максимального размера риска на одного заемщика и некоторые дополняющие нормативы. Перечисленные нормативы обязательны для выполнения коммерческими банками. Также центральный банк может устанавливать необязательные, так называемые оценочные нормативы, которые коммерческим банкам рекомендуется поддерживать на должном уровне.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«При нарушении коммерческими банками банковского законодательства, правил совершения банковских операций, других серьезных недостатках в работе, что ведет к ущемлению прав их акционеров, вкладчиков, клиентов центральный банк может применять к ним самые жесткие меры административного воздействия, вплоть до ликвидации банков.</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Очевидно, что использование административного воздействия со стороны центрального банка по отношению к коммерческим банкам не должно носить систематического характера, а применяться в порядке исключительно вынужденных мер».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ind w:firstLine="709"/>
        <w:jc w:val="both"/>
        <w:rPr>
          <w:rFonts w:ascii="Times New Roman" w:hAnsi="Times New Roman"/>
          <w:b/>
          <w:sz w:val="28"/>
          <w:szCs w:val="28"/>
        </w:rPr>
      </w:pPr>
      <w:r w:rsidRPr="00117314">
        <w:rPr>
          <w:rFonts w:ascii="Times New Roman" w:hAnsi="Times New Roman"/>
          <w:b/>
          <w:sz w:val="28"/>
          <w:szCs w:val="28"/>
        </w:rPr>
        <w:t>1.3 Основные типы денежно-кредитной политики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С помощью рассмотренных выше инструментов реализуются цели денежно-кредитной политики: поддержание на определенном уровне денежной массы </w:t>
      </w:r>
      <w:r w:rsidRPr="00117314">
        <w:rPr>
          <w:rFonts w:ascii="Times New Roman" w:hAnsi="Times New Roman"/>
          <w:b/>
          <w:sz w:val="28"/>
          <w:szCs w:val="28"/>
        </w:rPr>
        <w:t>(</w:t>
      </w:r>
      <w:r w:rsidRPr="00117314">
        <w:rPr>
          <w:rFonts w:ascii="Times New Roman" w:hAnsi="Times New Roman"/>
          <w:sz w:val="28"/>
          <w:szCs w:val="28"/>
        </w:rPr>
        <w:t xml:space="preserve">жесткая монетарная политика) или ставки процента (гибкая монетарная политика).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Матвеева Т.Ю. рассматривает в своей работе два вида монетарной политики: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1) стимулирующую</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2) сдерживающую</w:t>
      </w:r>
      <w:r w:rsidRPr="00117314">
        <w:rPr>
          <w:rStyle w:val="a7"/>
          <w:rFonts w:ascii="Times New Roman" w:hAnsi="Times New Roman"/>
          <w:sz w:val="28"/>
          <w:szCs w:val="28"/>
        </w:rPr>
        <w:footnoteReference w:id="13"/>
      </w:r>
      <w:r w:rsidRPr="00117314">
        <w:rPr>
          <w:rFonts w:ascii="Times New Roman" w:hAnsi="Times New Roman"/>
          <w:sz w:val="28"/>
          <w:szCs w:val="28"/>
        </w:rPr>
        <w:t xml:space="preserve">.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«Стимулирующая монетарная политика проводится в период спада и имеет целью «</w:t>
      </w:r>
      <w:proofErr w:type="spellStart"/>
      <w:r w:rsidRPr="00117314">
        <w:rPr>
          <w:rFonts w:ascii="Times New Roman" w:hAnsi="Times New Roman"/>
          <w:sz w:val="28"/>
          <w:szCs w:val="28"/>
        </w:rPr>
        <w:t>взбадривание</w:t>
      </w:r>
      <w:proofErr w:type="spellEnd"/>
      <w:r w:rsidRPr="00117314">
        <w:rPr>
          <w:rFonts w:ascii="Times New Roman" w:hAnsi="Times New Roman"/>
          <w:sz w:val="28"/>
          <w:szCs w:val="28"/>
        </w:rPr>
        <w:t>» экономики, стимулирование роста деловой активности в целях борьбы с безработицей Сдерживающая монетарная политика проводится в период бума и направлена на снижение деловой активности в целях борьбы с инфляцией.</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Стимулирующая монетарная политика заключается в проведении центральным банком мер по увеличению предложения денег.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Ее инструментами являются: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1) снижение нормы резервных требований,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2) снижение учетной ставки процента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3) покупка центральным банком государственных ценных бумаг.</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Сдерживающая (ограничительная) монетарная политика состоит в использовании центральным банком мер по уменьшению предложения денег. К ним относятся: 1) повышение нормы резервных требований, 2) повышение учетной ставки процента и 3) продажа центральным банком государственных ценных бумаг»</w:t>
      </w:r>
      <w:r w:rsidRPr="00117314">
        <w:rPr>
          <w:rStyle w:val="a7"/>
          <w:rFonts w:ascii="Times New Roman" w:hAnsi="Times New Roman"/>
          <w:sz w:val="28"/>
          <w:szCs w:val="28"/>
        </w:rPr>
        <w:footnoteReference w:id="14"/>
      </w:r>
      <w:r w:rsidRPr="00117314">
        <w:rPr>
          <w:rFonts w:ascii="Times New Roman" w:hAnsi="Times New Roman"/>
          <w:sz w:val="28"/>
          <w:szCs w:val="28"/>
        </w:rPr>
        <w:t xml:space="preserve">.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Рассмотрим кратко механизм воздействия изменения предложения денег на экономику, который носит название «механизма денежной трансмиссии» или «денежного передаточного механизма» («</w:t>
      </w:r>
      <w:proofErr w:type="spellStart"/>
      <w:r w:rsidRPr="00117314">
        <w:rPr>
          <w:rFonts w:ascii="Times New Roman" w:hAnsi="Times New Roman"/>
          <w:sz w:val="28"/>
          <w:szCs w:val="28"/>
        </w:rPr>
        <w:t>money</w:t>
      </w:r>
      <w:proofErr w:type="spellEnd"/>
      <w:r w:rsidRPr="00117314">
        <w:rPr>
          <w:rFonts w:ascii="Times New Roman" w:hAnsi="Times New Roman"/>
          <w:sz w:val="28"/>
          <w:szCs w:val="28"/>
        </w:rPr>
        <w:t xml:space="preserve"> </w:t>
      </w:r>
      <w:proofErr w:type="spellStart"/>
      <w:r w:rsidRPr="00117314">
        <w:rPr>
          <w:rFonts w:ascii="Times New Roman" w:hAnsi="Times New Roman"/>
          <w:sz w:val="28"/>
          <w:szCs w:val="28"/>
        </w:rPr>
        <w:t>transmission</w:t>
      </w:r>
      <w:proofErr w:type="spellEnd"/>
      <w:r w:rsidRPr="00117314">
        <w:rPr>
          <w:rFonts w:ascii="Times New Roman" w:hAnsi="Times New Roman"/>
          <w:sz w:val="28"/>
          <w:szCs w:val="28"/>
        </w:rPr>
        <w:t xml:space="preserve"> </w:t>
      </w:r>
      <w:proofErr w:type="spellStart"/>
      <w:r w:rsidRPr="00117314">
        <w:rPr>
          <w:rFonts w:ascii="Times New Roman" w:hAnsi="Times New Roman"/>
          <w:sz w:val="28"/>
          <w:szCs w:val="28"/>
        </w:rPr>
        <w:t>mechanism</w:t>
      </w:r>
      <w:proofErr w:type="spellEnd"/>
      <w:r w:rsidRPr="00117314">
        <w:rPr>
          <w:rFonts w:ascii="Times New Roman" w:hAnsi="Times New Roman"/>
          <w:sz w:val="28"/>
          <w:szCs w:val="28"/>
        </w:rPr>
        <w:t>»). Механизм денежной трансмиссии показывает, каким образом изменение предложения денег (изменение ситуации на денежном рынке) влияет на изменение реального объема выпуска (ситуацию на реальном рынке, т.е. рынке товаров и услуг).</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 xml:space="preserve">Этот механизм может быть представлен следующей логической цепочкой событий. Если в экономике спад, то центральный банк покупает государственные ценные бумаги → кредитные возможности коммерческих банков увеличиваются → банки выдают больше кредитов → предложение денег </w:t>
      </w:r>
      <w:proofErr w:type="spellStart"/>
      <w:r w:rsidRPr="00117314">
        <w:rPr>
          <w:rFonts w:ascii="Times New Roman" w:hAnsi="Times New Roman"/>
          <w:sz w:val="28"/>
          <w:szCs w:val="28"/>
        </w:rPr>
        <w:t>мультипликативно</w:t>
      </w:r>
      <w:proofErr w:type="spellEnd"/>
      <w:r w:rsidRPr="00117314">
        <w:rPr>
          <w:rFonts w:ascii="Times New Roman" w:hAnsi="Times New Roman"/>
          <w:sz w:val="28"/>
          <w:szCs w:val="28"/>
        </w:rPr>
        <w:t xml:space="preserve"> увеличивается → ставка процента (цена кредита) падает → фирмы с удовольствием берут более дешевые кредиты → инвестиционные расходы растут → совокупный спрос увеличивается → объем производства </w:t>
      </w:r>
      <w:proofErr w:type="spellStart"/>
      <w:r w:rsidRPr="00117314">
        <w:rPr>
          <w:rFonts w:ascii="Times New Roman" w:hAnsi="Times New Roman"/>
          <w:sz w:val="28"/>
          <w:szCs w:val="28"/>
        </w:rPr>
        <w:t>мультипликативно</w:t>
      </w:r>
      <w:proofErr w:type="spellEnd"/>
      <w:r w:rsidRPr="00117314">
        <w:rPr>
          <w:rFonts w:ascii="Times New Roman" w:hAnsi="Times New Roman"/>
          <w:sz w:val="28"/>
          <w:szCs w:val="28"/>
        </w:rPr>
        <w:t xml:space="preserve"> растет.</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Поскольку воздействие стабилизационной политики происходит в краткосрочном периоде, то графически влияние стимулирующей монетарной политики на экономику можно изобразить следующим образом (рис. 1):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jc w:val="both"/>
        <w:rPr>
          <w:rFonts w:ascii="Times New Roman" w:hAnsi="Times New Roman"/>
          <w:sz w:val="28"/>
          <w:szCs w:val="28"/>
        </w:rPr>
      </w:pPr>
      <w:r w:rsidRPr="00117314">
        <w:rPr>
          <w:rFonts w:ascii="Times New Roman" w:hAnsi="Times New Roman"/>
          <w:noProof/>
          <w:sz w:val="28"/>
          <w:szCs w:val="28"/>
          <w:lang w:eastAsia="ru-RU"/>
        </w:rPr>
        <w:drawing>
          <wp:inline distT="0" distB="0" distL="0" distR="0">
            <wp:extent cx="5953125" cy="3457575"/>
            <wp:effectExtent l="19050" t="0" r="9525" b="0"/>
            <wp:docPr id="12" name="Рисунок 1" descr="Механизм денежной трансмиссии при стимулирующей монетарной полити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еханизм денежной трансмиссии при стимулирующей монетарной политике"/>
                    <pic:cNvPicPr>
                      <a:picLocks noChangeAspect="1" noChangeArrowheads="1"/>
                    </pic:cNvPicPr>
                  </pic:nvPicPr>
                  <pic:blipFill>
                    <a:blip r:embed="rId19"/>
                    <a:srcRect/>
                    <a:stretch>
                      <a:fillRect/>
                    </a:stretch>
                  </pic:blipFill>
                  <pic:spPr bwMode="auto">
                    <a:xfrm>
                      <a:off x="0" y="0"/>
                      <a:ext cx="5953125" cy="3457575"/>
                    </a:xfrm>
                    <a:prstGeom prst="rect">
                      <a:avLst/>
                    </a:prstGeom>
                    <a:noFill/>
                    <a:ln w="9525">
                      <a:noFill/>
                      <a:miter lim="800000"/>
                      <a:headEnd/>
                      <a:tailEnd/>
                    </a:ln>
                  </pic:spPr>
                </pic:pic>
              </a:graphicData>
            </a:graphic>
          </wp:inline>
        </w:drawing>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Эта политика, используемая в период спада, носит название политики «дешевых денег».</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 xml:space="preserve">Соответственно политика, проводимая центральным банком в период бума («перегрева») и нацеленная на снижение деловой активности, называется «политикой дорогих денег» и может быть представлена следующей цепочкой событий: Центральный банк продает государственные ценные бумаги → кредитные возможности коммерческих банков уменьшаются → предложение денег </w:t>
      </w:r>
      <w:proofErr w:type="spellStart"/>
      <w:r w:rsidRPr="00117314">
        <w:rPr>
          <w:rFonts w:ascii="Times New Roman" w:hAnsi="Times New Roman"/>
          <w:sz w:val="28"/>
          <w:szCs w:val="28"/>
        </w:rPr>
        <w:t>мультипликативно</w:t>
      </w:r>
      <w:proofErr w:type="spellEnd"/>
      <w:r w:rsidRPr="00117314">
        <w:rPr>
          <w:rFonts w:ascii="Times New Roman" w:hAnsi="Times New Roman"/>
          <w:sz w:val="28"/>
          <w:szCs w:val="28"/>
        </w:rPr>
        <w:t xml:space="preserve"> сокращается → ставка процента (цена кредита) растет → спрос на дорогие кредиты со стороны фирм падает → инвестиционные расходы сокращаются → совокупный спрос уменьшается → объем производства падает. И в том, и в другом случае экономика стабилизируется.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К преимуществам монетарной политики можно отнести:</w:t>
      </w:r>
    </w:p>
    <w:p w:rsidR="00117314" w:rsidRPr="00117314" w:rsidRDefault="00117314" w:rsidP="008337AB">
      <w:pPr>
        <w:numPr>
          <w:ilvl w:val="0"/>
          <w:numId w:val="12"/>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Отсутствие внутреннего лага. Внутренний лаг представляет собой период времени между моментом осознания экономической ситуации в стране и моментом принятия мер по ее улучшению. Решение о покупке или продаже государственных ценных бумаг центральным банком принимается быстро, а поскольку эти бумаги в развитых странах </w:t>
      </w:r>
      <w:proofErr w:type="spellStart"/>
      <w:r w:rsidRPr="00117314">
        <w:rPr>
          <w:rFonts w:ascii="Times New Roman" w:hAnsi="Times New Roman"/>
          <w:sz w:val="28"/>
          <w:szCs w:val="28"/>
        </w:rPr>
        <w:t>высоколиквидны</w:t>
      </w:r>
      <w:proofErr w:type="spellEnd"/>
      <w:r w:rsidRPr="00117314">
        <w:rPr>
          <w:rFonts w:ascii="Times New Roman" w:hAnsi="Times New Roman"/>
          <w:sz w:val="28"/>
          <w:szCs w:val="28"/>
        </w:rPr>
        <w:t xml:space="preserve">, высоконадежны и </w:t>
      </w:r>
      <w:proofErr w:type="spellStart"/>
      <w:r w:rsidRPr="00117314">
        <w:rPr>
          <w:rFonts w:ascii="Times New Roman" w:hAnsi="Times New Roman"/>
          <w:sz w:val="28"/>
          <w:szCs w:val="28"/>
        </w:rPr>
        <w:t>безрисковы</w:t>
      </w:r>
      <w:proofErr w:type="spellEnd"/>
      <w:r w:rsidRPr="00117314">
        <w:rPr>
          <w:rFonts w:ascii="Times New Roman" w:hAnsi="Times New Roman"/>
          <w:sz w:val="28"/>
          <w:szCs w:val="28"/>
        </w:rPr>
        <w:t>, то проблем с их продажей населению и банкам не возникает.</w:t>
      </w:r>
    </w:p>
    <w:p w:rsidR="00117314" w:rsidRPr="00117314" w:rsidRDefault="00117314" w:rsidP="008337AB">
      <w:pPr>
        <w:numPr>
          <w:ilvl w:val="0"/>
          <w:numId w:val="12"/>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Отсутствие эффекта вытеснения. В отличие от стимулирующей фискальной политики стимулирующая монетарная политика (рост предложения денег) обусловливает снижение ставки процента, что ведет не к вытеснению, а к стимулированию инвестиций и других чувствительных к изменению ставки процента автономных расходов и к мультипликативному росту выпуска. </w:t>
      </w:r>
    </w:p>
    <w:p w:rsidR="00117314" w:rsidRPr="00117314" w:rsidRDefault="00117314" w:rsidP="008337AB">
      <w:pPr>
        <w:numPr>
          <w:ilvl w:val="0"/>
          <w:numId w:val="12"/>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Эффект мультипликатора. Монетарная политика, как и фискальная политика, имеет мультипликативный эффект воздействия на экономику, причем действуют два мультипликатора. Банковский мультипликатор обеспечивает процесс депозитного расширения, т.е. мультипликативное увеличение денежной массы, а рост автономных расходов в результате снижения ставки процента в условиях роста предложения денег </w:t>
      </w:r>
      <w:proofErr w:type="spellStart"/>
      <w:r w:rsidRPr="00117314">
        <w:rPr>
          <w:rFonts w:ascii="Times New Roman" w:hAnsi="Times New Roman"/>
          <w:sz w:val="28"/>
          <w:szCs w:val="28"/>
        </w:rPr>
        <w:t>мультипликативно</w:t>
      </w:r>
      <w:proofErr w:type="spellEnd"/>
      <w:r w:rsidRPr="00117314">
        <w:rPr>
          <w:rFonts w:ascii="Times New Roman" w:hAnsi="Times New Roman"/>
          <w:sz w:val="28"/>
          <w:szCs w:val="28"/>
        </w:rPr>
        <w:t xml:space="preserve"> (с эффектом мультипликатора автономных расходов) увеличивает величину совокупного выпуска.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Недостатки монетарной политики следующие:</w:t>
      </w:r>
    </w:p>
    <w:p w:rsidR="00117314" w:rsidRPr="00117314" w:rsidRDefault="00117314" w:rsidP="008337AB">
      <w:pPr>
        <w:numPr>
          <w:ilvl w:val="0"/>
          <w:numId w:val="12"/>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Возможность инфляции. Стимулирующая монетарная политика, т.е. рост предложения денег, ведет к инфляции даже в краткосрочном, а тем более в долгосрочном периоде. Поэтому представители кейнсианского направления утверждают, что монетарная политика может использоваться лишь при перегреве (инфляционном разрыве) экономики, т.е. рассматривают возможность проведения только сдерживающей монетарной политики, а при рецессии, по их мнению, должна использоваться стимулирующая фискальная, а не монетарная политика. </w:t>
      </w:r>
    </w:p>
    <w:p w:rsidR="00117314" w:rsidRPr="00117314" w:rsidRDefault="00117314" w:rsidP="008337AB">
      <w:pPr>
        <w:numPr>
          <w:ilvl w:val="0"/>
          <w:numId w:val="12"/>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Наличие внешнего лага в связи со сложностью и возможными сбоями в механизме денежной трансмиссии. Внешний лаг представляет собой период времени от момента принятия мер по стабилизации экономики (принятия решения центральным банком по изменению величины предложения денег) до момента появления результата их воздействия на экономику (который выражается в изменении величины выпуска). Покупка и продажа центральным банком государственных ценных бумаг осуществляется быстро, т.е. быстро изменяются кредитные возможности коммерческих банков. Однако механизм денежной трансмиссии долгий и состоит из нескольких ступеней, на каждой из которых возможен сбой.</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Политика «дешевых денег», проводимая центральным банком, может обеспечить коммерческие банки дополнительными резервами, что расширяет кредитные возможности банков, однако такая возможность может не превратиться в действительность. Нет никакой гарантии, что при увеличении резервов произойдет соответствующее увеличение объема кредитов, выдаваемых коммерческими банками. Кроме того, население может решить не брать кредиты. В результате денежная масса не увеличится.</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Реакция денежного рынка на рост предложения зависит от вида кривой спроса на деньги. Серьезное падение ставки процента произойдет только в случае, если кривая спроса на деньги крутая, т.е. если чувствительность спроса </w:t>
      </w:r>
      <w:r w:rsidRPr="00117314">
        <w:rPr>
          <w:rFonts w:ascii="Times New Roman" w:hAnsi="Times New Roman"/>
          <w:sz w:val="28"/>
          <w:szCs w:val="28"/>
        </w:rPr>
        <w:lastRenderedPageBreak/>
        <w:t>на деньги к изменению ставки процента невелика. Если спрос на деньги очень чувствителен к изменению ставки процента (кривая спроса на деньги пологая), то увеличение предложения денег не приведет к значительному снижению ставки процента (рис. 2.(а)).</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Существенное снижение ставки процента в результате роста предложения денег может не привести к серьезному увеличению инвестиционных расходов, если их чувствительность к изменению ставки процента низка (кривая инвестиций крутая) (рис. 2.(б)).</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jc w:val="both"/>
        <w:rPr>
          <w:rFonts w:ascii="Times New Roman" w:hAnsi="Times New Roman"/>
          <w:sz w:val="28"/>
          <w:szCs w:val="28"/>
        </w:rPr>
      </w:pPr>
      <w:r w:rsidRPr="00117314">
        <w:rPr>
          <w:rFonts w:ascii="Times New Roman" w:hAnsi="Times New Roman"/>
          <w:noProof/>
          <w:sz w:val="28"/>
          <w:szCs w:val="28"/>
          <w:lang w:eastAsia="ru-RU"/>
        </w:rPr>
        <w:drawing>
          <wp:inline distT="0" distB="0" distL="0" distR="0">
            <wp:extent cx="5657850" cy="3267075"/>
            <wp:effectExtent l="19050" t="0" r="0" b="0"/>
            <wp:docPr id="7" name="Рисунок 2" descr="Возможные сбои в действии механизма денежной трансми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озможные сбои в действии механизма денежной трансмиссии"/>
                    <pic:cNvPicPr>
                      <a:picLocks noChangeAspect="1" noChangeArrowheads="1"/>
                    </pic:cNvPicPr>
                  </pic:nvPicPr>
                  <pic:blipFill>
                    <a:blip r:embed="rId20"/>
                    <a:srcRect/>
                    <a:stretch>
                      <a:fillRect/>
                    </a:stretch>
                  </pic:blipFill>
                  <pic:spPr bwMode="auto">
                    <a:xfrm>
                      <a:off x="0" y="0"/>
                      <a:ext cx="5657850" cy="3267075"/>
                    </a:xfrm>
                    <a:prstGeom prst="rect">
                      <a:avLst/>
                    </a:prstGeom>
                    <a:noFill/>
                    <a:ln w="9525">
                      <a:noFill/>
                      <a:miter lim="800000"/>
                      <a:headEnd/>
                      <a:tailEnd/>
                    </a:ln>
                  </pic:spPr>
                </pic:pic>
              </a:graphicData>
            </a:graphic>
          </wp:inline>
        </w:drawing>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Если чувствительность инвестиционного спроса к динамике ставки процента высока, и инвестиционные расходы увеличились в результате падения ставки процента, то рост совокупных расходов может не привести к увеличению реального выпуска, если экономика находится в состоянии полной занятости (на уровне потенциального объема производства), что соответствует вертикальной кривой совокупного предложения (рис. 2.(в)).</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Таким образом, нарушение в любом звене передаточного механизма могут свести на нет или существенно ослабить воздействие монетарной политики на экономику.</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Кроме того, монетарная политика центрального банка не может быть независимой, а предложение денег экзогенной величиной в открытой экономике при режиме фиксированных валютных курсов, поскольку изменение предложения национальной валюты (валютные интервенции ЦБ), особенно в условиях абсолютной мобильности капитала, подчинено цели поддержания на неизменном уровне валютного курса национальной денежной единицы.</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Проанализируем, каким является механизм реализации политики дорогих денег и политики дешевых денег.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К примеру, экономика столкнулась </w:t>
      </w:r>
      <w:r w:rsidRPr="00117314">
        <w:rPr>
          <w:rFonts w:ascii="Times New Roman" w:hAnsi="Times New Roman"/>
          <w:sz w:val="28"/>
          <w:szCs w:val="28"/>
          <w:u w:val="single"/>
        </w:rPr>
        <w:t>с безработицей и со снижением цен</w:t>
      </w:r>
      <w:r w:rsidRPr="00117314">
        <w:rPr>
          <w:rFonts w:ascii="Times New Roman" w:hAnsi="Times New Roman"/>
          <w:sz w:val="28"/>
          <w:szCs w:val="28"/>
        </w:rPr>
        <w:t xml:space="preserve">. Следовательно, </w:t>
      </w:r>
      <w:r w:rsidRPr="00117314">
        <w:rPr>
          <w:rFonts w:ascii="Times New Roman" w:hAnsi="Times New Roman"/>
          <w:sz w:val="28"/>
          <w:szCs w:val="28"/>
          <w:u w:val="single"/>
        </w:rPr>
        <w:t>необходимо увеличить предложение денег</w:t>
      </w:r>
      <w:r w:rsidRPr="00117314">
        <w:rPr>
          <w:rFonts w:ascii="Times New Roman" w:hAnsi="Times New Roman"/>
          <w:sz w:val="28"/>
          <w:szCs w:val="28"/>
        </w:rPr>
        <w:t>. Для достижения данной цели применяют политику дешевых денег, которая заключается в следующих мерах:</w:t>
      </w:r>
    </w:p>
    <w:p w:rsidR="00117314" w:rsidRPr="00117314" w:rsidRDefault="00117314" w:rsidP="008337AB">
      <w:pPr>
        <w:numPr>
          <w:ilvl w:val="0"/>
          <w:numId w:val="13"/>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Центральный банк должен совершить покупку ценных бумаг на открытом рынке у населения и у коммерческих банков. </w:t>
      </w:r>
    </w:p>
    <w:p w:rsidR="00117314" w:rsidRPr="00117314" w:rsidRDefault="00117314" w:rsidP="008337AB">
      <w:pPr>
        <w:numPr>
          <w:ilvl w:val="0"/>
          <w:numId w:val="13"/>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Необходимо провести понижение учетной ставки.</w:t>
      </w:r>
    </w:p>
    <w:p w:rsidR="00117314" w:rsidRPr="00117314" w:rsidRDefault="00117314" w:rsidP="008337AB">
      <w:pPr>
        <w:numPr>
          <w:ilvl w:val="0"/>
          <w:numId w:val="13"/>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Изменить нормативы по резервным отчислениям.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В результате проведенных мер увеличатся избыточные резервы системы коммерческих банков. Так как избыточные резервы являются основой увеличения денежного предложения коммерческими банками путем кредитования, то можно ожидать, что предложение денег в стране возрастет. Увеличение денежного предложения понизит процентную ставку, вызывая рост инвестиций и увеличение равновесного чистого национального продукта.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Из вышесказанного можно заключить, что в задачу данной политики входит сделать кредит дешевым и легко доступным с тем, чтобы увеличить объем совокупных расходов и занятость.</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lastRenderedPageBreak/>
        <w:t xml:space="preserve">В ситуации, когда экономика сталкивается </w:t>
      </w:r>
      <w:r w:rsidRPr="00117314">
        <w:rPr>
          <w:rFonts w:ascii="Times New Roman" w:hAnsi="Times New Roman"/>
          <w:sz w:val="28"/>
          <w:szCs w:val="28"/>
          <w:u w:val="single"/>
        </w:rPr>
        <w:t>с излишними расходами</w:t>
      </w:r>
      <w:r w:rsidRPr="00117314">
        <w:rPr>
          <w:rFonts w:ascii="Times New Roman" w:hAnsi="Times New Roman"/>
          <w:sz w:val="28"/>
          <w:szCs w:val="28"/>
        </w:rPr>
        <w:t xml:space="preserve">, что порождает инфляционные процессы, </w:t>
      </w:r>
      <w:r w:rsidRPr="00117314">
        <w:rPr>
          <w:rFonts w:ascii="Times New Roman" w:hAnsi="Times New Roman"/>
          <w:sz w:val="28"/>
          <w:szCs w:val="28"/>
          <w:u w:val="single"/>
        </w:rPr>
        <w:t>необходимо понизить общие расходы путем ограничения или сокращения предложения денег</w:t>
      </w:r>
      <w:r w:rsidRPr="00117314">
        <w:rPr>
          <w:rFonts w:ascii="Times New Roman" w:hAnsi="Times New Roman"/>
          <w:sz w:val="28"/>
          <w:szCs w:val="28"/>
        </w:rPr>
        <w:t xml:space="preserve">. Чтобы решить эту проблему, необходимо понизить резервы коммерческих банков.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Это осуществляется следующим образом: </w:t>
      </w:r>
    </w:p>
    <w:p w:rsidR="00117314" w:rsidRPr="00117314" w:rsidRDefault="00117314" w:rsidP="008337AB">
      <w:pPr>
        <w:numPr>
          <w:ilvl w:val="0"/>
          <w:numId w:val="14"/>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Центральный банк должен продавать государственные облигации на открытом рынке для того, чтобы урезать резервы коммерческих банков. </w:t>
      </w:r>
    </w:p>
    <w:p w:rsidR="00117314" w:rsidRPr="00117314" w:rsidRDefault="00117314" w:rsidP="008337AB">
      <w:pPr>
        <w:numPr>
          <w:ilvl w:val="0"/>
          <w:numId w:val="14"/>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Затем необходимо увеличить резервную норму, что автоматически освобождает коммерческие банки от избыточных резервов. </w:t>
      </w:r>
    </w:p>
    <w:p w:rsidR="00117314" w:rsidRPr="00117314" w:rsidRDefault="00117314" w:rsidP="008337AB">
      <w:pPr>
        <w:numPr>
          <w:ilvl w:val="0"/>
          <w:numId w:val="14"/>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t xml:space="preserve">Третья мера заключается в поднятии учетной ставки для снижения интереса коммерческих банков к увеличению своих резервов посредством заимствования у центрального банка.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 xml:space="preserve">Приведенную выше систему мер называют политикой дорогих денег. В результате ее проведения банки обнаруживают, что их резервы слишком малы, чтобы удовлетворить предписываемой законом резервной норме, то есть их текущий счет слишком велик по отношению к их резервам. Поэтому, чтобы выполнить требование резервной нормы при недостаточных резервах, банкам следует сохранить свои текущие счета, воздержавшись от выдачи новых ссуд, после того как старые выплачены. Вследствие этого денежное предложение сократится, вызывая повышение нормы процента, а рост процентной ставки сократит инвестиции, уменьшая совокупные расходы и ограничивая инфляцию.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Цель политики заключается в ограничении предложения денег, то есть снижения доступности кредита и увеличения его издержек для того, чтобы понизить расходы и сдержать инфляционное давление.</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Необходимо отметить сильные и слабые стороны использования методов денежно-кредитного регулирования при оказании воздействия на экономику страны в целом. В пользу монетарной политики можно привести следующие доводы:</w:t>
      </w:r>
    </w:p>
    <w:p w:rsidR="00117314" w:rsidRPr="00117314" w:rsidRDefault="00117314" w:rsidP="008337AB">
      <w:pPr>
        <w:numPr>
          <w:ilvl w:val="0"/>
          <w:numId w:val="15"/>
        </w:numPr>
        <w:tabs>
          <w:tab w:val="left" w:pos="993"/>
        </w:tabs>
        <w:suppressAutoHyphens/>
        <w:spacing w:after="0" w:line="360" w:lineRule="auto"/>
        <w:ind w:left="0" w:firstLine="709"/>
        <w:jc w:val="both"/>
        <w:rPr>
          <w:rFonts w:ascii="Times New Roman" w:hAnsi="Times New Roman"/>
          <w:sz w:val="28"/>
          <w:szCs w:val="28"/>
        </w:rPr>
      </w:pPr>
      <w:r w:rsidRPr="00117314">
        <w:rPr>
          <w:rFonts w:ascii="Times New Roman" w:hAnsi="Times New Roman"/>
          <w:sz w:val="28"/>
          <w:szCs w:val="28"/>
        </w:rPr>
        <w:lastRenderedPageBreak/>
        <w:t xml:space="preserve">Быстрота и гибкость по сравнению с фискальной политикой. </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Известно, что применение фискальной политики может быть отложено на долгое время из-за обсуждения в законодательных органах власти. Иначе обстоит дело с денежно-кредитной политикой. Центральный банк и другие органы, регулирующие кредитно-денежную сферу, могут ежедневно принимать решения о покупке и продаже ценных бумаг и тем самым влиять на денежное предложение и процентную ставку.</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2. Немаловажный аспект связан с тем, что в развитых странах данная политика изолирована от политического давления, кроме того, она по своей природе мягче, чем фискальная политика и действует тоньше и потому представляется более приемлемой в политическом отношении.</w:t>
      </w:r>
    </w:p>
    <w:p w:rsidR="00117314" w:rsidRPr="00117314" w:rsidRDefault="00117314" w:rsidP="00117314">
      <w:pPr>
        <w:tabs>
          <w:tab w:val="left" w:pos="993"/>
        </w:tabs>
        <w:suppressAutoHyphens/>
        <w:spacing w:line="360" w:lineRule="auto"/>
        <w:ind w:firstLine="709"/>
        <w:jc w:val="both"/>
        <w:rPr>
          <w:rFonts w:ascii="Times New Roman" w:hAnsi="Times New Roman"/>
          <w:sz w:val="28"/>
          <w:szCs w:val="28"/>
        </w:rPr>
      </w:pPr>
      <w:r w:rsidRPr="00117314">
        <w:rPr>
          <w:rFonts w:ascii="Times New Roman" w:hAnsi="Times New Roman"/>
          <w:sz w:val="28"/>
          <w:szCs w:val="28"/>
        </w:rPr>
        <w:t>Но существует и ряд негативных моментов. Политика дорогих денег, если ее проводить достаточно энергично, действительно способна понизить резервы коммерческих банков до точки, в которой банки вынуждены ограничить объем кредитов. А это означает ограничение предложения денег. Политика дешевых денег может обеспечить коммерческим банкам необходимые резервы, то есть возможность предоставления ссуд, однако она не в состоянии гарантировать, что банки действительно выдадут ссуду и предложение денег увеличится. При такой ситуации действия данной политики окажутся малоэффективными. Данное явление называется цикличной асимметрией, причем она может оказаться серьезной помехой денежно-кредитного регулирования во время депрессии. В более нормальные периоды увеличение избыточных резервов ведет к предоставлению дополнительных кредитов и, тем самым, к росту денежного предложения.</w:t>
      </w:r>
    </w:p>
    <w:p w:rsidR="00117314" w:rsidRPr="00117314" w:rsidRDefault="00117314">
      <w:pPr>
        <w:spacing w:after="0" w:line="240" w:lineRule="auto"/>
        <w:rPr>
          <w:rFonts w:ascii="Times New Roman" w:hAnsi="Times New Roman"/>
          <w:sz w:val="28"/>
          <w:szCs w:val="28"/>
        </w:rPr>
      </w:pPr>
      <w:r w:rsidRPr="00117314">
        <w:rPr>
          <w:rFonts w:ascii="Times New Roman" w:hAnsi="Times New Roman"/>
          <w:sz w:val="28"/>
          <w:szCs w:val="28"/>
        </w:rPr>
        <w:br w:type="page"/>
      </w:r>
    </w:p>
    <w:p w:rsidR="00117314" w:rsidRDefault="00117314" w:rsidP="00117314">
      <w:pPr>
        <w:tabs>
          <w:tab w:val="left" w:pos="993"/>
        </w:tabs>
        <w:suppressAutoHyphens/>
        <w:spacing w:line="360" w:lineRule="auto"/>
        <w:ind w:firstLine="709"/>
        <w:jc w:val="both"/>
        <w:rPr>
          <w:sz w:val="28"/>
          <w:szCs w:val="28"/>
        </w:rPr>
      </w:pPr>
    </w:p>
    <w:p w:rsidR="00DC544A" w:rsidRPr="00C87463" w:rsidRDefault="008329E3" w:rsidP="003A316C">
      <w:pPr>
        <w:pStyle w:val="1"/>
        <w:spacing w:before="0" w:after="0"/>
        <w:rPr>
          <w:szCs w:val="28"/>
        </w:rPr>
      </w:pPr>
      <w:bookmarkStart w:id="6" w:name="_Toc437453860"/>
      <w:r w:rsidRPr="00C87463">
        <w:rPr>
          <w:szCs w:val="28"/>
        </w:rPr>
        <w:t>ГЛАВА 2. ДЕНЕЖНО-КРЕДИТНАЯ ПОЛИТИКА ЦЕНТРАЛЬНОГО БАНКА РФ КАК ИНСТРУМЕНТ РЕГУЛИРОВАНИЯ ЭКОНОМИКИ</w:t>
      </w:r>
      <w:bookmarkEnd w:id="6"/>
    </w:p>
    <w:p w:rsidR="0025589A" w:rsidRPr="00C87463" w:rsidRDefault="00035D86" w:rsidP="008329E3">
      <w:pPr>
        <w:pStyle w:val="1"/>
        <w:ind w:firstLine="708"/>
        <w:rPr>
          <w:szCs w:val="28"/>
        </w:rPr>
      </w:pPr>
      <w:bookmarkStart w:id="7" w:name="_Toc437453861"/>
      <w:r w:rsidRPr="00C87463">
        <w:rPr>
          <w:szCs w:val="28"/>
        </w:rPr>
        <w:t xml:space="preserve">2.1 </w:t>
      </w:r>
      <w:r w:rsidR="00B35EFE" w:rsidRPr="00C87463">
        <w:rPr>
          <w:szCs w:val="28"/>
        </w:rPr>
        <w:t>Роль и функции ЦБ РФ</w:t>
      </w:r>
      <w:bookmarkEnd w:id="7"/>
    </w:p>
    <w:p w:rsidR="00B35EFE" w:rsidRPr="00C87463" w:rsidRDefault="00B35EFE" w:rsidP="00B35EFE">
      <w:pPr>
        <w:tabs>
          <w:tab w:val="left" w:pos="993"/>
        </w:tabs>
        <w:suppressAutoHyphens/>
        <w:spacing w:after="0" w:line="360" w:lineRule="auto"/>
        <w:ind w:firstLine="709"/>
        <w:jc w:val="both"/>
        <w:rPr>
          <w:rFonts w:ascii="Times New Roman" w:hAnsi="Times New Roman"/>
          <w:b/>
          <w:bCs/>
          <w:sz w:val="28"/>
          <w:szCs w:val="28"/>
        </w:rPr>
      </w:pPr>
      <w:r w:rsidRPr="00C87463">
        <w:rPr>
          <w:rFonts w:ascii="Times New Roman" w:hAnsi="Times New Roman"/>
          <w:bCs/>
          <w:sz w:val="28"/>
          <w:szCs w:val="28"/>
        </w:rPr>
        <w:t>Прежде всего, определим основные функции центрального банка в мировой практике, а затем проанализируем основные направления деятельности ЦБ РФ.</w:t>
      </w:r>
      <w:r w:rsidRPr="00C87463">
        <w:rPr>
          <w:rFonts w:ascii="Times New Roman" w:hAnsi="Times New Roman"/>
          <w:b/>
          <w:bCs/>
          <w:sz w:val="28"/>
          <w:szCs w:val="28"/>
        </w:rPr>
        <w:t xml:space="preserve">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b/>
          <w:bCs/>
          <w:sz w:val="28"/>
          <w:szCs w:val="28"/>
        </w:rPr>
        <w:t xml:space="preserve">Центральный банк </w:t>
      </w:r>
      <w:r w:rsidRPr="00C87463">
        <w:rPr>
          <w:rFonts w:ascii="Times New Roman" w:hAnsi="Times New Roman"/>
          <w:sz w:val="28"/>
          <w:szCs w:val="28"/>
        </w:rPr>
        <w:t xml:space="preserve">- центральное звено денежно-кредитной системы любого государства, головной банк страны, сочетает в себе черты обычного (коммерческого) банковского учреждения и государственного ведомства.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«Центральный банк наделен правом монопольной эмиссии банкнот, регулирования денежного обращения и валютного курса, хранения золотых и валютных резервов. Важнейшей функцией Центрального банка является выработка общей кредитной политики. Его стратегическая задача - создание условий для </w:t>
      </w:r>
      <w:proofErr w:type="spellStart"/>
      <w:r w:rsidRPr="00C87463">
        <w:rPr>
          <w:rFonts w:ascii="Times New Roman" w:hAnsi="Times New Roman"/>
          <w:sz w:val="28"/>
          <w:szCs w:val="28"/>
        </w:rPr>
        <w:t>неифляционного</w:t>
      </w:r>
      <w:proofErr w:type="spellEnd"/>
      <w:r w:rsidRPr="00C87463">
        <w:rPr>
          <w:rFonts w:ascii="Times New Roman" w:hAnsi="Times New Roman"/>
          <w:sz w:val="28"/>
          <w:szCs w:val="28"/>
        </w:rPr>
        <w:t xml:space="preserve"> развития экономики.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Центральный банк в различных странах может иметь разные названия: государственный, национальный, резервный, эмиссионный. Во многих странах Центральные банки являются государственными. Но и, не находясь в собственности государства, Центральный банк действует в рамках правительственных инструкций»</w:t>
      </w:r>
      <w:r w:rsidRPr="00C87463">
        <w:rPr>
          <w:rStyle w:val="a7"/>
          <w:rFonts w:ascii="Times New Roman" w:hAnsi="Times New Roman"/>
          <w:sz w:val="28"/>
          <w:szCs w:val="28"/>
        </w:rPr>
        <w:footnoteReference w:id="15"/>
      </w:r>
      <w:r w:rsidRPr="00C87463">
        <w:rPr>
          <w:rFonts w:ascii="Times New Roman" w:hAnsi="Times New Roman"/>
          <w:sz w:val="28"/>
          <w:szCs w:val="28"/>
        </w:rPr>
        <w:t xml:space="preserve">.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Активами Центрального банка являются:</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1) золото, иностранная валюта, СДР, резервная позиция в Международном валютном фонде;</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2) купленные центральным банком государственные ценные бумаги (прежде всего казначейские векселя и облигации), которые являются долговыми обязательствами правительства;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3) ссуды, предоставленные центральным банком коммерческим банкам;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4) учтенные векселя и другие статьи.</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lastRenderedPageBreak/>
        <w:t xml:space="preserve">В большинстве случаев его капитал принадлежит государству: но акционерами могут быть коммерческие банки и другие финансовые учреждения.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Для Центрального банка характерен высокий уровень независимости от прочих государственных структур. Большей частью он подотчетен непосредственно парламенту или образованной парламентом специальной комиссии. Руководителя Центральным банком назначает глава государства или парламент. Правительству же, как правило, согласно банковскому законодательству развитых стран Запада, предоставляется право подбора кандидатуры на этот высокий пост.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В банковской системе Центральный банк страны играет ключевую роль. От его деятельности зависит устойчивость развития национальной экономики и ее банковского сектора. Регулируя денежный оборот в наличной и безналичной формах, центральный банк создает экономические предпосылки для движения товаров и услуг от производителя к потребителю.</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Центральный банк - экономический институт, функционирующий в сфере товарно-денежных отношений. Его денежно-кредитная политика основана на использовании денег, кредита, процента, валютного курса.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Центральный банк - общественный институт, работающий на макроуровне экономических отношений. </w:t>
      </w:r>
      <w:proofErr w:type="spellStart"/>
      <w:r w:rsidRPr="00C87463">
        <w:rPr>
          <w:rFonts w:ascii="Times New Roman" w:hAnsi="Times New Roman"/>
          <w:sz w:val="28"/>
          <w:szCs w:val="28"/>
        </w:rPr>
        <w:t>Эмитирование</w:t>
      </w:r>
      <w:proofErr w:type="spellEnd"/>
      <w:r w:rsidRPr="00C87463">
        <w:rPr>
          <w:rFonts w:ascii="Times New Roman" w:hAnsi="Times New Roman"/>
          <w:sz w:val="28"/>
          <w:szCs w:val="28"/>
        </w:rPr>
        <w:t xml:space="preserve"> им наличных денег и платежных средств важно для отдельных экономических субъектов и для экономики в целом. Обеспечивая рациональную организацию денежного обращения, </w:t>
      </w:r>
      <w:proofErr w:type="spellStart"/>
      <w:r w:rsidRPr="00C87463">
        <w:rPr>
          <w:rFonts w:ascii="Times New Roman" w:hAnsi="Times New Roman"/>
          <w:sz w:val="28"/>
          <w:szCs w:val="28"/>
        </w:rPr>
        <w:t>безинфляционное</w:t>
      </w:r>
      <w:proofErr w:type="spellEnd"/>
      <w:r w:rsidRPr="00C87463">
        <w:rPr>
          <w:rFonts w:ascii="Times New Roman" w:hAnsi="Times New Roman"/>
          <w:sz w:val="28"/>
          <w:szCs w:val="28"/>
        </w:rPr>
        <w:t xml:space="preserve"> развитие, он создает условия для сохранения ценности денег и тем самым для социального развития общества.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Центральные банки являются регулирующим звеном в банковской системе, поэтому их деятельность связана с укреплением денежного обращения, защитой и обеспечением устойчивости национальной денежной единицы и ее курса по отношению к иностранным валютам; развитием и укреплением банковской системы страны; обеспечением эффективного и бесперебойного осуществления расчетов. </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lastRenderedPageBreak/>
        <w:t>«Центральный банк РФ выполняет следующие задачи: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во взаимодействии с Правительством РФ разрабатывает и проводит единую государственную денежно-кредитную политику;</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монопольно осуществляет эмиссию наличных денег и организует наличное денежное обращение;</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является кредитором последней инстанции для кредитных организаций, организует систему их рефинансирования;</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устанавливает правила осуществления расчетов в России;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устанавливает правила проведения банковских операций;</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осуществляет обслуживание счетов бюджетов всех уровней бюджетной системы РФ посредством проведения расчетов по поручению уполномоченных органов исполнительной власти и государственных внебюджетных фондов, на которые возлагаются организация исполнения и исполнение бюджетов;</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осуществляет эффективное управление золотовалютными резервами Банка России;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принимает решение о государственной регистрации кредитных организаций, выдает кредитным организациям лицензии на осуществление банковских операций, приостанавливает их действие и отзывает их;</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осуществляет надзор за деятельностью кредитных организаций и банковских групп;</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регистрирует эмиссию ценных бумаг кредитными организациями;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осуществляет все виды банковских операций и иных сделок, необходимых для выполнения функций Банка России;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организует и осуществляет валютное регулирование и валютный контроль в соответствии с законодательством РФ;</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определяет порядок осуществления расчетов с международными организациями, иностранными государствами, а также с юридическими и физическими лицами;</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lastRenderedPageBreak/>
        <w:t>устанавливает правила бухучета и отчетности для банковской системы РФ;</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устанавливает и публикует официальные курсы иностранных валют по отношению к рублю;</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принимает участие в разработке прогноза платежного баланса России и организует составление платежного баланса РФ;</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устанавливает порядок и условия осуществления валютными биржами деятельности по организации проведения операций по покупке и продаже иностранной валюты;</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проводит анализ и прогнозирование состояния экономики РФ, публикует материалы и статистические данные;</w:t>
      </w:r>
    </w:p>
    <w:p w:rsidR="00B35EFE" w:rsidRPr="00C87463" w:rsidRDefault="00B35EFE" w:rsidP="008337AB">
      <w:pPr>
        <w:numPr>
          <w:ilvl w:val="0"/>
          <w:numId w:val="1"/>
        </w:numPr>
        <w:tabs>
          <w:tab w:val="left" w:pos="993"/>
        </w:tabs>
        <w:suppressAutoHyphens/>
        <w:spacing w:after="0" w:line="360" w:lineRule="auto"/>
        <w:ind w:left="0" w:firstLine="709"/>
        <w:jc w:val="both"/>
        <w:rPr>
          <w:rFonts w:ascii="Times New Roman" w:hAnsi="Times New Roman"/>
          <w:sz w:val="28"/>
          <w:szCs w:val="28"/>
        </w:rPr>
      </w:pPr>
      <w:r w:rsidRPr="00C87463">
        <w:rPr>
          <w:rFonts w:ascii="Times New Roman" w:hAnsi="Times New Roman"/>
          <w:sz w:val="28"/>
          <w:szCs w:val="28"/>
        </w:rPr>
        <w:t>осуществляет выплаты по вкладам физических лиц в признанных банкротами банках, не участвующих в системе обязательного страхования вкладов; также выполняет иные задачи»</w:t>
      </w:r>
      <w:r w:rsidRPr="00C87463">
        <w:rPr>
          <w:rStyle w:val="a7"/>
          <w:rFonts w:ascii="Times New Roman" w:hAnsi="Times New Roman"/>
          <w:sz w:val="28"/>
          <w:szCs w:val="28"/>
        </w:rPr>
        <w:footnoteReference w:id="16"/>
      </w:r>
      <w:r w:rsidRPr="00C87463">
        <w:rPr>
          <w:rFonts w:ascii="Times New Roman" w:hAnsi="Times New Roman"/>
          <w:sz w:val="28"/>
          <w:szCs w:val="28"/>
        </w:rPr>
        <w:t>.</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Правовой статус Центрального банка Российской Федерации и цели его деятельности, функции и полномочия определяют Конституция Российской Федерации, Федеральный закон «О Центральном банке Российской Федерации (Банке России)», другие федеральные законы.</w:t>
      </w:r>
    </w:p>
    <w:p w:rsidR="00B35EFE" w:rsidRPr="00C87463" w:rsidRDefault="00B35EFE" w:rsidP="00B35EFE">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Центральный банк РФ в отличие от коммерческих банков - федеральный орган государственной власти. Его государственно-властные полномочия распространяются на денежно-кредитную сферу и регулирование деятельности банков, входящих в банковскую систему страны. Такое управление не предполагает право собственности на имущество управляемых субъектов, их подчинение банку. </w:t>
      </w:r>
    </w:p>
    <w:p w:rsidR="00B35EFE" w:rsidRPr="00C87463" w:rsidRDefault="00B35EFE" w:rsidP="00B35EFE">
      <w:pPr>
        <w:tabs>
          <w:tab w:val="left" w:pos="993"/>
        </w:tabs>
        <w:suppressAutoHyphens/>
        <w:spacing w:line="360" w:lineRule="auto"/>
        <w:ind w:firstLine="709"/>
        <w:jc w:val="both"/>
        <w:rPr>
          <w:rFonts w:ascii="Times New Roman" w:hAnsi="Times New Roman"/>
          <w:sz w:val="28"/>
          <w:szCs w:val="28"/>
        </w:rPr>
      </w:pPr>
      <w:r w:rsidRPr="00C87463">
        <w:rPr>
          <w:rFonts w:ascii="Times New Roman" w:hAnsi="Times New Roman"/>
          <w:sz w:val="28"/>
          <w:szCs w:val="28"/>
        </w:rPr>
        <w:t>Банк России осуществляет государственное управление в форме денежно-кредитного регулирования с помощью введения норм и правил деятельности неподчиненных ему банков, надзора и контроля за их работой.</w:t>
      </w:r>
    </w:p>
    <w:p w:rsidR="00B35EFE" w:rsidRPr="00C87463" w:rsidRDefault="00B35EFE" w:rsidP="00507FA2">
      <w:pPr>
        <w:tabs>
          <w:tab w:val="left" w:pos="993"/>
        </w:tabs>
        <w:suppressAutoHyphens/>
        <w:spacing w:after="0" w:line="360" w:lineRule="auto"/>
        <w:ind w:firstLine="709"/>
        <w:jc w:val="both"/>
        <w:rPr>
          <w:rFonts w:ascii="Times New Roman" w:hAnsi="Times New Roman"/>
          <w:sz w:val="28"/>
          <w:szCs w:val="28"/>
        </w:rPr>
      </w:pPr>
      <w:r w:rsidRPr="00C87463">
        <w:rPr>
          <w:rFonts w:ascii="Times New Roman" w:hAnsi="Times New Roman"/>
          <w:sz w:val="28"/>
          <w:szCs w:val="28"/>
        </w:rPr>
        <w:lastRenderedPageBreak/>
        <w:t>В соответствии со статьей 3 Федерального закона «О Центральном банке Российской Федерации (Банке России)» целями деятельности Банка России являются: защита и обеспечение устойчивости рубля; развитие и укрепление банковской системы Российской Федерации и обеспечение эффективного и бесперебойного функционирования платежной системы. Для этого ЦБ РФ наделяется функциями и полномочиями высшего органа государства по разработке и осуществлению денежно - кредитной политики.</w:t>
      </w:r>
    </w:p>
    <w:p w:rsidR="00902ED5" w:rsidRPr="00902ED5" w:rsidRDefault="00507FA2" w:rsidP="00902ED5">
      <w:pPr>
        <w:tabs>
          <w:tab w:val="left" w:pos="993"/>
        </w:tabs>
        <w:suppressAutoHyphens/>
        <w:spacing w:after="0" w:line="360" w:lineRule="auto"/>
        <w:jc w:val="both"/>
        <w:rPr>
          <w:rFonts w:ascii="Times New Roman" w:hAnsi="Times New Roman"/>
          <w:i/>
          <w:sz w:val="28"/>
          <w:szCs w:val="28"/>
        </w:rPr>
      </w:pPr>
      <w:r>
        <w:rPr>
          <w:rFonts w:ascii="Times New Roman" w:hAnsi="Times New Roman"/>
          <w:i/>
          <w:sz w:val="28"/>
          <w:szCs w:val="28"/>
        </w:rPr>
        <w:t xml:space="preserve">Основные </w:t>
      </w:r>
      <w:r w:rsidR="00902ED5" w:rsidRPr="00902ED5">
        <w:rPr>
          <w:rFonts w:ascii="Times New Roman" w:hAnsi="Times New Roman"/>
          <w:i/>
          <w:sz w:val="28"/>
          <w:szCs w:val="28"/>
        </w:rPr>
        <w:t>функции ЦБ РФ</w:t>
      </w:r>
    </w:p>
    <w:p w:rsidR="00507FA2" w:rsidRDefault="00902ED5" w:rsidP="00507FA2">
      <w:p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Функции Центрального Банка регламентируются ФЗ РФ № 86-ФЗ «О центральн</w:t>
      </w:r>
      <w:r w:rsidR="00507FA2">
        <w:rPr>
          <w:rFonts w:ascii="Times New Roman" w:hAnsi="Times New Roman"/>
          <w:sz w:val="28"/>
          <w:szCs w:val="28"/>
        </w:rPr>
        <w:t>ом Банке Российской Федерации»</w:t>
      </w:r>
    </w:p>
    <w:p w:rsidR="00902ED5" w:rsidRPr="00507FA2" w:rsidRDefault="00902ED5" w:rsidP="00507FA2">
      <w:pPr>
        <w:pStyle w:val="a4"/>
        <w:numPr>
          <w:ilvl w:val="0"/>
          <w:numId w:val="19"/>
        </w:numPr>
        <w:tabs>
          <w:tab w:val="left" w:pos="993"/>
        </w:tabs>
        <w:suppressAutoHyphens/>
        <w:spacing w:after="0" w:line="360" w:lineRule="auto"/>
        <w:jc w:val="both"/>
        <w:rPr>
          <w:rFonts w:ascii="Times New Roman" w:hAnsi="Times New Roman"/>
          <w:sz w:val="28"/>
          <w:szCs w:val="28"/>
        </w:rPr>
      </w:pPr>
      <w:r w:rsidRPr="00507FA2">
        <w:rPr>
          <w:rFonts w:ascii="Times New Roman" w:hAnsi="Times New Roman"/>
          <w:sz w:val="28"/>
          <w:szCs w:val="28"/>
        </w:rPr>
        <w:t>обеспечивает нормальное функционирование утвержденной кредитно-денежной политики;</w:t>
      </w:r>
    </w:p>
    <w:p w:rsidR="00902ED5" w:rsidRPr="00902ED5" w:rsidRDefault="00507FA2"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Pr>
          <w:rFonts w:ascii="Times New Roman" w:hAnsi="Times New Roman"/>
          <w:sz w:val="28"/>
          <w:szCs w:val="28"/>
        </w:rPr>
        <w:t>составляет</w:t>
      </w:r>
      <w:r w:rsidR="00902ED5" w:rsidRPr="00902ED5">
        <w:rPr>
          <w:rFonts w:ascii="Times New Roman" w:hAnsi="Times New Roman"/>
          <w:sz w:val="28"/>
          <w:szCs w:val="28"/>
        </w:rPr>
        <w:t xml:space="preserve"> финансовые прогнозы развития государства;</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ЦБ РФ единственная структура, которая осуществляет выпуск рубля и ценных бумаг;</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контролирует соотношение курсов валют;</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анализирует общее состояние экономики;</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резерв всего золота в РФ регулируется только Банком России;</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Центральный банк контролирует деятельность кредитных и не кредитных организаций, существующих на территории РФ;</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ЦБ РФ определяет процентную ставку для банковской системы;</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обладает возможностью лишения лицензии кредитных организаций, которые не отвечают в своей деятельности законным требованиям;</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все операции по банкам и кредитным организациям подконтрольны ЦБ РФ;</w:t>
      </w:r>
    </w:p>
    <w:p w:rsidR="00902ED5" w:rsidRPr="00902ED5" w:rsidRDefault="00902ED5" w:rsidP="00902ED5">
      <w:pPr>
        <w:pStyle w:val="a4"/>
        <w:numPr>
          <w:ilvl w:val="0"/>
          <w:numId w:val="18"/>
        </w:num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Банк России осуществляет международное сотрудничество с иностранными банками от имени государства.</w:t>
      </w:r>
    </w:p>
    <w:p w:rsidR="00902ED5" w:rsidRPr="00C87463" w:rsidRDefault="00902ED5" w:rsidP="00902ED5">
      <w:pPr>
        <w:tabs>
          <w:tab w:val="left" w:pos="993"/>
        </w:tabs>
        <w:suppressAutoHyphens/>
        <w:spacing w:after="0" w:line="360" w:lineRule="auto"/>
        <w:jc w:val="both"/>
        <w:rPr>
          <w:rFonts w:ascii="Times New Roman" w:hAnsi="Times New Roman"/>
          <w:sz w:val="28"/>
          <w:szCs w:val="28"/>
        </w:rPr>
      </w:pPr>
      <w:r w:rsidRPr="00902ED5">
        <w:rPr>
          <w:rFonts w:ascii="Times New Roman" w:hAnsi="Times New Roman"/>
          <w:sz w:val="28"/>
          <w:szCs w:val="28"/>
        </w:rPr>
        <w:t>Центральный Банк Российской Федерации не ограничивается выполнением вышеуказанных функций, поскольку в соответствии с ФЗ РФ № 86-ФЗ, он может выполнять и иные возложенные на него задачи.</w:t>
      </w:r>
    </w:p>
    <w:p w:rsidR="00C831D7" w:rsidRPr="00C87463" w:rsidRDefault="00035D86" w:rsidP="00B35EFE">
      <w:pPr>
        <w:pStyle w:val="1"/>
        <w:rPr>
          <w:szCs w:val="28"/>
        </w:rPr>
      </w:pPr>
      <w:bookmarkStart w:id="8" w:name="_Toc437453862"/>
      <w:r w:rsidRPr="00C87463">
        <w:rPr>
          <w:szCs w:val="28"/>
        </w:rPr>
        <w:lastRenderedPageBreak/>
        <w:t>2.2</w:t>
      </w:r>
      <w:r w:rsidR="0025589A" w:rsidRPr="00C87463">
        <w:rPr>
          <w:szCs w:val="28"/>
        </w:rPr>
        <w:tab/>
      </w:r>
      <w:bookmarkEnd w:id="8"/>
      <w:r w:rsidR="0048472B">
        <w:rPr>
          <w:szCs w:val="28"/>
        </w:rPr>
        <w:t>анализ денежно-кредитной пролитики цб рф в период 2000-2014</w:t>
      </w:r>
    </w:p>
    <w:p w:rsidR="0048472B" w:rsidRPr="0048472B" w:rsidRDefault="0048472B" w:rsidP="0048472B">
      <w:pPr>
        <w:pStyle w:val="Default"/>
        <w:spacing w:line="360" w:lineRule="auto"/>
        <w:ind w:firstLine="708"/>
        <w:jc w:val="both"/>
        <w:rPr>
          <w:sz w:val="28"/>
          <w:szCs w:val="28"/>
        </w:rPr>
      </w:pPr>
      <w:r w:rsidRPr="0048472B">
        <w:rPr>
          <w:sz w:val="28"/>
          <w:szCs w:val="28"/>
        </w:rPr>
        <w:t xml:space="preserve">Анализ денежно-кредитной политики остается важной и актуальной задачей, так как денежно-кредитное регулирование является одним из главных инструментов воздействия на экономическую динамику со стороны государства. Правильно проводимая политика способствует стабильному экономическому росту, снижению инфляции и повышению устойчивости экономики в целом. В то же время существует большое количество исторических примеров, когда ошибки в денежно-кредитном регулировании были причинами экономических и финансовых кризисов. </w:t>
      </w:r>
    </w:p>
    <w:p w:rsidR="0048472B" w:rsidRPr="0048472B" w:rsidRDefault="0048472B" w:rsidP="0048472B">
      <w:pPr>
        <w:pStyle w:val="Default"/>
        <w:spacing w:line="360" w:lineRule="auto"/>
        <w:ind w:firstLine="708"/>
        <w:jc w:val="both"/>
        <w:rPr>
          <w:sz w:val="28"/>
          <w:szCs w:val="28"/>
        </w:rPr>
      </w:pPr>
      <w:r w:rsidRPr="0048472B">
        <w:rPr>
          <w:sz w:val="28"/>
          <w:szCs w:val="28"/>
        </w:rPr>
        <w:t xml:space="preserve">При изучении денежно-кредитной политики обычно рассматривают цели, которые преследует регулятор, а также общие правила, которыми он руководствуются при принятии своих решений. Определение такого правила позволяет лучше понимать, как центральный банк реагирует на различные шоки. Кроме этого большое значение имеют режим обменного курса и различные ограничения на движение капитала. При принятии своих решений каждый центральный банк стремится выбрать оптимальную политику, которая бы наилучшим образом соответствовала сложившимся экономическим условиям и внешним факторам. Международный опыт показывает, что выбор оптимальной денежно-кредитной политики во многом зависит от типов внешних и внутренних шоков, которым подвержена экономика. </w:t>
      </w:r>
    </w:p>
    <w:p w:rsidR="00444C4C" w:rsidRDefault="0048472B" w:rsidP="0048472B">
      <w:pPr>
        <w:pStyle w:val="Default"/>
        <w:spacing w:line="360" w:lineRule="auto"/>
        <w:ind w:firstLine="708"/>
        <w:jc w:val="both"/>
        <w:rPr>
          <w:sz w:val="28"/>
          <w:szCs w:val="28"/>
        </w:rPr>
      </w:pPr>
      <w:r w:rsidRPr="0048472B">
        <w:rPr>
          <w:sz w:val="28"/>
          <w:szCs w:val="28"/>
        </w:rPr>
        <w:t xml:space="preserve">Рассмотрим более подробно взаимосвязь между влиянием внешних шоков, целями денежно-кредитной политики, а также ограничениями на движение капитала. </w:t>
      </w:r>
    </w:p>
    <w:p w:rsidR="0048472B" w:rsidRPr="0048472B" w:rsidRDefault="0048472B" w:rsidP="0048472B">
      <w:pPr>
        <w:pStyle w:val="Default"/>
        <w:spacing w:line="360" w:lineRule="auto"/>
        <w:ind w:firstLine="708"/>
        <w:jc w:val="both"/>
        <w:rPr>
          <w:sz w:val="28"/>
          <w:szCs w:val="28"/>
        </w:rPr>
      </w:pPr>
      <w:r w:rsidRPr="0048472B">
        <w:rPr>
          <w:sz w:val="28"/>
          <w:szCs w:val="28"/>
        </w:rPr>
        <w:t xml:space="preserve">Традиционно считается, что при ограничениях на движение капитала или при его низкой мобильности доминирующее значение приобретают торговые потоки. В этом случае при фиксированном обменном курсе внешние шоки торгового баланса будут влиять на приток в страну иностранной валюты, и как следствие, приводить к изменению </w:t>
      </w:r>
    </w:p>
    <w:p w:rsidR="0048472B" w:rsidRPr="0048472B" w:rsidRDefault="0048472B" w:rsidP="0048472B">
      <w:pPr>
        <w:pStyle w:val="Default"/>
        <w:spacing w:line="360" w:lineRule="auto"/>
        <w:jc w:val="both"/>
        <w:rPr>
          <w:color w:val="auto"/>
          <w:sz w:val="28"/>
          <w:szCs w:val="28"/>
        </w:rPr>
      </w:pPr>
    </w:p>
    <w:p w:rsidR="0048472B" w:rsidRPr="0048472B" w:rsidRDefault="0048472B" w:rsidP="0048472B">
      <w:pPr>
        <w:pStyle w:val="Default"/>
        <w:pageBreakBefore/>
        <w:spacing w:line="360" w:lineRule="auto"/>
        <w:jc w:val="both"/>
        <w:rPr>
          <w:color w:val="auto"/>
          <w:sz w:val="28"/>
          <w:szCs w:val="28"/>
        </w:rPr>
      </w:pPr>
      <w:r w:rsidRPr="0048472B">
        <w:rPr>
          <w:color w:val="auto"/>
          <w:sz w:val="28"/>
          <w:szCs w:val="28"/>
        </w:rPr>
        <w:lastRenderedPageBreak/>
        <w:t>золотовалютных резервов и денежной массы, что, в свою очередь, будет оказывать влияние на процентные ставки на внутреннем рынке и сказываться на внутреннем спросе и импорте.</w:t>
      </w:r>
      <w:r w:rsidR="00444C4C">
        <w:rPr>
          <w:color w:val="auto"/>
          <w:sz w:val="28"/>
          <w:szCs w:val="28"/>
        </w:rPr>
        <w:t xml:space="preserve"> </w:t>
      </w:r>
      <w:r w:rsidRPr="0048472B">
        <w:rPr>
          <w:color w:val="auto"/>
          <w:sz w:val="28"/>
          <w:szCs w:val="28"/>
        </w:rPr>
        <w:t>При негативном шоке, например при падении цены на нефть – это будет приводить к сокращению резервов и сжатию денежной массы, росту процентных ставок, снижению внутреннего спроса и падению импорта. При свободном обменном курсе изменения в торговом балансе будут приводить к укреплению или девальвации валюты, регулируя тем самым объем экспорта и импорта. При этом внутренний спрос становится более защищенным от внешних шоков. На практике ситуация с полным ограничением на движение капитала встречается достаточно редко. Так как, во-первых, это сопряжено с политическими потерями, а во-вторых, полные ограничения достаточно сложно внедрить, так как всегда найдутся способы их обойти</w:t>
      </w:r>
      <w:r w:rsidR="00444C4C">
        <w:rPr>
          <w:rStyle w:val="a7"/>
          <w:color w:val="auto"/>
          <w:sz w:val="28"/>
          <w:szCs w:val="28"/>
        </w:rPr>
        <w:footnoteReference w:id="17"/>
      </w:r>
      <w:r w:rsidRPr="0048472B">
        <w:rPr>
          <w:color w:val="auto"/>
          <w:sz w:val="28"/>
          <w:szCs w:val="28"/>
        </w:rPr>
        <w:t xml:space="preserve">. Некоторые формы ограничений существуют в разных странах, но они скорее призваны замедлить приток или отток спекулятивного капитала, но не полностью его остановить. В случае свободного движения капитала внешние и внутренние шоки имеют уже другое влияние на экономику. При фиксированном обменном курсе увеличение внутреннего спроса приводит к росту процентных ставок, что способствует притоку капитала, росту золотовалютных резервов, денежной эмиссии и как следствие к снижению ставок, что дополнительно стимулирует внутренний спрос. В то же время, если экономика сталкивается с негативным шоком – падением цены на нефть, сопровождающимся оттоком капитала (что вполне вероятно из-за того, что международные инвесторы переоценивают риски), то это усиливает давление на золотовалютные резервы и приводит к падению денежной массы и росту процентных ставок на внутреннем рынке, что оказывает дополнительное негативное влияние на спрос и выпуск. При гибком обменном курсе, девальвация валюты обеспечивает корректировку торгового баланса за счет снижения импорта и роста экспорта, что обеспечивает некоторую защиту внутреннего спроса. Однако гибкий обменный курс также имеет свои </w:t>
      </w:r>
      <w:r w:rsidRPr="0048472B">
        <w:rPr>
          <w:color w:val="auto"/>
          <w:sz w:val="28"/>
          <w:szCs w:val="28"/>
        </w:rPr>
        <w:lastRenderedPageBreak/>
        <w:t xml:space="preserve">недостатки. Для стран с большой долей экспорта сырьевых товаров приток валюты может приводить к чрезмерному укреплению реального обменного курса и к падению конкурентоспособности в отраслях, не связанных с добычей и экспортом энергоресурсов, т.е. к так называемой. </w:t>
      </w:r>
    </w:p>
    <w:p w:rsidR="00444C4C" w:rsidRDefault="0048472B" w:rsidP="0048472B">
      <w:pPr>
        <w:spacing w:before="240" w:line="360" w:lineRule="auto"/>
        <w:ind w:firstLine="547"/>
        <w:jc w:val="both"/>
        <w:rPr>
          <w:rFonts w:ascii="Times New Roman" w:hAnsi="Times New Roman"/>
          <w:sz w:val="28"/>
          <w:szCs w:val="28"/>
        </w:rPr>
      </w:pPr>
      <w:r w:rsidRPr="0048472B">
        <w:rPr>
          <w:rFonts w:ascii="Times New Roman" w:hAnsi="Times New Roman"/>
          <w:sz w:val="28"/>
          <w:szCs w:val="28"/>
        </w:rPr>
        <w:t xml:space="preserve">Стоит отметить, что некоторые цели денежно-кредитной политики могут быть несовместимы со свободным движением капитала. Термин «невозможная троица», введенный в употребление </w:t>
      </w:r>
      <w:proofErr w:type="spellStart"/>
      <w:r w:rsidRPr="0048472B">
        <w:rPr>
          <w:rFonts w:ascii="Times New Roman" w:hAnsi="Times New Roman"/>
          <w:sz w:val="28"/>
          <w:szCs w:val="28"/>
        </w:rPr>
        <w:t>Обсфельдом</w:t>
      </w:r>
      <w:proofErr w:type="spellEnd"/>
      <w:r w:rsidRPr="0048472B">
        <w:rPr>
          <w:rFonts w:ascii="Times New Roman" w:hAnsi="Times New Roman"/>
          <w:sz w:val="28"/>
          <w:szCs w:val="28"/>
        </w:rPr>
        <w:t xml:space="preserve"> и Тейлором (</w:t>
      </w:r>
      <w:proofErr w:type="spellStart"/>
      <w:r w:rsidRPr="0048472B">
        <w:rPr>
          <w:rFonts w:ascii="Times New Roman" w:hAnsi="Times New Roman"/>
          <w:sz w:val="28"/>
          <w:szCs w:val="28"/>
        </w:rPr>
        <w:t>Obstfeld</w:t>
      </w:r>
      <w:proofErr w:type="spellEnd"/>
      <w:r w:rsidRPr="0048472B">
        <w:rPr>
          <w:rFonts w:ascii="Times New Roman" w:hAnsi="Times New Roman"/>
          <w:sz w:val="28"/>
          <w:szCs w:val="28"/>
        </w:rPr>
        <w:t xml:space="preserve">, </w:t>
      </w:r>
      <w:proofErr w:type="spellStart"/>
      <w:r w:rsidRPr="0048472B">
        <w:rPr>
          <w:rFonts w:ascii="Times New Roman" w:hAnsi="Times New Roman"/>
          <w:sz w:val="28"/>
          <w:szCs w:val="28"/>
        </w:rPr>
        <w:t>Taylor</w:t>
      </w:r>
      <w:proofErr w:type="spellEnd"/>
      <w:r w:rsidRPr="0048472B">
        <w:rPr>
          <w:rFonts w:ascii="Times New Roman" w:hAnsi="Times New Roman"/>
          <w:sz w:val="28"/>
          <w:szCs w:val="28"/>
        </w:rPr>
        <w:t>, 1997), а в дальнейшем использовавшийся в других работах (</w:t>
      </w:r>
      <w:proofErr w:type="spellStart"/>
      <w:r w:rsidRPr="0048472B">
        <w:rPr>
          <w:rFonts w:ascii="Times New Roman" w:hAnsi="Times New Roman"/>
          <w:sz w:val="28"/>
          <w:szCs w:val="28"/>
        </w:rPr>
        <w:t>Krugman</w:t>
      </w:r>
      <w:proofErr w:type="spellEnd"/>
      <w:r w:rsidRPr="0048472B">
        <w:rPr>
          <w:rFonts w:ascii="Times New Roman" w:hAnsi="Times New Roman"/>
          <w:sz w:val="28"/>
          <w:szCs w:val="28"/>
        </w:rPr>
        <w:t xml:space="preserve">, 1999; </w:t>
      </w:r>
      <w:proofErr w:type="spellStart"/>
      <w:r w:rsidRPr="0048472B">
        <w:rPr>
          <w:rFonts w:ascii="Times New Roman" w:hAnsi="Times New Roman"/>
          <w:sz w:val="28"/>
          <w:szCs w:val="28"/>
        </w:rPr>
        <w:t>Aizenman</w:t>
      </w:r>
      <w:proofErr w:type="spellEnd"/>
      <w:r w:rsidRPr="0048472B">
        <w:rPr>
          <w:rFonts w:ascii="Times New Roman" w:hAnsi="Times New Roman"/>
          <w:sz w:val="28"/>
          <w:szCs w:val="28"/>
        </w:rPr>
        <w:t xml:space="preserve">, 2010), означает, что никакая страна не может одновременно иметь фиксированный обменный курс, независимую денежно-кредитную политику и свободное движение капитала. Попытка совместить три эти цели может приводить к финансовым и валютным кризисам. </w:t>
      </w:r>
    </w:p>
    <w:p w:rsidR="00E27894" w:rsidRPr="00E27894" w:rsidRDefault="00E27894" w:rsidP="00E27894">
      <w:pPr>
        <w:pStyle w:val="Default"/>
        <w:spacing w:line="360" w:lineRule="auto"/>
        <w:jc w:val="both"/>
        <w:rPr>
          <w:sz w:val="28"/>
          <w:szCs w:val="28"/>
        </w:rPr>
      </w:pPr>
      <w:r>
        <w:rPr>
          <w:b/>
          <w:bCs/>
          <w:sz w:val="28"/>
          <w:szCs w:val="28"/>
        </w:rPr>
        <w:t>2.3</w:t>
      </w:r>
      <w:r w:rsidRPr="00E27894">
        <w:rPr>
          <w:b/>
          <w:bCs/>
          <w:sz w:val="28"/>
          <w:szCs w:val="28"/>
        </w:rPr>
        <w:t xml:space="preserve"> Анализ правила денежно-кредитной политики </w:t>
      </w:r>
    </w:p>
    <w:p w:rsidR="00E27894" w:rsidRDefault="00E27894" w:rsidP="00E27894">
      <w:pPr>
        <w:pStyle w:val="Default"/>
        <w:spacing w:line="360" w:lineRule="auto"/>
        <w:ind w:firstLine="708"/>
        <w:jc w:val="both"/>
        <w:rPr>
          <w:color w:val="auto"/>
          <w:sz w:val="28"/>
          <w:szCs w:val="28"/>
        </w:rPr>
      </w:pPr>
      <w:r w:rsidRPr="00E27894">
        <w:rPr>
          <w:sz w:val="28"/>
          <w:szCs w:val="28"/>
        </w:rPr>
        <w:t xml:space="preserve">При анализе денежно-кредитной политики традиционно рассматривается некоторый набор правил или положений, которым придерживается центральный банк при проведении своей политики. Существует несколько подходов, которые используют центральные банки разных стран при принятии решений. Одна из стратегий заключается в следовании некоторому фиксированному правилу (так называемый </w:t>
      </w:r>
      <w:proofErr w:type="spellStart"/>
      <w:r w:rsidRPr="00E27894">
        <w:rPr>
          <w:i/>
          <w:iCs/>
          <w:sz w:val="28"/>
          <w:szCs w:val="28"/>
        </w:rPr>
        <w:t>rule-based</w:t>
      </w:r>
      <w:proofErr w:type="spellEnd"/>
      <w:r w:rsidRPr="00E27894">
        <w:rPr>
          <w:i/>
          <w:iCs/>
          <w:sz w:val="28"/>
          <w:szCs w:val="28"/>
        </w:rPr>
        <w:t xml:space="preserve"> </w:t>
      </w:r>
      <w:r w:rsidRPr="00E27894">
        <w:rPr>
          <w:sz w:val="28"/>
          <w:szCs w:val="28"/>
        </w:rPr>
        <w:t xml:space="preserve">подход), при котором центральный банк реагирует на изменения тех или иных макроэкономических показателей заранее определенным образом. К примеру, исторический анализ показывает, что ФРС США повышала процентные ставки при росте инфляции выше заданного уровня и снижала их при росте безработицы; более того, эта зависимость может быть выражена </w:t>
      </w:r>
      <w:r>
        <w:rPr>
          <w:sz w:val="28"/>
          <w:szCs w:val="28"/>
        </w:rPr>
        <w:t xml:space="preserve">с </w:t>
      </w:r>
      <w:r w:rsidRPr="00E27894">
        <w:rPr>
          <w:color w:val="auto"/>
          <w:sz w:val="28"/>
          <w:szCs w:val="28"/>
        </w:rPr>
        <w:t>помощью определенной формулы.</w:t>
      </w:r>
      <w:r>
        <w:rPr>
          <w:color w:val="auto"/>
          <w:sz w:val="28"/>
          <w:szCs w:val="28"/>
        </w:rPr>
        <w:t xml:space="preserve"> </w:t>
      </w:r>
    </w:p>
    <w:p w:rsidR="00E27894" w:rsidRDefault="00E27894" w:rsidP="00E27894">
      <w:pPr>
        <w:pStyle w:val="Default"/>
        <w:spacing w:line="360" w:lineRule="auto"/>
        <w:ind w:firstLine="708"/>
        <w:jc w:val="both"/>
        <w:rPr>
          <w:color w:val="auto"/>
          <w:sz w:val="28"/>
          <w:szCs w:val="28"/>
        </w:rPr>
      </w:pPr>
      <w:r w:rsidRPr="00E27894">
        <w:rPr>
          <w:color w:val="auto"/>
          <w:sz w:val="28"/>
          <w:szCs w:val="28"/>
        </w:rPr>
        <w:t>Противоположным подходом является гибкое управление (</w:t>
      </w:r>
      <w:proofErr w:type="spellStart"/>
      <w:r w:rsidRPr="00E27894">
        <w:rPr>
          <w:i/>
          <w:iCs/>
          <w:color w:val="auto"/>
          <w:sz w:val="28"/>
          <w:szCs w:val="28"/>
        </w:rPr>
        <w:t>discretionary</w:t>
      </w:r>
      <w:proofErr w:type="spellEnd"/>
      <w:r w:rsidRPr="00E27894">
        <w:rPr>
          <w:i/>
          <w:iCs/>
          <w:color w:val="auto"/>
          <w:sz w:val="28"/>
          <w:szCs w:val="28"/>
        </w:rPr>
        <w:t xml:space="preserve"> </w:t>
      </w:r>
      <w:proofErr w:type="spellStart"/>
      <w:r w:rsidRPr="00E27894">
        <w:rPr>
          <w:i/>
          <w:iCs/>
          <w:color w:val="auto"/>
          <w:sz w:val="28"/>
          <w:szCs w:val="28"/>
        </w:rPr>
        <w:t>policy</w:t>
      </w:r>
      <w:proofErr w:type="spellEnd"/>
      <w:r w:rsidRPr="00E27894">
        <w:rPr>
          <w:color w:val="auto"/>
          <w:sz w:val="28"/>
          <w:szCs w:val="28"/>
        </w:rPr>
        <w:t xml:space="preserve">), при котором регулятор принимает решения исходя из оценки текущей ситуации и в меньшей степени ориентируется на предыдущие решения. Каждый из этих методов имеет свои достоинства и недостатки. Так, например, политика, основанная на фиксированном правиле, является более </w:t>
      </w:r>
      <w:r w:rsidRPr="00E27894">
        <w:rPr>
          <w:color w:val="auto"/>
          <w:sz w:val="28"/>
          <w:szCs w:val="28"/>
        </w:rPr>
        <w:lastRenderedPageBreak/>
        <w:t>предсказуемой и вызывает больше доверия со стороны населения и компаний; гибкая политика дает центральному банку больше свободы и позволяет более оперативно реагировать на изменяющиеся условия. В чистом виде данные подходы встречаются достаточно редко и обычно на практике центральные банки комбинируют их в разной пропорции. Также на практике иногда встречаются случаи, когда по тем или иным причинам регуляторы не раскрывают полностью свои действия и помимо официальных задач преследуют еще и необъявленные цели (так называемые «скрытые цели»).</w:t>
      </w:r>
    </w:p>
    <w:p w:rsidR="00E27894" w:rsidRPr="00E27894" w:rsidRDefault="00E27894" w:rsidP="00E27894">
      <w:pPr>
        <w:pStyle w:val="Default"/>
        <w:spacing w:line="360" w:lineRule="auto"/>
        <w:ind w:firstLine="708"/>
        <w:jc w:val="both"/>
        <w:rPr>
          <w:color w:val="auto"/>
          <w:sz w:val="28"/>
          <w:szCs w:val="28"/>
        </w:rPr>
      </w:pPr>
      <w:r w:rsidRPr="00E27894">
        <w:rPr>
          <w:color w:val="auto"/>
          <w:sz w:val="28"/>
          <w:szCs w:val="28"/>
        </w:rPr>
        <w:t xml:space="preserve">Нашей целью является анализ денежно-кредитной политики, проводимой Центральным Банком России (Банк России) на протяжении 2000-2014 годов. Для этого были рассмотрены основные задачи регулятора, а также используемые им инструменты. Несмотря на то, что большую часть времени Банк России использовал достаточно гибкий подход при определении своей политики, часто меняя цели и инструменты, мы постарались оценить правило денежно-кредитной политики, которое бы наилучшим образом описывало поведение регулятора. Определение такого правила дало бы возможность численно оценить влияние тех или иных факторов на политику регулятора, а также позволило бы добиться лучшего понимания проводимой денежно-кредитной политики, ее влияния на экономику страны. Проведенный анализ позволяет ответить на вопрос, как будет действовать Банк России в тех или иных условиях. </w:t>
      </w:r>
    </w:p>
    <w:p w:rsidR="00E27894" w:rsidRDefault="00E27894" w:rsidP="00E27894">
      <w:pPr>
        <w:pStyle w:val="Default"/>
        <w:spacing w:line="360" w:lineRule="auto"/>
        <w:jc w:val="both"/>
        <w:rPr>
          <w:color w:val="auto"/>
          <w:sz w:val="28"/>
          <w:szCs w:val="28"/>
        </w:rPr>
      </w:pPr>
      <w:r w:rsidRPr="00E27894">
        <w:rPr>
          <w:color w:val="auto"/>
          <w:sz w:val="28"/>
          <w:szCs w:val="28"/>
        </w:rPr>
        <w:t xml:space="preserve">Денежно-кредитная политика Банка России претерпела достаточно сильные изменения за последние несколько лет. Если до 2008 года регулятор стремился управлять обменным курсом рубля и при этом сдерживать инфляцию в заданных рамках, то после кризиса 2008–2009 годов регулятор объявил о постепенном переходе к </w:t>
      </w:r>
      <w:proofErr w:type="spellStart"/>
      <w:r w:rsidRPr="00E27894">
        <w:rPr>
          <w:color w:val="auto"/>
          <w:sz w:val="28"/>
          <w:szCs w:val="28"/>
        </w:rPr>
        <w:t>таргетированию</w:t>
      </w:r>
      <w:proofErr w:type="spellEnd"/>
      <w:r w:rsidRPr="00E27894">
        <w:rPr>
          <w:color w:val="auto"/>
          <w:sz w:val="28"/>
          <w:szCs w:val="28"/>
        </w:rPr>
        <w:t xml:space="preserve"> инфляции и свободному обменному курсу. </w:t>
      </w:r>
    </w:p>
    <w:p w:rsidR="0092600B" w:rsidRDefault="00E27894" w:rsidP="0092600B">
      <w:pPr>
        <w:pStyle w:val="Default"/>
        <w:spacing w:line="360" w:lineRule="auto"/>
        <w:ind w:firstLine="708"/>
        <w:jc w:val="both"/>
        <w:rPr>
          <w:color w:val="auto"/>
          <w:sz w:val="28"/>
          <w:szCs w:val="28"/>
        </w:rPr>
      </w:pPr>
      <w:r w:rsidRPr="00E27894">
        <w:rPr>
          <w:color w:val="auto"/>
          <w:sz w:val="28"/>
          <w:szCs w:val="28"/>
        </w:rPr>
        <w:t>Вопрос оценки денежно-кредитной политики получил достаточное освещение в литературе. Так, например, предложенный Тейлором подход (</w:t>
      </w:r>
      <w:proofErr w:type="spellStart"/>
      <w:r w:rsidRPr="00E27894">
        <w:rPr>
          <w:color w:val="auto"/>
          <w:sz w:val="28"/>
          <w:szCs w:val="28"/>
        </w:rPr>
        <w:t>Taylor</w:t>
      </w:r>
      <w:proofErr w:type="spellEnd"/>
      <w:r w:rsidRPr="00E27894">
        <w:rPr>
          <w:color w:val="auto"/>
          <w:sz w:val="28"/>
          <w:szCs w:val="28"/>
        </w:rPr>
        <w:t xml:space="preserve">, 1993;1997) по оценке правил денежно-кредитной политики стал </w:t>
      </w:r>
      <w:r w:rsidRPr="00E27894">
        <w:rPr>
          <w:color w:val="auto"/>
          <w:sz w:val="28"/>
          <w:szCs w:val="28"/>
        </w:rPr>
        <w:lastRenderedPageBreak/>
        <w:t>общепризнанным стандартом в этой области и повсеместно использовался многими авторами (</w:t>
      </w:r>
      <w:proofErr w:type="spellStart"/>
      <w:r w:rsidRPr="00E27894">
        <w:rPr>
          <w:color w:val="auto"/>
          <w:sz w:val="28"/>
          <w:szCs w:val="28"/>
        </w:rPr>
        <w:t>Svensson</w:t>
      </w:r>
      <w:proofErr w:type="spellEnd"/>
      <w:r w:rsidRPr="00E27894">
        <w:rPr>
          <w:color w:val="auto"/>
          <w:sz w:val="28"/>
          <w:szCs w:val="28"/>
        </w:rPr>
        <w:t xml:space="preserve">, 1999; </w:t>
      </w:r>
      <w:proofErr w:type="spellStart"/>
      <w:r w:rsidRPr="00E27894">
        <w:rPr>
          <w:color w:val="auto"/>
          <w:sz w:val="28"/>
          <w:szCs w:val="28"/>
        </w:rPr>
        <w:t>Nelson</w:t>
      </w:r>
      <w:proofErr w:type="spellEnd"/>
      <w:r w:rsidRPr="00E27894">
        <w:rPr>
          <w:color w:val="auto"/>
          <w:sz w:val="28"/>
          <w:szCs w:val="28"/>
        </w:rPr>
        <w:t xml:space="preserve">, 2000). Основа этого метода заключается в том, что центральный банк изменяет процентные ставки в ответ на отклонение некоторых показателей (инфляции, выпуска, безработицы, валютного курса или их комбинаций) от целевых значений. Простота в использовании и интуитивность этого подхода объясняет его популярность среди исследователей, однако применительно к России этот метод дает достаточно противоречивые результаты, которые во многом зависят от выбора периода времени для оценки, а также от используемых зависимых и объясняющих переменных. </w:t>
      </w:r>
    </w:p>
    <w:p w:rsidR="00E27894" w:rsidRPr="00E27894" w:rsidRDefault="00E27894" w:rsidP="0092600B">
      <w:pPr>
        <w:pStyle w:val="Default"/>
        <w:spacing w:line="360" w:lineRule="auto"/>
        <w:ind w:firstLine="547"/>
        <w:jc w:val="both"/>
        <w:rPr>
          <w:color w:val="auto"/>
          <w:sz w:val="28"/>
          <w:szCs w:val="28"/>
        </w:rPr>
      </w:pPr>
      <w:r w:rsidRPr="00E27894">
        <w:rPr>
          <w:color w:val="auto"/>
          <w:sz w:val="28"/>
          <w:szCs w:val="28"/>
        </w:rPr>
        <w:t>В России за последние 15 лет произошло как минимум два серьезных изменения в политике регулятора: после кризиса 1998 года и финансового кризиса 2008 года, при этом менялись не только цели, но и на</w:t>
      </w:r>
      <w:r w:rsidR="0092600B">
        <w:rPr>
          <w:color w:val="auto"/>
          <w:sz w:val="28"/>
          <w:szCs w:val="28"/>
        </w:rPr>
        <w:t>бор используемых инструментов.</w:t>
      </w:r>
    </w:p>
    <w:p w:rsidR="00E27894" w:rsidRDefault="00E27894" w:rsidP="00E27894">
      <w:pPr>
        <w:pStyle w:val="Default"/>
        <w:rPr>
          <w:color w:val="auto"/>
        </w:rPr>
      </w:pPr>
    </w:p>
    <w:p w:rsidR="00241BC3" w:rsidRPr="00241BC3" w:rsidRDefault="00241BC3" w:rsidP="00241BC3">
      <w:pPr>
        <w:pStyle w:val="Default"/>
        <w:spacing w:line="360" w:lineRule="auto"/>
        <w:jc w:val="both"/>
        <w:rPr>
          <w:sz w:val="28"/>
          <w:szCs w:val="28"/>
        </w:rPr>
      </w:pPr>
      <w:r>
        <w:rPr>
          <w:b/>
          <w:bCs/>
          <w:sz w:val="28"/>
          <w:szCs w:val="28"/>
        </w:rPr>
        <w:t xml:space="preserve">2.4 </w:t>
      </w:r>
      <w:r w:rsidRPr="00241BC3">
        <w:rPr>
          <w:b/>
          <w:bCs/>
          <w:sz w:val="28"/>
          <w:szCs w:val="28"/>
        </w:rPr>
        <w:t xml:space="preserve">Описание денежно-кредитной политики в России </w:t>
      </w:r>
    </w:p>
    <w:p w:rsidR="00241BC3" w:rsidRPr="00241BC3" w:rsidRDefault="00241BC3" w:rsidP="00241BC3">
      <w:pPr>
        <w:pStyle w:val="Default"/>
        <w:spacing w:line="360" w:lineRule="auto"/>
        <w:ind w:firstLine="708"/>
        <w:jc w:val="both"/>
        <w:rPr>
          <w:sz w:val="28"/>
          <w:szCs w:val="28"/>
        </w:rPr>
      </w:pPr>
      <w:r w:rsidRPr="00241BC3">
        <w:rPr>
          <w:sz w:val="28"/>
          <w:szCs w:val="28"/>
        </w:rPr>
        <w:t xml:space="preserve">В современном мире центральные банки обладают рядом полномочий, а также обязанностей по поддержанию стабильности в денежно-кредитной сфере. Поэтому при оценке денежно-кредитной политики достаточно большое внимание уделяется целям, которые преследуют регуляторы. В качестве таких целей может служить </w:t>
      </w:r>
      <w:proofErr w:type="spellStart"/>
      <w:r w:rsidRPr="00241BC3">
        <w:rPr>
          <w:sz w:val="28"/>
          <w:szCs w:val="28"/>
        </w:rPr>
        <w:t>таргетирование</w:t>
      </w:r>
      <w:proofErr w:type="spellEnd"/>
      <w:r w:rsidRPr="00241BC3">
        <w:rPr>
          <w:sz w:val="28"/>
          <w:szCs w:val="28"/>
        </w:rPr>
        <w:t xml:space="preserve"> инфляции (темпов роста цен или самого уровня цен), управление обменным курсом или поддержание экономики (снижение уровня безработицы или поддержание выпуска). При этом некоторые из этих целей могут быть объединены, а некоторые являются взаимоисключающими. Также стоит отметить, что центральные банки в большинстве случаев не могут напрямую влиять на эти показатели и используют некоторый набор инструментов для достижения заданных величин, который включает в себя процентные ставки, операции на открытом рынке, резервные требования и другие. </w:t>
      </w:r>
    </w:p>
    <w:p w:rsidR="003D7482" w:rsidRDefault="00241BC3" w:rsidP="003D7482">
      <w:pPr>
        <w:pStyle w:val="Default"/>
        <w:spacing w:line="360" w:lineRule="auto"/>
        <w:ind w:firstLine="547"/>
        <w:jc w:val="both"/>
        <w:rPr>
          <w:color w:val="auto"/>
          <w:sz w:val="28"/>
          <w:szCs w:val="28"/>
        </w:rPr>
      </w:pPr>
      <w:r w:rsidRPr="00241BC3">
        <w:rPr>
          <w:sz w:val="28"/>
          <w:szCs w:val="28"/>
        </w:rPr>
        <w:lastRenderedPageBreak/>
        <w:t xml:space="preserve">Рассматривая денежно-кредитную политику в России, стоит принимать во внимание достаточно непродолжительный период времени, в течение которого Банк России проводил независимую политику, а также частые </w:t>
      </w:r>
      <w:r w:rsidRPr="00241BC3">
        <w:rPr>
          <w:color w:val="auto"/>
          <w:sz w:val="28"/>
          <w:szCs w:val="28"/>
        </w:rPr>
        <w:t>изменения в приоритетах и используемых инструментах. В разные периоды времени Банк России использовал разные наборы инструментов по абсорбированию ликвидности, операции по рефинансированию банков, операции на открытом рынке, изменение процентных ставок, а также менял требования по резервам.</w:t>
      </w:r>
    </w:p>
    <w:p w:rsidR="003D7482" w:rsidRDefault="00241BC3" w:rsidP="003D7482">
      <w:pPr>
        <w:pStyle w:val="Default"/>
        <w:spacing w:line="360" w:lineRule="auto"/>
        <w:ind w:firstLine="547"/>
        <w:jc w:val="both"/>
        <w:rPr>
          <w:color w:val="auto"/>
          <w:sz w:val="28"/>
          <w:szCs w:val="28"/>
        </w:rPr>
      </w:pPr>
      <w:r w:rsidRPr="00241BC3">
        <w:rPr>
          <w:color w:val="auto"/>
          <w:sz w:val="28"/>
          <w:szCs w:val="28"/>
        </w:rPr>
        <w:t xml:space="preserve"> Длительное время из-за недостаточно развитого механизма процентных ставок регулятор был вынужден в качестве промежуточной цели использовать объем денежной массы (М1 и М2). В более ранних работах (</w:t>
      </w:r>
      <w:proofErr w:type="spellStart"/>
      <w:r w:rsidRPr="00241BC3">
        <w:rPr>
          <w:color w:val="auto"/>
          <w:sz w:val="28"/>
          <w:szCs w:val="28"/>
        </w:rPr>
        <w:t>Esanov</w:t>
      </w:r>
      <w:proofErr w:type="spellEnd"/>
      <w:r w:rsidRPr="00241BC3">
        <w:rPr>
          <w:color w:val="auto"/>
          <w:sz w:val="28"/>
          <w:szCs w:val="28"/>
        </w:rPr>
        <w:t xml:space="preserve"> </w:t>
      </w:r>
      <w:proofErr w:type="spellStart"/>
      <w:r w:rsidRPr="00241BC3">
        <w:rPr>
          <w:color w:val="auto"/>
          <w:sz w:val="28"/>
          <w:szCs w:val="28"/>
        </w:rPr>
        <w:t>et</w:t>
      </w:r>
      <w:proofErr w:type="spellEnd"/>
      <w:r w:rsidRPr="00241BC3">
        <w:rPr>
          <w:color w:val="auto"/>
          <w:sz w:val="28"/>
          <w:szCs w:val="28"/>
        </w:rPr>
        <w:t xml:space="preserve"> </w:t>
      </w:r>
      <w:proofErr w:type="spellStart"/>
      <w:r w:rsidRPr="00241BC3">
        <w:rPr>
          <w:color w:val="auto"/>
          <w:sz w:val="28"/>
          <w:szCs w:val="28"/>
        </w:rPr>
        <w:t>al</w:t>
      </w:r>
      <w:proofErr w:type="spellEnd"/>
      <w:r w:rsidRPr="00241BC3">
        <w:rPr>
          <w:color w:val="auto"/>
          <w:sz w:val="28"/>
          <w:szCs w:val="28"/>
        </w:rPr>
        <w:t xml:space="preserve">., 2005; </w:t>
      </w:r>
      <w:proofErr w:type="spellStart"/>
      <w:r w:rsidRPr="00241BC3">
        <w:rPr>
          <w:color w:val="auto"/>
          <w:sz w:val="28"/>
          <w:szCs w:val="28"/>
        </w:rPr>
        <w:t>Vdovichenko</w:t>
      </w:r>
      <w:proofErr w:type="spellEnd"/>
      <w:r w:rsidRPr="00241BC3">
        <w:rPr>
          <w:color w:val="auto"/>
          <w:sz w:val="28"/>
          <w:szCs w:val="28"/>
        </w:rPr>
        <w:t xml:space="preserve">, </w:t>
      </w:r>
      <w:proofErr w:type="spellStart"/>
      <w:r w:rsidRPr="00241BC3">
        <w:rPr>
          <w:color w:val="auto"/>
          <w:sz w:val="28"/>
          <w:szCs w:val="28"/>
        </w:rPr>
        <w:t>Voronina</w:t>
      </w:r>
      <w:proofErr w:type="spellEnd"/>
      <w:r w:rsidRPr="00241BC3">
        <w:rPr>
          <w:color w:val="auto"/>
          <w:sz w:val="28"/>
          <w:szCs w:val="28"/>
        </w:rPr>
        <w:t xml:space="preserve">, 2006) отмечается, что действия Банка России достаточно сильно изменились после кризиса 1998 года, так как регулятор стал больше уделять внимания накоплению международных резервов. Однако уже через несколько лет стратегия снова изменилась, и с 2004-го по 2008 годы одной из целей стало предотвращение чрезмерного укрепления рубля. </w:t>
      </w:r>
    </w:p>
    <w:p w:rsidR="0092600B" w:rsidRPr="00241BC3" w:rsidRDefault="00241BC3" w:rsidP="003D7482">
      <w:pPr>
        <w:pStyle w:val="Default"/>
        <w:spacing w:line="360" w:lineRule="auto"/>
        <w:ind w:firstLine="547"/>
        <w:jc w:val="both"/>
        <w:rPr>
          <w:color w:val="auto"/>
          <w:sz w:val="28"/>
          <w:szCs w:val="28"/>
        </w:rPr>
      </w:pPr>
      <w:r w:rsidRPr="00241BC3">
        <w:rPr>
          <w:color w:val="auto"/>
          <w:sz w:val="28"/>
          <w:szCs w:val="28"/>
        </w:rPr>
        <w:t xml:space="preserve">Для того чтобы удержать обменный курс рубля в заданных границах, Банк России был вынужден проводить масштабные валютные интервенции, покупая доллары и эмитируя рубли, что в свою очередь способствовало росту денежной массы (Рисунок 1.1). Во время кризиса 2008–2009 годов наблюдалась обратная картина, когда для сдерживания девальвации Банк России продавал валюту, что приводило к сокращению рублевой денежной массы. После кризиса 2008–2009 годов регулятор объявил о постепенном переходе к </w:t>
      </w:r>
      <w:proofErr w:type="spellStart"/>
      <w:r w:rsidRPr="00241BC3">
        <w:rPr>
          <w:color w:val="auto"/>
          <w:sz w:val="28"/>
          <w:szCs w:val="28"/>
        </w:rPr>
        <w:t>таргетированию</w:t>
      </w:r>
      <w:proofErr w:type="spellEnd"/>
      <w:r w:rsidRPr="00241BC3">
        <w:rPr>
          <w:color w:val="auto"/>
          <w:sz w:val="28"/>
          <w:szCs w:val="28"/>
        </w:rPr>
        <w:t xml:space="preserve"> инфляции и к более гибкому </w:t>
      </w:r>
      <w:proofErr w:type="spellStart"/>
      <w:r w:rsidRPr="00241BC3">
        <w:rPr>
          <w:color w:val="auto"/>
          <w:sz w:val="28"/>
          <w:szCs w:val="28"/>
        </w:rPr>
        <w:t>курсообразованию</w:t>
      </w:r>
      <w:proofErr w:type="spellEnd"/>
      <w:r w:rsidRPr="00241BC3">
        <w:rPr>
          <w:color w:val="auto"/>
          <w:sz w:val="28"/>
          <w:szCs w:val="28"/>
        </w:rPr>
        <w:t>. В результате этих изменений уменьшился объем валютных интервенций и снизились темпы роста денежной массы. В то же время Банк России стал уделять больше внимания внутренним краткосрочным ставкам и сузил официальный коридор ставок (разницу между ставками по депозитам и по операциям РЕПО), в результате чего волатильность краткосрочных ставок денежного рынка сильно снизилась (Рисунок 1.2).</w:t>
      </w:r>
    </w:p>
    <w:p w:rsidR="0092600B" w:rsidRDefault="0092600B" w:rsidP="00E27894">
      <w:pPr>
        <w:pStyle w:val="Default"/>
        <w:rPr>
          <w:color w:val="auto"/>
        </w:rPr>
      </w:pPr>
    </w:p>
    <w:p w:rsidR="0092600B" w:rsidRDefault="0092600B" w:rsidP="00E27894">
      <w:pPr>
        <w:pStyle w:val="Default"/>
        <w:rPr>
          <w:color w:val="auto"/>
        </w:rPr>
      </w:pPr>
    </w:p>
    <w:p w:rsidR="0092600B" w:rsidRDefault="0092600B" w:rsidP="00E27894">
      <w:pPr>
        <w:pStyle w:val="Default"/>
        <w:rPr>
          <w:color w:val="auto"/>
        </w:rPr>
      </w:pPr>
    </w:p>
    <w:p w:rsidR="005B0A84" w:rsidRPr="005B0A84" w:rsidRDefault="005B0A84" w:rsidP="005B0A84">
      <w:pPr>
        <w:pStyle w:val="Default"/>
        <w:jc w:val="both"/>
        <w:rPr>
          <w:sz w:val="28"/>
          <w:szCs w:val="28"/>
        </w:rPr>
      </w:pPr>
      <w:r w:rsidRPr="005B0A84">
        <w:rPr>
          <w:sz w:val="28"/>
          <w:szCs w:val="28"/>
        </w:rPr>
        <w:lastRenderedPageBreak/>
        <w:t xml:space="preserve">Пытаясь добиться снижения инфляции и удержать обменный курс от чрезмерного укрепления, регулятор в итоге смог достичь только цели по удержанию номинального обменного курса. Проведя анализ отчетов по денежно-кредитной политике за период с 1999 по 2014 год1, мы составили набор официальных целей, а так же сравнили их с фактическими результатами (Таблица 1.1). </w:t>
      </w:r>
    </w:p>
    <w:tbl>
      <w:tblPr>
        <w:tblW w:w="8480" w:type="dxa"/>
        <w:tblInd w:w="94" w:type="dxa"/>
        <w:tblLook w:val="04A0" w:firstRow="1" w:lastRow="0" w:firstColumn="1" w:lastColumn="0" w:noHBand="0" w:noVBand="1"/>
      </w:tblPr>
      <w:tblGrid>
        <w:gridCol w:w="960"/>
        <w:gridCol w:w="1240"/>
        <w:gridCol w:w="1240"/>
        <w:gridCol w:w="1240"/>
        <w:gridCol w:w="1399"/>
        <w:gridCol w:w="1538"/>
        <w:gridCol w:w="1427"/>
      </w:tblGrid>
      <w:tr w:rsidR="00856418" w:rsidRPr="00856418" w:rsidTr="00856418">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rPr>
                <w:color w:val="000000"/>
                <w:lang w:eastAsia="ru-RU"/>
              </w:rPr>
            </w:pPr>
            <w:r w:rsidRPr="00856418">
              <w:rPr>
                <w:color w:val="000000"/>
                <w:lang w:eastAsia="ru-RU"/>
              </w:rPr>
              <w:t> </w:t>
            </w:r>
          </w:p>
        </w:tc>
        <w:tc>
          <w:tcPr>
            <w:tcW w:w="3720" w:type="dxa"/>
            <w:gridSpan w:val="3"/>
            <w:tcBorders>
              <w:top w:val="single" w:sz="4" w:space="0" w:color="auto"/>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Цели по инфляции, % г/г</w:t>
            </w:r>
          </w:p>
        </w:tc>
        <w:tc>
          <w:tcPr>
            <w:tcW w:w="12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Фактическая инфляция</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Цель/Прогноз по М2, % г/г</w:t>
            </w: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Фактический рост М2, % г/г</w:t>
            </w:r>
          </w:p>
        </w:tc>
      </w:tr>
      <w:tr w:rsidR="00856418" w:rsidRPr="00856418" w:rsidTr="00856418">
        <w:trPr>
          <w:trHeight w:val="6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56418" w:rsidRPr="00856418" w:rsidRDefault="00856418" w:rsidP="00856418">
            <w:pPr>
              <w:spacing w:after="0" w:line="240" w:lineRule="auto"/>
              <w:rPr>
                <w:color w:val="000000"/>
                <w:lang w:eastAsia="ru-RU"/>
              </w:rPr>
            </w:pPr>
          </w:p>
        </w:tc>
        <w:tc>
          <w:tcPr>
            <w:tcW w:w="1240" w:type="dxa"/>
            <w:tcBorders>
              <w:top w:val="nil"/>
              <w:left w:val="nil"/>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Текущий год</w:t>
            </w:r>
          </w:p>
        </w:tc>
        <w:tc>
          <w:tcPr>
            <w:tcW w:w="1240" w:type="dxa"/>
            <w:tcBorders>
              <w:top w:val="nil"/>
              <w:left w:val="nil"/>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1</w:t>
            </w:r>
          </w:p>
        </w:tc>
        <w:tc>
          <w:tcPr>
            <w:tcW w:w="1240" w:type="dxa"/>
            <w:tcBorders>
              <w:top w:val="nil"/>
              <w:left w:val="nil"/>
              <w:bottom w:val="single" w:sz="4" w:space="0" w:color="auto"/>
              <w:right w:val="single" w:sz="4" w:space="0" w:color="auto"/>
            </w:tcBorders>
            <w:shd w:val="clear" w:color="auto" w:fill="auto"/>
            <w:vAlign w:val="bottom"/>
            <w:hideMark/>
          </w:tcPr>
          <w:p w:rsidR="00856418" w:rsidRPr="00856418" w:rsidRDefault="00856418" w:rsidP="00856418">
            <w:pPr>
              <w:spacing w:after="0" w:line="240" w:lineRule="auto"/>
              <w:jc w:val="center"/>
              <w:rPr>
                <w:color w:val="000000"/>
                <w:lang w:eastAsia="ru-RU"/>
              </w:rPr>
            </w:pPr>
            <w:r w:rsidRPr="00856418">
              <w:rPr>
                <w:color w:val="000000"/>
                <w:lang w:eastAsia="ru-RU"/>
              </w:rPr>
              <w:t>2</w:t>
            </w: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856418" w:rsidRPr="00856418" w:rsidRDefault="00856418" w:rsidP="00856418">
            <w:pPr>
              <w:spacing w:after="0" w:line="240" w:lineRule="auto"/>
              <w:rPr>
                <w:color w:val="000000"/>
                <w:lang w:eastAsia="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856418" w:rsidRPr="00856418" w:rsidRDefault="00856418" w:rsidP="00856418">
            <w:pPr>
              <w:spacing w:after="0" w:line="240" w:lineRule="auto"/>
              <w:rPr>
                <w:color w:val="000000"/>
                <w:lang w:eastAsia="ru-RU"/>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rsidR="00856418" w:rsidRPr="00856418" w:rsidRDefault="00856418" w:rsidP="00856418">
            <w:pPr>
              <w:spacing w:after="0" w:line="240" w:lineRule="auto"/>
              <w:rPr>
                <w:color w:val="000000"/>
                <w:lang w:eastAsia="ru-RU"/>
              </w:rPr>
            </w:pP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1999</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36,50%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18-26%</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18%</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20,20%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21 - 25%</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61%</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2001</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12 - 14%</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18,60%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27 - 34%</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40%</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2002</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12 - 14%</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15,10%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22 - 28%</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32%</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2003</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10 - 12%</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12,00%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20 - 26%</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50%</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2004</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8 - 10%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6,5 - 8,5%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5,5 - 7,5%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11,70%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19-25%</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36%</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7,5 - 8,5%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6,0 - 7,5%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5,0 - 6,5%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10,90%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20 - 32%</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39%</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2006</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7,0 - 8,5%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4,0 - 5,5%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9,00%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19 - 28%</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49%</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2007</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4,0 - 5,5%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4,0 - 5,5%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11,90%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19 - 29%</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43%</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2008</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6 - 7%</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5,5 - 6,5%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5-6%</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13,30%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24 - 30%</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2009</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7-8,5%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5,5 - 7,0%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5,0 - 6,8%</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8,80%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19 - 28%</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18%</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2010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9 - 10%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7 - 8%</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5 - 7%</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8,80%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8 - 21%</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31%</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2011</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6-7%</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7 - 8%</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4,5-5,5%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6,10%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11 – 23%</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23%</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2012</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5-6%</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4,5-5,5%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6,60%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12 - 20%</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12%</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2013</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5-6%</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6,50%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9-18%</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15%</w:t>
            </w:r>
          </w:p>
        </w:tc>
      </w:tr>
      <w:tr w:rsidR="00856418" w:rsidRPr="00856418" w:rsidTr="0085641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right"/>
              <w:rPr>
                <w:rFonts w:ascii="Times New Roman" w:hAnsi="Times New Roman"/>
                <w:color w:val="000000"/>
                <w:lang w:eastAsia="ru-RU"/>
              </w:rPr>
            </w:pPr>
            <w:r w:rsidRPr="00856418">
              <w:rPr>
                <w:rFonts w:ascii="Times New Roman" w:hAnsi="Times New Roman"/>
                <w:color w:val="000000"/>
                <w:lang w:eastAsia="ru-RU"/>
              </w:rPr>
              <w:t>2014</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5%</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4,50%</w:t>
            </w:r>
          </w:p>
        </w:tc>
        <w:tc>
          <w:tcPr>
            <w:tcW w:w="124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4%</w:t>
            </w:r>
          </w:p>
        </w:tc>
        <w:tc>
          <w:tcPr>
            <w:tcW w:w="1211"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11,40%</w:t>
            </w:r>
          </w:p>
        </w:tc>
        <w:tc>
          <w:tcPr>
            <w:tcW w:w="1350"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 </w:t>
            </w:r>
          </w:p>
        </w:tc>
        <w:tc>
          <w:tcPr>
            <w:tcW w:w="1239" w:type="dxa"/>
            <w:tcBorders>
              <w:top w:val="nil"/>
              <w:left w:val="nil"/>
              <w:bottom w:val="single" w:sz="4" w:space="0" w:color="auto"/>
              <w:right w:val="single" w:sz="4" w:space="0" w:color="auto"/>
            </w:tcBorders>
            <w:shd w:val="clear" w:color="auto" w:fill="auto"/>
            <w:noWrap/>
            <w:vAlign w:val="bottom"/>
            <w:hideMark/>
          </w:tcPr>
          <w:p w:rsidR="00856418" w:rsidRPr="00856418" w:rsidRDefault="00856418" w:rsidP="00856418">
            <w:pPr>
              <w:spacing w:after="0" w:line="240" w:lineRule="auto"/>
              <w:jc w:val="center"/>
              <w:rPr>
                <w:rFonts w:ascii="Times New Roman" w:hAnsi="Times New Roman"/>
                <w:color w:val="000000"/>
                <w:lang w:eastAsia="ru-RU"/>
              </w:rPr>
            </w:pPr>
            <w:r w:rsidRPr="00856418">
              <w:rPr>
                <w:rFonts w:ascii="Times New Roman" w:hAnsi="Times New Roman"/>
                <w:color w:val="000000"/>
                <w:lang w:eastAsia="ru-RU"/>
              </w:rPr>
              <w:t>2%</w:t>
            </w:r>
          </w:p>
        </w:tc>
      </w:tr>
    </w:tbl>
    <w:p w:rsidR="007B78C0" w:rsidRDefault="007B78C0" w:rsidP="0048472B">
      <w:pPr>
        <w:spacing w:before="240" w:line="360" w:lineRule="auto"/>
        <w:ind w:firstLine="547"/>
        <w:jc w:val="both"/>
        <w:rPr>
          <w:rFonts w:ascii="Times New Roman" w:hAnsi="Times New Roman"/>
          <w:sz w:val="28"/>
          <w:szCs w:val="28"/>
        </w:rPr>
      </w:pPr>
    </w:p>
    <w:p w:rsidR="003725DB" w:rsidRPr="00C87463" w:rsidRDefault="005B0A84" w:rsidP="0048472B">
      <w:pPr>
        <w:spacing w:before="240" w:line="360" w:lineRule="auto"/>
        <w:ind w:firstLine="547"/>
        <w:jc w:val="both"/>
        <w:rPr>
          <w:rFonts w:ascii="Times New Roman" w:hAnsi="Times New Roman"/>
          <w:sz w:val="28"/>
          <w:szCs w:val="28"/>
        </w:rPr>
      </w:pPr>
      <w:r>
        <w:rPr>
          <w:rFonts w:ascii="Times New Roman" w:hAnsi="Times New Roman"/>
          <w:noProof/>
          <w:sz w:val="28"/>
          <w:szCs w:val="28"/>
          <w:lang w:eastAsia="ru-RU"/>
        </w:rPr>
        <w:drawing>
          <wp:anchor distT="0" distB="0" distL="114300" distR="114300" simplePos="0" relativeHeight="251660288" behindDoc="0" locked="0" layoutInCell="1" allowOverlap="1">
            <wp:simplePos x="0" y="0"/>
            <wp:positionH relativeFrom="margin">
              <wp:posOffset>2751455</wp:posOffset>
            </wp:positionH>
            <wp:positionV relativeFrom="margin">
              <wp:posOffset>-125095</wp:posOffset>
            </wp:positionV>
            <wp:extent cx="3361055" cy="2406650"/>
            <wp:effectExtent l="19050" t="0" r="0" b="0"/>
            <wp:wrapSquare wrapText="bothSides"/>
            <wp:docPr id="19" name="Рисунок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21"/>
                    <a:stretch>
                      <a:fillRect/>
                    </a:stretch>
                  </pic:blipFill>
                  <pic:spPr>
                    <a:xfrm>
                      <a:off x="0" y="0"/>
                      <a:ext cx="3361055" cy="2406650"/>
                    </a:xfrm>
                    <a:prstGeom prst="rect">
                      <a:avLst/>
                    </a:prstGeom>
                  </pic:spPr>
                </pic:pic>
              </a:graphicData>
            </a:graphic>
          </wp:anchor>
        </w:drawing>
      </w:r>
      <w:r>
        <w:rPr>
          <w:rFonts w:ascii="Times New Roman" w:hAnsi="Times New Roman"/>
          <w:noProof/>
          <w:sz w:val="28"/>
          <w:szCs w:val="28"/>
          <w:lang w:eastAsia="ru-RU"/>
        </w:rPr>
        <w:drawing>
          <wp:anchor distT="0" distB="0" distL="114300" distR="114300" simplePos="0" relativeHeight="251659264" behindDoc="0" locked="0" layoutInCell="1" allowOverlap="1">
            <wp:simplePos x="0" y="0"/>
            <wp:positionH relativeFrom="margin">
              <wp:posOffset>-440055</wp:posOffset>
            </wp:positionH>
            <wp:positionV relativeFrom="margin">
              <wp:posOffset>-107950</wp:posOffset>
            </wp:positionV>
            <wp:extent cx="3352800" cy="2389505"/>
            <wp:effectExtent l="19050" t="0" r="0" b="0"/>
            <wp:wrapSquare wrapText="bothSides"/>
            <wp:docPr id="18" name="Рисунок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2"/>
                    <a:stretch>
                      <a:fillRect/>
                    </a:stretch>
                  </pic:blipFill>
                  <pic:spPr>
                    <a:xfrm>
                      <a:off x="0" y="0"/>
                      <a:ext cx="3352800" cy="2389505"/>
                    </a:xfrm>
                    <a:prstGeom prst="rect">
                      <a:avLst/>
                    </a:prstGeom>
                  </pic:spPr>
                </pic:pic>
              </a:graphicData>
            </a:graphic>
          </wp:anchor>
        </w:drawing>
      </w:r>
      <w:r w:rsidR="0048472B" w:rsidRPr="0048472B">
        <w:rPr>
          <w:rFonts w:ascii="Times New Roman" w:hAnsi="Times New Roman"/>
          <w:sz w:val="28"/>
          <w:szCs w:val="28"/>
        </w:rPr>
        <w:t>В качестве примеров можно рассмотреть финансовые кризисы в Мексике (1994-1995), в Азии (1997-1998), в Аргентине (2001-2002) (</w:t>
      </w:r>
      <w:proofErr w:type="spellStart"/>
      <w:r w:rsidR="0048472B" w:rsidRPr="0048472B">
        <w:rPr>
          <w:rFonts w:ascii="Times New Roman" w:hAnsi="Times New Roman"/>
          <w:sz w:val="28"/>
          <w:szCs w:val="28"/>
        </w:rPr>
        <w:t>Patnaik</w:t>
      </w:r>
      <w:proofErr w:type="spellEnd"/>
      <w:r w:rsidR="0048472B" w:rsidRPr="0048472B">
        <w:rPr>
          <w:rFonts w:ascii="Times New Roman" w:hAnsi="Times New Roman"/>
          <w:sz w:val="28"/>
          <w:szCs w:val="28"/>
        </w:rPr>
        <w:t xml:space="preserve">, </w:t>
      </w:r>
      <w:proofErr w:type="spellStart"/>
      <w:r w:rsidR="0048472B" w:rsidRPr="0048472B">
        <w:rPr>
          <w:rFonts w:ascii="Times New Roman" w:hAnsi="Times New Roman"/>
          <w:sz w:val="28"/>
          <w:szCs w:val="28"/>
        </w:rPr>
        <w:t>Shah</w:t>
      </w:r>
      <w:proofErr w:type="spellEnd"/>
      <w:r w:rsidR="0048472B" w:rsidRPr="0048472B">
        <w:rPr>
          <w:rFonts w:ascii="Times New Roman" w:hAnsi="Times New Roman"/>
          <w:sz w:val="28"/>
          <w:szCs w:val="28"/>
        </w:rPr>
        <w:t xml:space="preserve">, 2010; </w:t>
      </w:r>
      <w:proofErr w:type="spellStart"/>
      <w:r w:rsidR="0048472B" w:rsidRPr="0048472B">
        <w:rPr>
          <w:rFonts w:ascii="Times New Roman" w:hAnsi="Times New Roman"/>
          <w:sz w:val="28"/>
          <w:szCs w:val="28"/>
        </w:rPr>
        <w:t>Aizenman</w:t>
      </w:r>
      <w:proofErr w:type="spellEnd"/>
      <w:r w:rsidR="0048472B" w:rsidRPr="0048472B">
        <w:rPr>
          <w:rFonts w:ascii="Times New Roman" w:hAnsi="Times New Roman"/>
          <w:sz w:val="28"/>
          <w:szCs w:val="28"/>
        </w:rPr>
        <w:t>, 2010).</w:t>
      </w:r>
      <w:r w:rsidR="0048472B">
        <w:rPr>
          <w:sz w:val="28"/>
          <w:szCs w:val="28"/>
        </w:rPr>
        <w:t xml:space="preserve"> </w:t>
      </w:r>
      <w:r w:rsidR="00EA025F" w:rsidRPr="00C87463">
        <w:rPr>
          <w:rFonts w:ascii="Times New Roman" w:hAnsi="Times New Roman"/>
          <w:sz w:val="28"/>
          <w:szCs w:val="28"/>
        </w:rPr>
        <w:t xml:space="preserve">В Федеральном Законе «О Центральном Банке Российской </w:t>
      </w:r>
      <w:r w:rsidR="00EA025F" w:rsidRPr="00C87463">
        <w:rPr>
          <w:rFonts w:ascii="Times New Roman" w:hAnsi="Times New Roman"/>
          <w:sz w:val="28"/>
          <w:szCs w:val="28"/>
        </w:rPr>
        <w:lastRenderedPageBreak/>
        <w:t>Федерации (Банке России)» закреплены следующие инструменты и методы, с помощью которых Банк России осуществляет свою деятельность:</w:t>
      </w:r>
      <w:r w:rsidR="00035D86" w:rsidRPr="00C87463">
        <w:rPr>
          <w:rFonts w:ascii="Times New Roman" w:hAnsi="Times New Roman"/>
          <w:sz w:val="28"/>
          <w:szCs w:val="28"/>
        </w:rPr>
        <w:t xml:space="preserve"> </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1) процентные ставки по операциям Банка России;</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2) обязательные резервные требования</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3) операции на открытом рынке;</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4) рефинансирование кредитных организаций;</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5) валютные интервенции;</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6) установление ориентиров роста денежной массы;</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7) прямые количественные ограничения;</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8) эмиссия облигаций от своего имени;</w:t>
      </w:r>
    </w:p>
    <w:p w:rsidR="00E66B10" w:rsidRPr="00C87463" w:rsidRDefault="00E66B10" w:rsidP="003725DB">
      <w:pPr>
        <w:spacing w:after="0" w:line="360" w:lineRule="auto"/>
        <w:ind w:firstLine="547"/>
        <w:jc w:val="both"/>
        <w:rPr>
          <w:rFonts w:ascii="Times New Roman" w:hAnsi="Times New Roman"/>
          <w:sz w:val="28"/>
          <w:szCs w:val="28"/>
        </w:rPr>
      </w:pPr>
      <w:r w:rsidRPr="00C87463">
        <w:rPr>
          <w:rFonts w:ascii="Times New Roman" w:hAnsi="Times New Roman"/>
          <w:sz w:val="28"/>
          <w:szCs w:val="28"/>
        </w:rPr>
        <w:t>9) другие инструменты, определенные Банком России.</w:t>
      </w:r>
    </w:p>
    <w:p w:rsidR="002C09CA" w:rsidRPr="00C87463" w:rsidRDefault="002C09CA" w:rsidP="002C09CA">
      <w:pPr>
        <w:pStyle w:val="1"/>
        <w:rPr>
          <w:szCs w:val="28"/>
        </w:rPr>
      </w:pPr>
      <w:bookmarkStart w:id="9" w:name="_Toc437453863"/>
      <w:r w:rsidRPr="00C87463">
        <w:rPr>
          <w:szCs w:val="28"/>
        </w:rPr>
        <w:t>2.2.1 Процентные ставки по операциям ЦБ РФ</w:t>
      </w:r>
      <w:bookmarkEnd w:id="9"/>
    </w:p>
    <w:p w:rsidR="00F10112" w:rsidRPr="00C87463" w:rsidRDefault="003725DB"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П</w:t>
      </w:r>
      <w:r w:rsidR="00D030AE" w:rsidRPr="00C87463">
        <w:rPr>
          <w:rFonts w:ascii="Times New Roman" w:hAnsi="Times New Roman"/>
          <w:sz w:val="28"/>
          <w:szCs w:val="28"/>
        </w:rPr>
        <w:t xml:space="preserve">ри проведении процентной политики, Банк России использует систему процентных ставок, которая в основном соответствует мировой практике. </w:t>
      </w:r>
      <w:r w:rsidR="00FB3243" w:rsidRPr="00C87463">
        <w:rPr>
          <w:rFonts w:ascii="Times New Roman" w:hAnsi="Times New Roman"/>
          <w:sz w:val="28"/>
          <w:szCs w:val="28"/>
        </w:rPr>
        <w:t xml:space="preserve">Процентные ставки по специализированным инструментам Банка России приведены в Приложении 1. </w:t>
      </w:r>
      <w:r w:rsidR="00D030AE" w:rsidRPr="00C87463">
        <w:rPr>
          <w:rFonts w:ascii="Times New Roman" w:hAnsi="Times New Roman"/>
          <w:sz w:val="28"/>
          <w:szCs w:val="28"/>
        </w:rPr>
        <w:t>Данная система включает в себя ставки по кредитным и депозитным операциям Банка</w:t>
      </w:r>
      <w:r w:rsidR="00FB3243" w:rsidRPr="00C87463">
        <w:rPr>
          <w:rFonts w:ascii="Times New Roman" w:hAnsi="Times New Roman"/>
          <w:sz w:val="28"/>
          <w:szCs w:val="28"/>
        </w:rPr>
        <w:t>, а также ключевую ставку</w:t>
      </w:r>
      <w:r w:rsidR="00D030AE" w:rsidRPr="00C87463">
        <w:rPr>
          <w:rFonts w:ascii="Times New Roman" w:hAnsi="Times New Roman"/>
          <w:sz w:val="28"/>
          <w:szCs w:val="28"/>
        </w:rPr>
        <w:t xml:space="preserve">. В России основным показателем и инструментом проведения процентной политики центрального банка является </w:t>
      </w:r>
      <w:r w:rsidRPr="00C87463">
        <w:rPr>
          <w:rFonts w:ascii="Times New Roman" w:hAnsi="Times New Roman"/>
          <w:sz w:val="28"/>
          <w:szCs w:val="28"/>
        </w:rPr>
        <w:t>ключевая ставка</w:t>
      </w:r>
      <w:r w:rsidR="00D030AE" w:rsidRPr="00C87463">
        <w:rPr>
          <w:rFonts w:ascii="Times New Roman" w:hAnsi="Times New Roman"/>
          <w:sz w:val="28"/>
          <w:szCs w:val="28"/>
        </w:rPr>
        <w:t>.</w:t>
      </w:r>
      <w:r w:rsidR="00035D86" w:rsidRPr="00C87463">
        <w:rPr>
          <w:rFonts w:ascii="Times New Roman" w:hAnsi="Times New Roman"/>
          <w:sz w:val="28"/>
          <w:szCs w:val="28"/>
        </w:rPr>
        <w:t xml:space="preserve"> </w:t>
      </w:r>
      <w:r w:rsidR="007017DB" w:rsidRPr="00C87463">
        <w:rPr>
          <w:rFonts w:ascii="Times New Roman" w:hAnsi="Times New Roman"/>
          <w:sz w:val="28"/>
          <w:szCs w:val="28"/>
        </w:rPr>
        <w:t xml:space="preserve">Изменение </w:t>
      </w:r>
      <w:r w:rsidR="005274D6" w:rsidRPr="00C87463">
        <w:rPr>
          <w:rFonts w:ascii="Times New Roman" w:hAnsi="Times New Roman"/>
          <w:sz w:val="28"/>
          <w:szCs w:val="28"/>
        </w:rPr>
        <w:t>ключевой ставки</w:t>
      </w:r>
      <w:r w:rsidR="007017DB" w:rsidRPr="00C87463">
        <w:rPr>
          <w:rFonts w:ascii="Times New Roman" w:hAnsi="Times New Roman"/>
          <w:sz w:val="28"/>
          <w:szCs w:val="28"/>
        </w:rPr>
        <w:t xml:space="preserve"> информирует участников денежного рынка об оценке Центральным Банком сложившегося уровня инфляции и перспектив е ее развития, тем самым оказывая влияние на инфляционные ожидания хозяйствующих субъектов.</w:t>
      </w:r>
    </w:p>
    <w:p w:rsidR="00402BDA" w:rsidRPr="00C87463" w:rsidRDefault="005274D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Динамика изменения ключевой ставки </w:t>
      </w:r>
      <w:r w:rsidR="007E58C1" w:rsidRPr="00C87463">
        <w:rPr>
          <w:rFonts w:ascii="Times New Roman" w:hAnsi="Times New Roman"/>
          <w:sz w:val="28"/>
          <w:szCs w:val="28"/>
        </w:rPr>
        <w:t xml:space="preserve">с момента ее принятия </w:t>
      </w:r>
      <w:r w:rsidRPr="00C87463">
        <w:rPr>
          <w:rFonts w:ascii="Times New Roman" w:hAnsi="Times New Roman"/>
          <w:sz w:val="28"/>
          <w:szCs w:val="28"/>
        </w:rPr>
        <w:t xml:space="preserve">приведена </w:t>
      </w:r>
      <w:r w:rsidR="007E58C1" w:rsidRPr="00C87463">
        <w:rPr>
          <w:rFonts w:ascii="Times New Roman" w:hAnsi="Times New Roman"/>
          <w:sz w:val="28"/>
          <w:szCs w:val="28"/>
        </w:rPr>
        <w:t>на Рис. 3</w:t>
      </w:r>
      <w:r w:rsidR="00F23176">
        <w:rPr>
          <w:rStyle w:val="a7"/>
          <w:rFonts w:ascii="Times New Roman" w:hAnsi="Times New Roman"/>
          <w:sz w:val="28"/>
          <w:szCs w:val="28"/>
        </w:rPr>
        <w:footnoteReference w:id="18"/>
      </w:r>
      <w:r w:rsidR="007E58C1" w:rsidRPr="00C87463">
        <w:rPr>
          <w:rFonts w:ascii="Times New Roman" w:hAnsi="Times New Roman"/>
          <w:sz w:val="28"/>
          <w:szCs w:val="28"/>
        </w:rPr>
        <w:t>.</w:t>
      </w:r>
    </w:p>
    <w:p w:rsidR="005274D6" w:rsidRPr="00C87463" w:rsidRDefault="005274D6" w:rsidP="00035D86">
      <w:pPr>
        <w:spacing w:after="0" w:line="360" w:lineRule="auto"/>
        <w:ind w:firstLine="709"/>
        <w:jc w:val="both"/>
        <w:rPr>
          <w:rFonts w:ascii="Times New Roman" w:hAnsi="Times New Roman"/>
          <w:sz w:val="28"/>
          <w:szCs w:val="28"/>
        </w:rPr>
      </w:pPr>
      <w:r w:rsidRPr="00C87463">
        <w:rPr>
          <w:rFonts w:ascii="Times New Roman" w:hAnsi="Times New Roman"/>
          <w:noProof/>
          <w:lang w:eastAsia="ru-RU"/>
        </w:rPr>
        <w:lastRenderedPageBreak/>
        <w:drawing>
          <wp:inline distT="0" distB="0" distL="0" distR="0">
            <wp:extent cx="4990054" cy="2762250"/>
            <wp:effectExtent l="19050" t="0" r="1046" b="0"/>
            <wp:docPr id="5" name="Рисунок 5" descr="http://xn----7sbbagdq3bgd4em3d7eta.xn--p1ai/images/2015-0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n----7sbbagdq3bgd4em3d7eta.xn--p1ai/images/2015-07-31.png"/>
                    <pic:cNvPicPr>
                      <a:picLocks noChangeAspect="1" noChangeArrowheads="1"/>
                    </pic:cNvPicPr>
                  </pic:nvPicPr>
                  <pic:blipFill>
                    <a:blip r:embed="rId23"/>
                    <a:srcRect/>
                    <a:stretch>
                      <a:fillRect/>
                    </a:stretch>
                  </pic:blipFill>
                  <pic:spPr bwMode="auto">
                    <a:xfrm>
                      <a:off x="0" y="0"/>
                      <a:ext cx="4992868" cy="2763808"/>
                    </a:xfrm>
                    <a:prstGeom prst="rect">
                      <a:avLst/>
                    </a:prstGeom>
                    <a:noFill/>
                    <a:ln w="9525">
                      <a:noFill/>
                      <a:miter lim="800000"/>
                      <a:headEnd/>
                      <a:tailEnd/>
                    </a:ln>
                  </pic:spPr>
                </pic:pic>
              </a:graphicData>
            </a:graphic>
          </wp:inline>
        </w:drawing>
      </w:r>
    </w:p>
    <w:p w:rsidR="007E58C1" w:rsidRPr="00C87463" w:rsidRDefault="007E58C1" w:rsidP="007E58C1">
      <w:pPr>
        <w:spacing w:after="0" w:line="360" w:lineRule="auto"/>
        <w:ind w:firstLine="709"/>
        <w:jc w:val="right"/>
        <w:rPr>
          <w:rFonts w:ascii="Times New Roman" w:hAnsi="Times New Roman"/>
          <w:sz w:val="28"/>
          <w:szCs w:val="28"/>
        </w:rPr>
      </w:pPr>
      <w:r w:rsidRPr="00C87463">
        <w:rPr>
          <w:rFonts w:ascii="Times New Roman" w:hAnsi="Times New Roman"/>
          <w:sz w:val="28"/>
          <w:szCs w:val="28"/>
        </w:rPr>
        <w:t xml:space="preserve">Рис.3 </w:t>
      </w:r>
    </w:p>
    <w:p w:rsidR="00AD699E" w:rsidRPr="00C87463" w:rsidRDefault="00927CAF" w:rsidP="007E58C1">
      <w:pPr>
        <w:spacing w:after="0" w:line="360" w:lineRule="auto"/>
        <w:ind w:firstLine="709"/>
        <w:jc w:val="center"/>
        <w:rPr>
          <w:rFonts w:ascii="Times New Roman" w:hAnsi="Times New Roman"/>
          <w:sz w:val="28"/>
          <w:szCs w:val="28"/>
        </w:rPr>
      </w:pPr>
      <w:r w:rsidRPr="00C87463">
        <w:rPr>
          <w:rFonts w:ascii="Times New Roman" w:hAnsi="Times New Roman"/>
          <w:sz w:val="28"/>
          <w:szCs w:val="28"/>
        </w:rPr>
        <w:t>Рис.3</w:t>
      </w:r>
      <w:r w:rsidR="00035D86" w:rsidRPr="00C87463">
        <w:rPr>
          <w:rFonts w:ascii="Times New Roman" w:hAnsi="Times New Roman"/>
          <w:sz w:val="28"/>
          <w:szCs w:val="28"/>
        </w:rPr>
        <w:t xml:space="preserve"> </w:t>
      </w:r>
      <w:r w:rsidRPr="00C87463">
        <w:rPr>
          <w:rFonts w:ascii="Times New Roman" w:hAnsi="Times New Roman"/>
          <w:sz w:val="28"/>
          <w:szCs w:val="28"/>
        </w:rPr>
        <w:t xml:space="preserve">Динамика </w:t>
      </w:r>
      <w:r w:rsidR="005274D6" w:rsidRPr="00C87463">
        <w:rPr>
          <w:rFonts w:ascii="Times New Roman" w:hAnsi="Times New Roman"/>
          <w:sz w:val="28"/>
          <w:szCs w:val="28"/>
        </w:rPr>
        <w:t>ключевой ставки</w:t>
      </w:r>
      <w:r w:rsidRPr="00C87463">
        <w:rPr>
          <w:rFonts w:ascii="Times New Roman" w:hAnsi="Times New Roman"/>
          <w:sz w:val="28"/>
          <w:szCs w:val="28"/>
        </w:rPr>
        <w:t xml:space="preserve"> ЦБ РФ. (%)</w:t>
      </w:r>
    </w:p>
    <w:p w:rsidR="00035D86" w:rsidRPr="00C87463" w:rsidRDefault="00035D86" w:rsidP="00035D86">
      <w:pPr>
        <w:spacing w:after="0" w:line="360" w:lineRule="auto"/>
        <w:ind w:firstLine="709"/>
        <w:jc w:val="both"/>
        <w:rPr>
          <w:rFonts w:ascii="Times New Roman" w:hAnsi="Times New Roman"/>
          <w:sz w:val="28"/>
          <w:szCs w:val="28"/>
        </w:rPr>
      </w:pPr>
    </w:p>
    <w:p w:rsidR="000B43D3" w:rsidRPr="00C87463" w:rsidRDefault="00FA7271" w:rsidP="000B43D3">
      <w:pPr>
        <w:spacing w:after="0" w:line="360" w:lineRule="auto"/>
        <w:ind w:firstLine="709"/>
        <w:jc w:val="both"/>
        <w:rPr>
          <w:rFonts w:ascii="Times New Roman" w:hAnsi="Times New Roman"/>
          <w:sz w:val="28"/>
          <w:szCs w:val="28"/>
        </w:rPr>
      </w:pPr>
      <w:r w:rsidRPr="00C87463">
        <w:rPr>
          <w:rFonts w:ascii="Times New Roman" w:hAnsi="Times New Roman"/>
          <w:sz w:val="28"/>
          <w:szCs w:val="28"/>
        </w:rPr>
        <w:t>В Банке России, как и в большинстве иностранных центральных банков, ставки по операциям</w:t>
      </w:r>
      <w:r w:rsidR="00035D86" w:rsidRPr="00C87463">
        <w:rPr>
          <w:rFonts w:ascii="Times New Roman" w:hAnsi="Times New Roman"/>
          <w:sz w:val="28"/>
          <w:szCs w:val="28"/>
        </w:rPr>
        <w:t xml:space="preserve"> </w:t>
      </w:r>
      <w:r w:rsidRPr="00C87463">
        <w:rPr>
          <w:rFonts w:ascii="Times New Roman" w:hAnsi="Times New Roman"/>
          <w:sz w:val="28"/>
          <w:szCs w:val="28"/>
        </w:rPr>
        <w:t>образуют своеобразный «коридор» процентных ставок</w:t>
      </w:r>
      <w:r w:rsidR="00F614CA" w:rsidRPr="00C87463">
        <w:rPr>
          <w:rFonts w:ascii="Times New Roman" w:hAnsi="Times New Roman"/>
          <w:sz w:val="28"/>
          <w:szCs w:val="28"/>
        </w:rPr>
        <w:t xml:space="preserve">: нижней границей, которого являются ставки по депозитным операциям, которые </w:t>
      </w:r>
      <w:r w:rsidR="00E153A3" w:rsidRPr="00C87463">
        <w:rPr>
          <w:rFonts w:ascii="Times New Roman" w:hAnsi="Times New Roman"/>
          <w:sz w:val="28"/>
          <w:szCs w:val="28"/>
        </w:rPr>
        <w:t xml:space="preserve">с </w:t>
      </w:r>
      <w:r w:rsidR="000B43D3" w:rsidRPr="00C87463">
        <w:rPr>
          <w:rFonts w:ascii="Times New Roman" w:hAnsi="Times New Roman"/>
          <w:sz w:val="28"/>
          <w:szCs w:val="28"/>
        </w:rPr>
        <w:t>03</w:t>
      </w:r>
      <w:r w:rsidR="00E153A3" w:rsidRPr="00C87463">
        <w:rPr>
          <w:rFonts w:ascii="Times New Roman" w:hAnsi="Times New Roman"/>
          <w:sz w:val="28"/>
          <w:szCs w:val="28"/>
        </w:rPr>
        <w:t>.0</w:t>
      </w:r>
      <w:r w:rsidR="000B43D3" w:rsidRPr="00C87463">
        <w:rPr>
          <w:rFonts w:ascii="Times New Roman" w:hAnsi="Times New Roman"/>
          <w:sz w:val="28"/>
          <w:szCs w:val="28"/>
        </w:rPr>
        <w:t>8</w:t>
      </w:r>
      <w:r w:rsidR="00E153A3" w:rsidRPr="00C87463">
        <w:rPr>
          <w:rFonts w:ascii="Times New Roman" w:hAnsi="Times New Roman"/>
          <w:sz w:val="28"/>
          <w:szCs w:val="28"/>
        </w:rPr>
        <w:t>.201</w:t>
      </w:r>
      <w:r w:rsidR="000B43D3" w:rsidRPr="00C87463">
        <w:rPr>
          <w:rFonts w:ascii="Times New Roman" w:hAnsi="Times New Roman"/>
          <w:sz w:val="28"/>
          <w:szCs w:val="28"/>
        </w:rPr>
        <w:t>5</w:t>
      </w:r>
      <w:r w:rsidR="00E153A3" w:rsidRPr="00C87463">
        <w:rPr>
          <w:rFonts w:ascii="Times New Roman" w:hAnsi="Times New Roman"/>
          <w:sz w:val="28"/>
          <w:szCs w:val="28"/>
        </w:rPr>
        <w:t xml:space="preserve"> </w:t>
      </w:r>
      <w:r w:rsidR="00F614CA" w:rsidRPr="00C87463">
        <w:rPr>
          <w:rFonts w:ascii="Times New Roman" w:hAnsi="Times New Roman"/>
          <w:sz w:val="28"/>
          <w:szCs w:val="28"/>
        </w:rPr>
        <w:t xml:space="preserve">составляют </w:t>
      </w:r>
      <w:r w:rsidR="000B43D3" w:rsidRPr="00C87463">
        <w:rPr>
          <w:rFonts w:ascii="Times New Roman" w:hAnsi="Times New Roman"/>
          <w:sz w:val="28"/>
          <w:szCs w:val="28"/>
        </w:rPr>
        <w:t>10</w:t>
      </w:r>
      <w:r w:rsidR="007E58C1" w:rsidRPr="00C87463">
        <w:rPr>
          <w:rFonts w:ascii="Times New Roman" w:hAnsi="Times New Roman"/>
          <w:sz w:val="28"/>
          <w:szCs w:val="28"/>
        </w:rPr>
        <w:t xml:space="preserve"> </w:t>
      </w:r>
      <w:r w:rsidR="000B43D3" w:rsidRPr="00C87463">
        <w:rPr>
          <w:rFonts w:ascii="Times New Roman" w:hAnsi="Times New Roman"/>
          <w:sz w:val="28"/>
          <w:szCs w:val="28"/>
        </w:rPr>
        <w:t>%</w:t>
      </w:r>
      <w:r w:rsidR="00F614CA" w:rsidRPr="00C87463">
        <w:rPr>
          <w:rFonts w:ascii="Times New Roman" w:hAnsi="Times New Roman"/>
          <w:sz w:val="28"/>
          <w:szCs w:val="28"/>
        </w:rPr>
        <w:t xml:space="preserve"> а верхней - ставки по кредиту «ове</w:t>
      </w:r>
      <w:r w:rsidR="007E58C1" w:rsidRPr="00C87463">
        <w:rPr>
          <w:rFonts w:ascii="Times New Roman" w:hAnsi="Times New Roman"/>
          <w:sz w:val="28"/>
          <w:szCs w:val="28"/>
        </w:rPr>
        <w:t>рнайт», составляют</w:t>
      </w:r>
      <w:r w:rsidR="00F614CA" w:rsidRPr="00C87463">
        <w:rPr>
          <w:rFonts w:ascii="Times New Roman" w:hAnsi="Times New Roman"/>
          <w:sz w:val="28"/>
          <w:szCs w:val="28"/>
        </w:rPr>
        <w:t xml:space="preserve"> </w:t>
      </w:r>
      <w:r w:rsidR="000B43D3" w:rsidRPr="00C87463">
        <w:rPr>
          <w:rFonts w:ascii="Times New Roman" w:hAnsi="Times New Roman"/>
          <w:sz w:val="28"/>
          <w:szCs w:val="28"/>
        </w:rPr>
        <w:t>12%</w:t>
      </w:r>
      <w:r w:rsidR="00E153A3" w:rsidRPr="00C87463">
        <w:rPr>
          <w:rFonts w:ascii="Times New Roman" w:hAnsi="Times New Roman"/>
          <w:sz w:val="28"/>
          <w:szCs w:val="28"/>
        </w:rPr>
        <w:t>. За счет установленного «коридора», Банк может оказывать более непосредственное воздействие на уровень и структуру рыночных процентных ставок.</w:t>
      </w:r>
      <w:r w:rsidR="00035D86" w:rsidRPr="00C87463">
        <w:rPr>
          <w:rFonts w:ascii="Times New Roman" w:hAnsi="Times New Roman"/>
          <w:sz w:val="28"/>
          <w:szCs w:val="28"/>
        </w:rPr>
        <w:t xml:space="preserve"> </w:t>
      </w:r>
    </w:p>
    <w:p w:rsidR="000B43D3" w:rsidRPr="00C87463" w:rsidRDefault="000B43D3" w:rsidP="002A4C4A">
      <w:pPr>
        <w:pStyle w:val="af1"/>
        <w:shd w:val="clear" w:color="auto" w:fill="FFFFFF"/>
        <w:spacing w:before="0" w:beforeAutospacing="0" w:after="0" w:afterAutospacing="0" w:line="360" w:lineRule="auto"/>
        <w:ind w:firstLine="708"/>
        <w:jc w:val="both"/>
        <w:rPr>
          <w:sz w:val="28"/>
          <w:szCs w:val="28"/>
          <w:lang w:eastAsia="en-US"/>
        </w:rPr>
      </w:pPr>
      <w:r w:rsidRPr="00C87463">
        <w:rPr>
          <w:sz w:val="28"/>
          <w:szCs w:val="28"/>
          <w:lang w:eastAsia="en-US"/>
        </w:rPr>
        <w:t xml:space="preserve">Банк России с 10 ноября 2014 года упразднил действовавший механизм курсовой политики, отменив интервал допустимых значений стоимости </w:t>
      </w:r>
      <w:proofErr w:type="spellStart"/>
      <w:r w:rsidRPr="00C87463">
        <w:rPr>
          <w:sz w:val="28"/>
          <w:szCs w:val="28"/>
          <w:lang w:eastAsia="en-US"/>
        </w:rPr>
        <w:t>бивалютной</w:t>
      </w:r>
      <w:proofErr w:type="spellEnd"/>
      <w:r w:rsidRPr="00C87463">
        <w:rPr>
          <w:sz w:val="28"/>
          <w:szCs w:val="28"/>
          <w:lang w:eastAsia="en-US"/>
        </w:rPr>
        <w:t xml:space="preserve"> корзины (операционный интервал) и регулярные интервенции на границах указанного интервала и за его пределами. При этом новый подход Банка России к проведению операций на внутреннем рынке не предполагает полного отказа от валютных интервенций, их проведение возможно в случае возникновения угроз для финансовой стабильности. В то же время в рамках нового режима валютного курса операции на внутреннем валютном рынке будут преимущественно осуществляться на возвратной основе.</w:t>
      </w:r>
      <w:r w:rsidR="00FF7E19">
        <w:rPr>
          <w:rStyle w:val="a7"/>
          <w:sz w:val="28"/>
          <w:szCs w:val="28"/>
          <w:lang w:eastAsia="en-US"/>
        </w:rPr>
        <w:footnoteReference w:id="19"/>
      </w:r>
    </w:p>
    <w:p w:rsidR="000B43D3" w:rsidRPr="00C87463" w:rsidRDefault="000B43D3" w:rsidP="002A4C4A">
      <w:pPr>
        <w:pStyle w:val="af1"/>
        <w:shd w:val="clear" w:color="auto" w:fill="FFFFFF"/>
        <w:spacing w:before="0" w:beforeAutospacing="0" w:after="0" w:afterAutospacing="0" w:line="360" w:lineRule="auto"/>
        <w:ind w:firstLine="708"/>
        <w:jc w:val="both"/>
        <w:rPr>
          <w:sz w:val="28"/>
          <w:szCs w:val="28"/>
          <w:lang w:eastAsia="en-US"/>
        </w:rPr>
      </w:pPr>
      <w:r w:rsidRPr="00C87463">
        <w:rPr>
          <w:sz w:val="28"/>
          <w:szCs w:val="28"/>
          <w:lang w:eastAsia="en-US"/>
        </w:rPr>
        <w:lastRenderedPageBreak/>
        <w:t xml:space="preserve">В результате реализации принятого решения формирование курса рубля происходит под влиянием рыночных факторов, что </w:t>
      </w:r>
      <w:proofErr w:type="spellStart"/>
      <w:r w:rsidRPr="00C87463">
        <w:rPr>
          <w:sz w:val="28"/>
          <w:szCs w:val="28"/>
          <w:lang w:eastAsia="en-US"/>
        </w:rPr>
        <w:t>способствовует</w:t>
      </w:r>
      <w:proofErr w:type="spellEnd"/>
      <w:r w:rsidRPr="00C87463">
        <w:rPr>
          <w:sz w:val="28"/>
          <w:szCs w:val="28"/>
          <w:lang w:eastAsia="en-US"/>
        </w:rPr>
        <w:t xml:space="preserve"> усилению действенности денежно-кредитной политики Банка России и обеспечению ценовой стабильности. Кроме того, данный подход к проведению операций на внутреннем валютном рынке будет способствовать более быстрой адаптации экономики к изменениям внешних условий и увеличит ее устойчивость к негативным шокам.</w:t>
      </w:r>
    </w:p>
    <w:p w:rsidR="00A16855" w:rsidRPr="00C87463" w:rsidRDefault="00A16855" w:rsidP="002A4C4A">
      <w:pPr>
        <w:pStyle w:val="1"/>
        <w:ind w:firstLine="708"/>
        <w:rPr>
          <w:szCs w:val="28"/>
        </w:rPr>
      </w:pPr>
      <w:bookmarkStart w:id="10" w:name="_Toc437453864"/>
      <w:r w:rsidRPr="00C87463">
        <w:rPr>
          <w:szCs w:val="28"/>
        </w:rPr>
        <w:t>2.</w:t>
      </w:r>
      <w:r w:rsidR="002C09CA" w:rsidRPr="00C87463">
        <w:rPr>
          <w:szCs w:val="28"/>
        </w:rPr>
        <w:t xml:space="preserve">2.2 </w:t>
      </w:r>
      <w:r w:rsidR="00E571D5" w:rsidRPr="00C87463">
        <w:rPr>
          <w:szCs w:val="28"/>
        </w:rPr>
        <w:t>О</w:t>
      </w:r>
      <w:r w:rsidR="00452CBA" w:rsidRPr="00C87463">
        <w:rPr>
          <w:szCs w:val="28"/>
        </w:rPr>
        <w:t>б</w:t>
      </w:r>
      <w:r w:rsidRPr="00C87463">
        <w:rPr>
          <w:szCs w:val="28"/>
        </w:rPr>
        <w:t>язательны</w:t>
      </w:r>
      <w:r w:rsidR="00452CBA" w:rsidRPr="00C87463">
        <w:rPr>
          <w:szCs w:val="28"/>
        </w:rPr>
        <w:t>е</w:t>
      </w:r>
      <w:r w:rsidRPr="00C87463">
        <w:rPr>
          <w:szCs w:val="28"/>
        </w:rPr>
        <w:t xml:space="preserve"> резервные требования</w:t>
      </w:r>
      <w:bookmarkEnd w:id="10"/>
    </w:p>
    <w:p w:rsidR="00A16855" w:rsidRPr="00C87463" w:rsidRDefault="00A16855" w:rsidP="002A4C4A">
      <w:pPr>
        <w:spacing w:before="240" w:after="0" w:line="360" w:lineRule="auto"/>
        <w:jc w:val="both"/>
        <w:rPr>
          <w:rFonts w:ascii="Times New Roman" w:hAnsi="Times New Roman"/>
          <w:i/>
          <w:sz w:val="28"/>
          <w:szCs w:val="28"/>
        </w:rPr>
      </w:pPr>
      <w:r w:rsidRPr="00C87463">
        <w:rPr>
          <w:rFonts w:ascii="Times New Roman" w:hAnsi="Times New Roman"/>
          <w:i/>
          <w:sz w:val="28"/>
          <w:szCs w:val="28"/>
        </w:rPr>
        <w:t>Депони</w:t>
      </w:r>
      <w:r w:rsidR="00E571D5" w:rsidRPr="00C87463">
        <w:rPr>
          <w:rFonts w:ascii="Times New Roman" w:hAnsi="Times New Roman"/>
          <w:i/>
          <w:sz w:val="28"/>
          <w:szCs w:val="28"/>
        </w:rPr>
        <w:t xml:space="preserve">рование обязательных резервов в </w:t>
      </w:r>
      <w:r w:rsidRPr="00C87463">
        <w:rPr>
          <w:rFonts w:ascii="Times New Roman" w:hAnsi="Times New Roman"/>
          <w:i/>
          <w:sz w:val="28"/>
          <w:szCs w:val="28"/>
        </w:rPr>
        <w:t>Банке России</w:t>
      </w:r>
    </w:p>
    <w:p w:rsidR="00A16855" w:rsidRPr="00C87463" w:rsidRDefault="00A16855" w:rsidP="002A4C4A">
      <w:pPr>
        <w:spacing w:after="0" w:line="360" w:lineRule="auto"/>
        <w:jc w:val="both"/>
        <w:rPr>
          <w:rFonts w:ascii="Times New Roman" w:hAnsi="Times New Roman"/>
          <w:sz w:val="28"/>
          <w:szCs w:val="28"/>
        </w:rPr>
      </w:pPr>
      <w:bookmarkStart w:id="11" w:name="2-1"/>
      <w:bookmarkEnd w:id="11"/>
      <w:r w:rsidRPr="00C87463">
        <w:rPr>
          <w:rFonts w:ascii="Times New Roman" w:hAnsi="Times New Roman"/>
          <w:sz w:val="28"/>
          <w:szCs w:val="28"/>
        </w:rPr>
        <w:t>Выполнение обязательных резервных требований осуществляют все кредитные организации. Обязанность по выполнению обязательных резервов возникает со дня получения лицензии на осуществление банковских операций. На обязательные резервы, депонированные кредитными организациями в Банке России, проценты не начисляются.</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На обязательные резервы, депонируемые кредитной организацией в Банке России, взыскания не обращаются.</w:t>
      </w:r>
    </w:p>
    <w:p w:rsidR="00A16855" w:rsidRPr="00C87463" w:rsidRDefault="00A16855" w:rsidP="002A4C4A">
      <w:pPr>
        <w:spacing w:after="0" w:line="360" w:lineRule="auto"/>
        <w:jc w:val="both"/>
        <w:rPr>
          <w:rFonts w:ascii="Times New Roman" w:hAnsi="Times New Roman"/>
          <w:i/>
          <w:sz w:val="28"/>
          <w:szCs w:val="28"/>
        </w:rPr>
      </w:pPr>
      <w:bookmarkStart w:id="12" w:name="2-2"/>
      <w:bookmarkEnd w:id="12"/>
      <w:r w:rsidRPr="00C87463">
        <w:rPr>
          <w:rFonts w:ascii="Times New Roman" w:hAnsi="Times New Roman"/>
          <w:i/>
          <w:sz w:val="28"/>
          <w:szCs w:val="28"/>
        </w:rPr>
        <w:t>Порядок депонирования обязательных резервов</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Счета по учету обязательных резервов открываются в зависимости от вида валюты резервируемых обязательств. Бухгалтерский учет ведется на балансовых счетах:</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30202 «Обязательные резервы кредитных организаций по счетам в валюте Российской Федерации, депонированные в Банке России»,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30204 «Обязательные резервы кредитных организаций по счетам в иностранной валюте, депонированные в Банке России».</w:t>
      </w:r>
    </w:p>
    <w:p w:rsidR="00AD3E6A"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В случае невыполнения кредитной организацией обязанности по усреднению бухгалтерский учет (в части суммы невыполнения усреднения) ведется на балансовом счете № 30238 «Обязательные резервы кредитных организаций, депонированные в Банке России при невыполнении обязанности по </w:t>
      </w:r>
      <w:r w:rsidRPr="00C87463">
        <w:rPr>
          <w:rFonts w:ascii="Times New Roman" w:hAnsi="Times New Roman"/>
          <w:sz w:val="28"/>
          <w:szCs w:val="28"/>
        </w:rPr>
        <w:lastRenderedPageBreak/>
        <w:t>усреднению», открываемом независимо от вида валюты резервируемых обязательств».</w:t>
      </w:r>
    </w:p>
    <w:p w:rsidR="00A16855" w:rsidRPr="00C87463" w:rsidRDefault="00A16855" w:rsidP="002A4C4A">
      <w:pPr>
        <w:spacing w:after="0" w:line="360" w:lineRule="auto"/>
        <w:jc w:val="both"/>
        <w:rPr>
          <w:rFonts w:ascii="Times New Roman" w:hAnsi="Times New Roman"/>
          <w:i/>
          <w:sz w:val="28"/>
          <w:szCs w:val="28"/>
        </w:rPr>
      </w:pPr>
      <w:r w:rsidRPr="00C87463">
        <w:rPr>
          <w:rFonts w:ascii="Times New Roman" w:hAnsi="Times New Roman"/>
          <w:i/>
          <w:sz w:val="28"/>
          <w:szCs w:val="28"/>
        </w:rPr>
        <w:t>Основные составляющие Расчета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Резервируемые обязательства — обязательства кредитной организации в валюте Российской Федерации и иностранной валюте, состав которых определен в главе 2 </w:t>
      </w:r>
      <w:r w:rsidRPr="00011BC5">
        <w:rPr>
          <w:rFonts w:ascii="Times New Roman" w:hAnsi="Times New Roman"/>
          <w:sz w:val="28"/>
          <w:szCs w:val="28"/>
        </w:rPr>
        <w:t>Положения Банка России от 7 августа 2009 года № 342-П</w:t>
      </w:r>
      <w:r w:rsidRPr="00C87463">
        <w:rPr>
          <w:rFonts w:ascii="Times New Roman" w:hAnsi="Times New Roman"/>
          <w:sz w:val="28"/>
          <w:szCs w:val="28"/>
        </w:rPr>
        <w:t>.</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Резервируемые обязательства кредитных организаций сгруппированы в следующие категории:</w:t>
      </w:r>
    </w:p>
    <w:p w:rsidR="00A16855" w:rsidRPr="00C87463" w:rsidRDefault="00A16855" w:rsidP="008337AB">
      <w:pPr>
        <w:pStyle w:val="a4"/>
        <w:numPr>
          <w:ilvl w:val="0"/>
          <w:numId w:val="3"/>
        </w:numPr>
        <w:spacing w:after="0" w:line="360" w:lineRule="auto"/>
        <w:jc w:val="both"/>
        <w:rPr>
          <w:rFonts w:ascii="Times New Roman" w:hAnsi="Times New Roman"/>
          <w:sz w:val="28"/>
          <w:szCs w:val="28"/>
        </w:rPr>
      </w:pPr>
      <w:r w:rsidRPr="00C87463">
        <w:rPr>
          <w:rFonts w:ascii="Times New Roman" w:hAnsi="Times New Roman"/>
          <w:sz w:val="28"/>
          <w:szCs w:val="28"/>
        </w:rPr>
        <w:t>«обязательства кредитной организации перед юридическими лицами-нерезидентами» — включает обязательства перед юридическими лицами-нерезидентами (в том числе обязательства перед банками-нерезидентами), а также обязательства перед индивидуальными предпринимателями-нерезидентами, в валюте Российской Федерации и (или) в иностранной валюте, возникающие в соответствии с договорами банковского (корреспондентского) счета, договорами на привлечение денежных средств (кредитными, депозитными и иными договорами);</w:t>
      </w:r>
    </w:p>
    <w:p w:rsidR="00A16855" w:rsidRPr="00C87463" w:rsidRDefault="00A16855" w:rsidP="008337AB">
      <w:pPr>
        <w:pStyle w:val="a4"/>
        <w:numPr>
          <w:ilvl w:val="0"/>
          <w:numId w:val="3"/>
        </w:numPr>
        <w:spacing w:after="0" w:line="360" w:lineRule="auto"/>
        <w:jc w:val="both"/>
        <w:rPr>
          <w:rFonts w:ascii="Times New Roman" w:hAnsi="Times New Roman"/>
          <w:sz w:val="28"/>
          <w:szCs w:val="28"/>
        </w:rPr>
      </w:pPr>
      <w:r w:rsidRPr="00C87463">
        <w:rPr>
          <w:rFonts w:ascii="Times New Roman" w:hAnsi="Times New Roman"/>
          <w:sz w:val="28"/>
          <w:szCs w:val="28"/>
        </w:rPr>
        <w:t>«обязательства кредитной организации перед физическими лицами» — включает обязательства перед физическими лицами (резидентами и нерезидентами) в валюте Российской Федерации и (или) в иностранной валюте, возникающие в соответствии с договорами банковского вклада (в том числе удостоверенные сберегательными сертификатами), банковского счета;</w:t>
      </w:r>
    </w:p>
    <w:p w:rsidR="00A16855" w:rsidRPr="00C87463" w:rsidRDefault="00A16855" w:rsidP="008337AB">
      <w:pPr>
        <w:pStyle w:val="a4"/>
        <w:numPr>
          <w:ilvl w:val="0"/>
          <w:numId w:val="3"/>
        </w:numPr>
        <w:spacing w:after="0" w:line="360" w:lineRule="auto"/>
        <w:jc w:val="both"/>
        <w:rPr>
          <w:rFonts w:ascii="Times New Roman" w:hAnsi="Times New Roman"/>
          <w:sz w:val="28"/>
          <w:szCs w:val="28"/>
        </w:rPr>
      </w:pPr>
      <w:r w:rsidRPr="00C87463">
        <w:rPr>
          <w:rFonts w:ascii="Times New Roman" w:hAnsi="Times New Roman"/>
          <w:sz w:val="28"/>
          <w:szCs w:val="28"/>
        </w:rPr>
        <w:t>«иные обязательства» кредитной организации в валюте Российской Федерации и (или) в иностранной валюте.</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Не включаются в состав резервируемых обязательств следующие обязательства: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денежные средства, привлеченные от юридических лиц (резидентов и нерезидентов) и индивидуальных предпринимателей на срок не менее 3 лет;</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облигации, выпущенные кредитными организациями, со сроками погашения не менее 3 лет;</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 обязательства, выраженные в </w:t>
      </w:r>
      <w:proofErr w:type="spellStart"/>
      <w:r w:rsidRPr="00C87463">
        <w:rPr>
          <w:rFonts w:ascii="Times New Roman" w:hAnsi="Times New Roman"/>
          <w:sz w:val="28"/>
          <w:szCs w:val="28"/>
        </w:rPr>
        <w:t>неденежной</w:t>
      </w:r>
      <w:proofErr w:type="spellEnd"/>
      <w:r w:rsidRPr="00C87463">
        <w:rPr>
          <w:rFonts w:ascii="Times New Roman" w:hAnsi="Times New Roman"/>
          <w:sz w:val="28"/>
          <w:szCs w:val="28"/>
        </w:rPr>
        <w:t xml:space="preserve"> форме (в драгоценных металлах и природных драгоценных камнях в их физической форме, в форме займа ценных бумаг);</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обязательства перед другой кредитной организацией, зарегистрированной в установленном порядке и действующей на основании выданной Банком России лицензии на осуществление банковских операций (за исключением обязательств перед кредитной организацией, выступающей в качестве доверительного управляющего), обязательства перед </w:t>
      </w:r>
      <w:r w:rsidRPr="00011BC5">
        <w:rPr>
          <w:rFonts w:ascii="Times New Roman" w:hAnsi="Times New Roman"/>
          <w:sz w:val="28"/>
          <w:szCs w:val="28"/>
        </w:rPr>
        <w:t>международной финансовой организацией</w:t>
      </w:r>
      <w:r w:rsidRPr="00C87463">
        <w:rPr>
          <w:rFonts w:ascii="Times New Roman" w:hAnsi="Times New Roman"/>
          <w:sz w:val="28"/>
          <w:szCs w:val="28"/>
        </w:rPr>
        <w:t>, осуществляющей свою деятельность на основе международного договора (соглашения) о ее создании с участием Российской Федерации, а также обязательства перед Внешэкономбанком, Банком России, возникающие в результате заключения договоров (за исключением обязательств по выпущенным долговым ценным бумагам и процентам по ним), и обязательства перед государственной корпорацией «Агентство по страхованию вкладов» (далее – АСВ) и (или) обязательства перед инвесторами, не являющимися кредитными организациями, возникшие в рамках оказания финансовой помощи по планам участия АСВ в предупреждении банкротства кредитной организации;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 задолженность, возникающая между обособленными подразделениями кредитной организации.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Сумма обязательств кредитной организации по выпущенным долговым ценным бумагам уменьшается на сумму обязательств кредитной организации перед другими кредитными организациями-резидентами по выпущенным долговым ценным бумагам, рассчитываемую путем применения кредитной организацией </w:t>
      </w:r>
      <w:r w:rsidRPr="00011BC5">
        <w:rPr>
          <w:rFonts w:ascii="Times New Roman" w:hAnsi="Times New Roman"/>
          <w:sz w:val="28"/>
          <w:szCs w:val="28"/>
        </w:rPr>
        <w:t>корректировочного коэффициента</w:t>
      </w:r>
      <w:r w:rsidRPr="00C87463">
        <w:rPr>
          <w:rFonts w:ascii="Times New Roman" w:hAnsi="Times New Roman"/>
          <w:sz w:val="28"/>
          <w:szCs w:val="28"/>
        </w:rPr>
        <w:t> к сумме обязательств кредитной организации по выпущенным долговым ценным бумагам, и рассчитывается по следующей формуле:</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noProof/>
          <w:sz w:val="28"/>
          <w:szCs w:val="28"/>
          <w:lang w:eastAsia="ru-RU"/>
        </w:rPr>
        <w:drawing>
          <wp:inline distT="0" distB="0" distL="0" distR="0">
            <wp:extent cx="1990725" cy="276225"/>
            <wp:effectExtent l="19050" t="0" r="0" b="0"/>
            <wp:docPr id="8" name="Рисунок 8" descr="http://www.cbr.ru/DKP/standart_system/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br.ru/DKP/standart_system/image006.gif"/>
                    <pic:cNvPicPr>
                      <a:picLocks noChangeAspect="1" noChangeArrowheads="1"/>
                    </pic:cNvPicPr>
                  </pic:nvPicPr>
                  <pic:blipFill>
                    <a:blip r:embed="rId24"/>
                    <a:srcRect/>
                    <a:stretch>
                      <a:fillRect/>
                    </a:stretch>
                  </pic:blipFill>
                  <pic:spPr bwMode="auto">
                    <a:xfrm>
                      <a:off x="0" y="0"/>
                      <a:ext cx="1990725" cy="276225"/>
                    </a:xfrm>
                    <a:prstGeom prst="rect">
                      <a:avLst/>
                    </a:prstGeom>
                    <a:noFill/>
                    <a:ln w="9525">
                      <a:noFill/>
                      <a:miter lim="800000"/>
                      <a:headEnd/>
                      <a:tailEnd/>
                    </a:ln>
                  </pic:spPr>
                </pic:pic>
              </a:graphicData>
            </a:graphic>
          </wp:inline>
        </w:drawing>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где,</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noProof/>
          <w:sz w:val="28"/>
          <w:szCs w:val="28"/>
          <w:lang w:eastAsia="ru-RU"/>
        </w:rPr>
        <w:lastRenderedPageBreak/>
        <w:drawing>
          <wp:inline distT="0" distB="0" distL="0" distR="0">
            <wp:extent cx="542925" cy="276225"/>
            <wp:effectExtent l="19050" t="0" r="0" b="0"/>
            <wp:docPr id="9" name="Рисунок 9" descr="http://www.cbr.ru/DKP/standart_system/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br.ru/DKP/standart_system/image008.gif"/>
                    <pic:cNvPicPr>
                      <a:picLocks noChangeAspect="1" noChangeArrowheads="1"/>
                    </pic:cNvPicPr>
                  </pic:nvPicPr>
                  <pic:blipFill>
                    <a:blip r:embed="rId25"/>
                    <a:srcRect/>
                    <a:stretch>
                      <a:fillRect/>
                    </a:stretch>
                  </pic:blipFill>
                  <pic:spPr bwMode="auto">
                    <a:xfrm>
                      <a:off x="0" y="0"/>
                      <a:ext cx="542925" cy="276225"/>
                    </a:xfrm>
                    <a:prstGeom prst="rect">
                      <a:avLst/>
                    </a:prstGeom>
                    <a:noFill/>
                    <a:ln w="9525">
                      <a:noFill/>
                      <a:miter lim="800000"/>
                      <a:headEnd/>
                      <a:tailEnd/>
                    </a:ln>
                  </pic:spPr>
                </pic:pic>
              </a:graphicData>
            </a:graphic>
          </wp:inline>
        </w:drawing>
      </w:r>
      <w:r w:rsidRPr="00C87463">
        <w:rPr>
          <w:rFonts w:ascii="Times New Roman" w:hAnsi="Times New Roman"/>
          <w:sz w:val="28"/>
          <w:szCs w:val="28"/>
        </w:rPr>
        <w:t>— сумма резервируемых обязательств кредитной организации по выпущенным долговым ценным бумагам,</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noProof/>
          <w:sz w:val="28"/>
          <w:szCs w:val="28"/>
          <w:lang w:eastAsia="ru-RU"/>
        </w:rPr>
        <w:drawing>
          <wp:inline distT="0" distB="0" distL="0" distR="0">
            <wp:extent cx="485775" cy="276225"/>
            <wp:effectExtent l="19050" t="0" r="0" b="0"/>
            <wp:docPr id="10" name="Рисунок 10" descr="http://www.cbr.ru/DKP/standart_system/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br.ru/DKP/standart_system/image010.gif"/>
                    <pic:cNvPicPr>
                      <a:picLocks noChangeAspect="1" noChangeArrowheads="1"/>
                    </pic:cNvPicPr>
                  </pic:nvPicPr>
                  <pic:blipFill>
                    <a:blip r:embed="rId26"/>
                    <a:srcRect/>
                    <a:stretch>
                      <a:fillRect/>
                    </a:stretch>
                  </pic:blipFill>
                  <pic:spPr bwMode="auto">
                    <a:xfrm>
                      <a:off x="0" y="0"/>
                      <a:ext cx="485775" cy="276225"/>
                    </a:xfrm>
                    <a:prstGeom prst="rect">
                      <a:avLst/>
                    </a:prstGeom>
                    <a:noFill/>
                    <a:ln w="9525">
                      <a:noFill/>
                      <a:miter lim="800000"/>
                      <a:headEnd/>
                      <a:tailEnd/>
                    </a:ln>
                  </pic:spPr>
                </pic:pic>
              </a:graphicData>
            </a:graphic>
          </wp:inline>
        </w:drawing>
      </w:r>
      <w:r w:rsidRPr="00C87463">
        <w:rPr>
          <w:rFonts w:ascii="Times New Roman" w:hAnsi="Times New Roman"/>
          <w:sz w:val="28"/>
          <w:szCs w:val="28"/>
        </w:rPr>
        <w:t> — сумма обязательств кредитной организации по выпущенным долговым ценным бумагам,</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noProof/>
          <w:sz w:val="28"/>
          <w:szCs w:val="28"/>
          <w:lang w:eastAsia="ru-RU"/>
        </w:rPr>
        <w:drawing>
          <wp:inline distT="0" distB="0" distL="0" distR="0">
            <wp:extent cx="419100" cy="238125"/>
            <wp:effectExtent l="19050" t="0" r="0" b="0"/>
            <wp:docPr id="11" name="Рисунок 11" descr="http://www.cbr.ru/DKP/standart_system/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br.ru/DKP/standart_system/image012.gif"/>
                    <pic:cNvPicPr>
                      <a:picLocks noChangeAspect="1" noChangeArrowheads="1"/>
                    </pic:cNvPicPr>
                  </pic:nvPicPr>
                  <pic:blipFill>
                    <a:blip r:embed="rId27"/>
                    <a:srcRect/>
                    <a:stretch>
                      <a:fillRect/>
                    </a:stretch>
                  </pic:blipFill>
                  <pic:spPr bwMode="auto">
                    <a:xfrm>
                      <a:off x="0" y="0"/>
                      <a:ext cx="419100" cy="238125"/>
                    </a:xfrm>
                    <a:prstGeom prst="rect">
                      <a:avLst/>
                    </a:prstGeom>
                    <a:noFill/>
                    <a:ln w="9525">
                      <a:noFill/>
                      <a:miter lim="800000"/>
                      <a:headEnd/>
                      <a:tailEnd/>
                    </a:ln>
                  </pic:spPr>
                </pic:pic>
              </a:graphicData>
            </a:graphic>
          </wp:inline>
        </w:drawing>
      </w:r>
      <w:r w:rsidRPr="00C87463">
        <w:rPr>
          <w:rFonts w:ascii="Times New Roman" w:hAnsi="Times New Roman"/>
          <w:sz w:val="28"/>
          <w:szCs w:val="28"/>
        </w:rPr>
        <w:t> — корректировочный коэффициент.</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Корректировочный коэффициент — числовой множитель, значение которого находится в интервале от 0 до 1, </w:t>
      </w:r>
      <w:r w:rsidRPr="00011BC5">
        <w:rPr>
          <w:rFonts w:ascii="Times New Roman" w:hAnsi="Times New Roman"/>
          <w:sz w:val="28"/>
          <w:szCs w:val="28"/>
        </w:rPr>
        <w:t>устанавливаемый Советом директоров Банка России</w:t>
      </w:r>
      <w:r w:rsidRPr="00C87463">
        <w:rPr>
          <w:rFonts w:ascii="Times New Roman" w:hAnsi="Times New Roman"/>
          <w:sz w:val="28"/>
          <w:szCs w:val="28"/>
        </w:rPr>
        <w:t> в целях определения суммы обязательств кредитной организации перед другими кредитными организациями-резидентами по выпущенным долговым ценным бумагам, подлежащих исключению из состава резервируемых обязательств (информация о нем публикуется в «Вестнике Банка России»).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Величина обязательных резервов по обязательствам в валюте Российской Федерации уменьшается на величину денежных средств в рублях в кассе кредитной организации в размере, не превышающем 25 процентов величины обязательных резервов по обязательствам в валюте Российской Федерации.</w:t>
      </w:r>
    </w:p>
    <w:p w:rsidR="00A16855" w:rsidRPr="00C87463" w:rsidRDefault="00A16855" w:rsidP="002A4C4A">
      <w:pPr>
        <w:spacing w:after="0" w:line="360" w:lineRule="auto"/>
        <w:jc w:val="both"/>
        <w:rPr>
          <w:rFonts w:ascii="Times New Roman" w:hAnsi="Times New Roman"/>
          <w:i/>
          <w:sz w:val="28"/>
          <w:szCs w:val="28"/>
        </w:rPr>
      </w:pPr>
      <w:bookmarkStart w:id="13" w:name="4"/>
      <w:bookmarkEnd w:id="13"/>
      <w:r w:rsidRPr="00C87463">
        <w:rPr>
          <w:rFonts w:ascii="Times New Roman" w:hAnsi="Times New Roman"/>
          <w:i/>
          <w:sz w:val="28"/>
          <w:szCs w:val="28"/>
        </w:rPr>
        <w:t>Регулирование размера обязательных резервов</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Регулирование размера обязательных резервов осуществляется Банком России ежемесячно.</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Внеочередное регулирование размера обязательных резервов может проводиться:</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на основании решения Совета директоров Банка России;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при снижении объема резервируемых обязательств в размере 10 и более процентов от валюты бухгалтерского баланса кредитной организации, составленного на первое число текущего месяца (по просьбе кредитной организации).</w:t>
      </w:r>
    </w:p>
    <w:p w:rsidR="00A16855" w:rsidRPr="00C87463" w:rsidRDefault="00A16855" w:rsidP="002A4C4A">
      <w:pPr>
        <w:spacing w:after="0" w:line="360" w:lineRule="auto"/>
        <w:jc w:val="both"/>
        <w:rPr>
          <w:rFonts w:ascii="Times New Roman" w:hAnsi="Times New Roman"/>
          <w:i/>
          <w:sz w:val="28"/>
          <w:szCs w:val="28"/>
        </w:rPr>
      </w:pPr>
      <w:bookmarkStart w:id="14" w:name="4-1"/>
      <w:bookmarkStart w:id="15" w:name="4-2-1"/>
      <w:bookmarkEnd w:id="14"/>
      <w:bookmarkEnd w:id="15"/>
      <w:r w:rsidRPr="00C87463">
        <w:rPr>
          <w:rFonts w:ascii="Times New Roman" w:hAnsi="Times New Roman"/>
          <w:i/>
          <w:sz w:val="28"/>
          <w:szCs w:val="28"/>
        </w:rPr>
        <w:t>Порядок составления Расчета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Расчет размера обязательных резервов составляется за отчетный период с 1 числа отчетного месяца по 1 число месяца, следующего за отчетным месяцем, включительно.</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Расчет и документы, представляемые в комплекте с ним:</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Расчет по форме приложения 1 к Положению Банка России от 7 августа 2009 года № 342-П;</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документы, представляемые в комплекте с Расчетом, по форме приложений 2-6 к Положению Банка России от 7 августа 2009 года № 342-П;</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сообщение об отсутствии остатков (форма произвольная);</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необходимые пояснения.</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Документ по форме Приложений 3 и 6 к </w:t>
      </w:r>
      <w:r w:rsidRPr="00011BC5">
        <w:rPr>
          <w:rFonts w:ascii="Times New Roman" w:hAnsi="Times New Roman"/>
          <w:sz w:val="28"/>
          <w:szCs w:val="28"/>
        </w:rPr>
        <w:t>Положению Банка России от 7 августа 2009 года № 342-П</w:t>
      </w:r>
      <w:r w:rsidRPr="00C87463">
        <w:rPr>
          <w:rFonts w:ascii="Times New Roman" w:hAnsi="Times New Roman"/>
          <w:sz w:val="28"/>
          <w:szCs w:val="28"/>
        </w:rPr>
        <w:t> составляется в случае использования кредитной организацией профессионального суждения, основанного на законодательных и нормативных актах, учетной политике кредитной организации, соответствующей требованиям, установленным Банком России, первичных и иных документах кредитной организации, характеризующих соответствующие обязательства, а также обычаях делового оборота.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В целях расчета отдельных показателей для составления документов, формы которых приведены в приложениях 2, 5 и 8 к </w:t>
      </w:r>
      <w:r w:rsidRPr="00011BC5">
        <w:rPr>
          <w:rFonts w:ascii="Times New Roman" w:hAnsi="Times New Roman"/>
          <w:sz w:val="28"/>
          <w:szCs w:val="28"/>
        </w:rPr>
        <w:t>Положению Банка России от 7 августа 2009 года № 342-П</w:t>
      </w:r>
      <w:r w:rsidRPr="00C87463">
        <w:rPr>
          <w:rFonts w:ascii="Times New Roman" w:hAnsi="Times New Roman"/>
          <w:sz w:val="28"/>
          <w:szCs w:val="28"/>
        </w:rPr>
        <w:t>, применяется формула средней хронологической величины, указанная в пункте 1 приложения 9 к </w:t>
      </w:r>
      <w:r w:rsidRPr="00011BC5">
        <w:rPr>
          <w:rFonts w:ascii="Times New Roman" w:hAnsi="Times New Roman"/>
          <w:sz w:val="28"/>
          <w:szCs w:val="28"/>
        </w:rPr>
        <w:t>Положению Банка России от 7 августа 2009 года № 342-П</w:t>
      </w:r>
      <w:r w:rsidRPr="00C87463">
        <w:rPr>
          <w:rFonts w:ascii="Times New Roman" w:hAnsi="Times New Roman"/>
          <w:sz w:val="28"/>
          <w:szCs w:val="28"/>
        </w:rPr>
        <w:t>.</w:t>
      </w:r>
    </w:p>
    <w:p w:rsidR="00A16855" w:rsidRPr="00C87463" w:rsidRDefault="00A16855" w:rsidP="002A4C4A">
      <w:pPr>
        <w:spacing w:after="0" w:line="360" w:lineRule="auto"/>
        <w:jc w:val="both"/>
        <w:rPr>
          <w:rFonts w:ascii="Times New Roman" w:hAnsi="Times New Roman"/>
          <w:i/>
          <w:sz w:val="28"/>
          <w:szCs w:val="28"/>
        </w:rPr>
      </w:pPr>
      <w:bookmarkStart w:id="16" w:name="4-2-2"/>
      <w:bookmarkEnd w:id="16"/>
      <w:r w:rsidRPr="00C87463">
        <w:rPr>
          <w:rFonts w:ascii="Times New Roman" w:hAnsi="Times New Roman"/>
          <w:i/>
          <w:sz w:val="28"/>
          <w:szCs w:val="28"/>
        </w:rPr>
        <w:t>Порядок представления Расчета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Расчет представляется в уполномоченное учреждение Банка России </w:t>
      </w:r>
      <w:r w:rsidRPr="00011BC5">
        <w:rPr>
          <w:rFonts w:ascii="Times New Roman" w:hAnsi="Times New Roman"/>
          <w:sz w:val="28"/>
          <w:szCs w:val="28"/>
        </w:rPr>
        <w:t>в установленный срок</w:t>
      </w:r>
      <w:r w:rsidRPr="00C87463">
        <w:rPr>
          <w:rFonts w:ascii="Times New Roman" w:hAnsi="Times New Roman"/>
          <w:sz w:val="28"/>
          <w:szCs w:val="28"/>
        </w:rPr>
        <w:t>.</w:t>
      </w:r>
    </w:p>
    <w:p w:rsidR="00A16855" w:rsidRPr="00C87463" w:rsidRDefault="00A16855" w:rsidP="002A4C4A">
      <w:pPr>
        <w:spacing w:after="0" w:line="360" w:lineRule="auto"/>
        <w:jc w:val="both"/>
        <w:rPr>
          <w:rFonts w:ascii="Times New Roman" w:hAnsi="Times New Roman"/>
          <w:i/>
          <w:sz w:val="28"/>
          <w:szCs w:val="28"/>
        </w:rPr>
      </w:pPr>
      <w:bookmarkStart w:id="17" w:name="9"/>
      <w:bookmarkStart w:id="18" w:name="5"/>
      <w:bookmarkEnd w:id="17"/>
      <w:bookmarkEnd w:id="18"/>
      <w:r w:rsidRPr="00C87463">
        <w:rPr>
          <w:rFonts w:ascii="Times New Roman" w:hAnsi="Times New Roman"/>
          <w:i/>
          <w:sz w:val="28"/>
          <w:szCs w:val="28"/>
        </w:rPr>
        <w:t>Механизм усреднения обязательных резервов</w:t>
      </w:r>
    </w:p>
    <w:p w:rsidR="00A16855" w:rsidRPr="00C87463" w:rsidRDefault="00A16855" w:rsidP="002A4C4A">
      <w:pPr>
        <w:spacing w:after="0" w:line="360" w:lineRule="auto"/>
        <w:jc w:val="both"/>
        <w:rPr>
          <w:rFonts w:ascii="Times New Roman" w:hAnsi="Times New Roman"/>
          <w:sz w:val="28"/>
          <w:szCs w:val="28"/>
        </w:rPr>
      </w:pPr>
      <w:bookmarkStart w:id="19" w:name="5-1"/>
      <w:bookmarkEnd w:id="19"/>
      <w:r w:rsidRPr="00C87463">
        <w:rPr>
          <w:rFonts w:ascii="Times New Roman" w:hAnsi="Times New Roman"/>
          <w:sz w:val="28"/>
          <w:szCs w:val="28"/>
        </w:rPr>
        <w:t>Право на использование механизма усреднения обязательных резервов предоставляется банку, относящемуся к 1, 2 или 31 классификационным группам в соответствии с Указанием Банка России от 30.04.2008 № 2005-У, небанковской кредитной организации – к 1 или 2 классификационным группам в соответствии с Указанием Банка России от 31.03.2000 № 766-У, и отвечающим следующим критериям на дату представления Расчета:</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 xml:space="preserve">1. не имеет </w:t>
      </w:r>
      <w:proofErr w:type="spellStart"/>
      <w:r w:rsidRPr="00C87463">
        <w:rPr>
          <w:rFonts w:ascii="Times New Roman" w:hAnsi="Times New Roman"/>
          <w:sz w:val="28"/>
          <w:szCs w:val="28"/>
        </w:rPr>
        <w:t>недовзноса</w:t>
      </w:r>
      <w:proofErr w:type="spellEnd"/>
      <w:r w:rsidRPr="00C87463">
        <w:rPr>
          <w:rFonts w:ascii="Times New Roman" w:hAnsi="Times New Roman"/>
          <w:sz w:val="28"/>
          <w:szCs w:val="28"/>
        </w:rPr>
        <w:t>, неуплаченного штрафа за нарушение обязательных резервных требований;</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2. не допускала повторного (второй раз подряд) невыполнения обязанности по усреднению обязательных резервов;</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3. не имеет просроченных денежных обязательств перед Банком России, в том числе по кредитам Банка России и процентам по ним.</w:t>
      </w:r>
    </w:p>
    <w:p w:rsidR="00A16855" w:rsidRPr="00C87463" w:rsidRDefault="00A16855" w:rsidP="00F67B26">
      <w:pPr>
        <w:spacing w:after="0" w:line="360" w:lineRule="auto"/>
        <w:ind w:firstLine="708"/>
        <w:jc w:val="both"/>
        <w:rPr>
          <w:rFonts w:ascii="Times New Roman" w:hAnsi="Times New Roman"/>
          <w:sz w:val="28"/>
          <w:szCs w:val="28"/>
        </w:rPr>
      </w:pPr>
      <w:bookmarkStart w:id="20" w:name="5-2"/>
      <w:bookmarkEnd w:id="20"/>
      <w:r w:rsidRPr="00C87463">
        <w:rPr>
          <w:rFonts w:ascii="Times New Roman" w:hAnsi="Times New Roman"/>
          <w:sz w:val="28"/>
          <w:szCs w:val="28"/>
        </w:rPr>
        <w:t>Усреднение обязательных резервов предполагает, что в счет выполнения резервных требований принимается усредненный остаток денежных средств на корреспондентском счете (корреспондентском(их) субсчете(ах)) кредитной организации, открытом(</w:t>
      </w:r>
      <w:proofErr w:type="spellStart"/>
      <w:r w:rsidRPr="00C87463">
        <w:rPr>
          <w:rFonts w:ascii="Times New Roman" w:hAnsi="Times New Roman"/>
          <w:sz w:val="28"/>
          <w:szCs w:val="28"/>
        </w:rPr>
        <w:t>ых</w:t>
      </w:r>
      <w:proofErr w:type="spellEnd"/>
      <w:r w:rsidRPr="00C87463">
        <w:rPr>
          <w:rFonts w:ascii="Times New Roman" w:hAnsi="Times New Roman"/>
          <w:sz w:val="28"/>
          <w:szCs w:val="28"/>
        </w:rPr>
        <w:t>) в Банке России.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В целях расчета величины обязательных резервов, подлежащих поддержанию на корреспондентском счете (корреспондентском(их) субсчете(ах)) кредитной организации, открытом(</w:t>
      </w:r>
      <w:proofErr w:type="spellStart"/>
      <w:r w:rsidRPr="00C87463">
        <w:rPr>
          <w:rFonts w:ascii="Times New Roman" w:hAnsi="Times New Roman"/>
          <w:sz w:val="28"/>
          <w:szCs w:val="28"/>
        </w:rPr>
        <w:t>ых</w:t>
      </w:r>
      <w:proofErr w:type="spellEnd"/>
      <w:r w:rsidRPr="00C87463">
        <w:rPr>
          <w:rFonts w:ascii="Times New Roman" w:hAnsi="Times New Roman"/>
          <w:sz w:val="28"/>
          <w:szCs w:val="28"/>
        </w:rPr>
        <w:t>) в Банке России, кредитная организация использует </w:t>
      </w:r>
      <w:r w:rsidRPr="00011BC5">
        <w:rPr>
          <w:rFonts w:ascii="Times New Roman" w:hAnsi="Times New Roman"/>
          <w:sz w:val="28"/>
          <w:szCs w:val="28"/>
        </w:rPr>
        <w:t>коэффициент усреднения, не превышающий коэффициент усреднения, установленный Банком России</w:t>
      </w:r>
      <w:r w:rsidRPr="00C87463">
        <w:rPr>
          <w:rFonts w:ascii="Times New Roman" w:hAnsi="Times New Roman"/>
          <w:sz w:val="28"/>
          <w:szCs w:val="28"/>
        </w:rPr>
        <w:t>.</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Для получения права на усреднение в текущем </w:t>
      </w:r>
      <w:r w:rsidRPr="00011BC5">
        <w:rPr>
          <w:rFonts w:ascii="Times New Roman" w:hAnsi="Times New Roman"/>
          <w:sz w:val="28"/>
          <w:szCs w:val="28"/>
        </w:rPr>
        <w:t>периоде усреднения</w:t>
      </w:r>
      <w:r w:rsidRPr="00C87463">
        <w:rPr>
          <w:rFonts w:ascii="Times New Roman" w:hAnsi="Times New Roman"/>
          <w:sz w:val="28"/>
          <w:szCs w:val="28"/>
        </w:rPr>
        <w:t> кредитная организация рассчитывает и указывает в Расчете усредненную величину обязательных резервов.</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Под периодом усреднения понимается период с десятого числа месяца, следующего за отчетным, по десятое число второго месяца, следующего за отчетным, включительно, при проведении внеочередного регулирования размера обязательных резервов — период, устанавливаемый Банком России.</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При соответствии кредитной организации установленным критериям уполномоченное учреждение Банка России принимает решение о предоставлении права на усреднение и устанавливает усредненную величину обязательных резервов по Расчету.</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При несоответствии кредитной организации установленным критериям уполномоченное учреждение Банка России принимает решение об отказе в предоставлении права на усреднение. Усредненная величина обязательных резервов по Расчету устанавливается равной нулю.</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Соответствующее решение уполномоченного учреждения Банка России указывается в Сообщении о регулировании размера обязательных резервов.</w:t>
      </w:r>
    </w:p>
    <w:p w:rsidR="00E571D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Банк России в целях предоставления кредитным организациям возможности для эффективного управления собственной ликвидностью при использовании механизма усреднения обязательных резервов предоставляет кредитным организациям возможность получения кредитов по фиксированной процентной ставке</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В случае невыполнения обязанности по усреднению обязательных резервов в предыдущем периоде усреднения (за исключением случая повторного (второй раз подряд) невыполнения обязанности по усреднению обязательных резервов) кредитная организация обязана направить платежное поручение для перевода денежных средств на счет по учету обязательных резервов при невыполнении обязанности по усреднению, в размере, установленном уполномоченным учреждением Банка России и указанном в приложении 8 к </w:t>
      </w:r>
      <w:r w:rsidRPr="00077A7E">
        <w:rPr>
          <w:rFonts w:ascii="Times New Roman" w:hAnsi="Times New Roman"/>
          <w:sz w:val="28"/>
          <w:szCs w:val="28"/>
        </w:rPr>
        <w:t>Положению Банка России от 7 августа 2009 года № 342-П</w:t>
      </w:r>
      <w:r w:rsidRPr="00C87463">
        <w:rPr>
          <w:rFonts w:ascii="Times New Roman" w:hAnsi="Times New Roman"/>
          <w:sz w:val="28"/>
          <w:szCs w:val="28"/>
        </w:rPr>
        <w:t>.</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Под суммой невыполнения усреднения обязательных резервов понимается сумма денежных средств, рассчитанная исходя из величины невыполнения усреднения обязательных резервов, определяемой как сумма превышения предоставленной кредитной организации усредненной величины обязательных резервов над усредненной величиной обязательных резервов, фактически поддержанной кредитной организацией в периоде усреднения.</w:t>
      </w:r>
    </w:p>
    <w:p w:rsidR="00A16855" w:rsidRPr="00C87463" w:rsidRDefault="00A16855" w:rsidP="002A4C4A">
      <w:pPr>
        <w:spacing w:after="0" w:line="360" w:lineRule="auto"/>
        <w:jc w:val="both"/>
        <w:rPr>
          <w:rFonts w:ascii="Times New Roman" w:hAnsi="Times New Roman"/>
          <w:sz w:val="28"/>
          <w:szCs w:val="28"/>
        </w:rPr>
      </w:pPr>
      <w:r w:rsidRPr="00C87463">
        <w:rPr>
          <w:rFonts w:ascii="Times New Roman" w:hAnsi="Times New Roman"/>
          <w:sz w:val="28"/>
          <w:szCs w:val="28"/>
        </w:rPr>
        <w:t>Фактически поддержанная усредненная величина обязательных резервов определяется как средняя хронологическая величина суммированных ежедневных остатков денежных средств на корреспондентском счете и корреспондентском субсчете (корреспондентских субсчетах) и ежедневных остатков денежных средств на счете по учету обязательных резервов при невыполнении обязанности по усреднению, рассчитанная за период усреднения.</w:t>
      </w:r>
    </w:p>
    <w:p w:rsidR="00A17123" w:rsidRDefault="00E571D5" w:rsidP="002A4C4A">
      <w:pPr>
        <w:spacing w:after="0" w:line="360" w:lineRule="auto"/>
        <w:jc w:val="both"/>
        <w:rPr>
          <w:rFonts w:ascii="Times New Roman" w:hAnsi="Times New Roman"/>
          <w:sz w:val="28"/>
          <w:szCs w:val="28"/>
        </w:rPr>
      </w:pPr>
      <w:r w:rsidRPr="00C87463">
        <w:rPr>
          <w:rFonts w:ascii="Times New Roman" w:hAnsi="Times New Roman"/>
          <w:noProof/>
          <w:sz w:val="28"/>
          <w:szCs w:val="28"/>
          <w:lang w:eastAsia="ru-RU"/>
        </w:rPr>
        <w:lastRenderedPageBreak/>
        <w:drawing>
          <wp:inline distT="0" distB="0" distL="0" distR="0">
            <wp:extent cx="5734050" cy="3848100"/>
            <wp:effectExtent l="19050" t="0" r="0" b="0"/>
            <wp:docPr id="16" name="Рисунок 16" descr="http://www.cbr.ru/DKP/standart_system/new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br.ru/DKP/standart_system/new_image002.png"/>
                    <pic:cNvPicPr>
                      <a:picLocks noChangeAspect="1" noChangeArrowheads="1"/>
                    </pic:cNvPicPr>
                  </pic:nvPicPr>
                  <pic:blipFill>
                    <a:blip r:embed="rId28"/>
                    <a:srcRect/>
                    <a:stretch>
                      <a:fillRect/>
                    </a:stretch>
                  </pic:blipFill>
                  <pic:spPr bwMode="auto">
                    <a:xfrm>
                      <a:off x="0" y="0"/>
                      <a:ext cx="5734050" cy="3848100"/>
                    </a:xfrm>
                    <a:prstGeom prst="rect">
                      <a:avLst/>
                    </a:prstGeom>
                    <a:noFill/>
                    <a:ln w="9525">
                      <a:noFill/>
                      <a:miter lim="800000"/>
                      <a:headEnd/>
                      <a:tailEnd/>
                    </a:ln>
                  </pic:spPr>
                </pic:pic>
              </a:graphicData>
            </a:graphic>
          </wp:inline>
        </w:drawing>
      </w:r>
    </w:p>
    <w:p w:rsidR="00485543" w:rsidRPr="00C87463" w:rsidRDefault="00485543" w:rsidP="00485543">
      <w:pPr>
        <w:spacing w:after="0" w:line="360" w:lineRule="auto"/>
        <w:jc w:val="right"/>
        <w:rPr>
          <w:rFonts w:ascii="Times New Roman" w:hAnsi="Times New Roman"/>
          <w:sz w:val="28"/>
          <w:szCs w:val="28"/>
        </w:rPr>
      </w:pPr>
      <w:r>
        <w:rPr>
          <w:rFonts w:ascii="Times New Roman" w:hAnsi="Times New Roman"/>
          <w:sz w:val="28"/>
          <w:szCs w:val="28"/>
        </w:rPr>
        <w:t>Рис.4</w:t>
      </w:r>
    </w:p>
    <w:p w:rsidR="00F67B26" w:rsidRPr="00C87463" w:rsidRDefault="00F67B26" w:rsidP="00F67B26">
      <w:pPr>
        <w:pStyle w:val="1"/>
        <w:rPr>
          <w:szCs w:val="28"/>
        </w:rPr>
      </w:pPr>
      <w:bookmarkStart w:id="21" w:name="_Toc437453865"/>
      <w:r w:rsidRPr="00C87463">
        <w:rPr>
          <w:szCs w:val="28"/>
        </w:rPr>
        <w:t>2.2.3 Операции РЕПО Банка России</w:t>
      </w:r>
      <w:bookmarkEnd w:id="21"/>
    </w:p>
    <w:p w:rsidR="00864071" w:rsidRPr="00C87463" w:rsidRDefault="00B5519F" w:rsidP="00F67B26">
      <w:pPr>
        <w:spacing w:before="240" w:after="0" w:line="360" w:lineRule="auto"/>
        <w:jc w:val="both"/>
        <w:rPr>
          <w:rFonts w:ascii="Times New Roman" w:hAnsi="Times New Roman"/>
          <w:sz w:val="28"/>
          <w:szCs w:val="28"/>
        </w:rPr>
      </w:pPr>
      <w:r w:rsidRPr="00C87463">
        <w:rPr>
          <w:rFonts w:ascii="Times New Roman" w:hAnsi="Times New Roman"/>
          <w:sz w:val="28"/>
          <w:szCs w:val="28"/>
        </w:rPr>
        <w:t xml:space="preserve">Также выделяют такие сделки с ценными бумагами, как операции РЕПО. </w:t>
      </w:r>
      <w:r w:rsidR="00864071" w:rsidRPr="00C87463">
        <w:rPr>
          <w:rFonts w:ascii="Times New Roman" w:hAnsi="Times New Roman"/>
          <w:sz w:val="28"/>
          <w:szCs w:val="28"/>
        </w:rPr>
        <w:t>Операция РЕПО (англ. «</w:t>
      </w:r>
      <w:proofErr w:type="spellStart"/>
      <w:r w:rsidR="00864071" w:rsidRPr="00C87463">
        <w:rPr>
          <w:rFonts w:ascii="Times New Roman" w:hAnsi="Times New Roman"/>
          <w:sz w:val="28"/>
          <w:szCs w:val="28"/>
        </w:rPr>
        <w:t>repurchase</w:t>
      </w:r>
      <w:proofErr w:type="spellEnd"/>
      <w:r w:rsidR="00864071" w:rsidRPr="00C87463">
        <w:rPr>
          <w:rFonts w:ascii="Times New Roman" w:hAnsi="Times New Roman"/>
          <w:sz w:val="28"/>
          <w:szCs w:val="28"/>
        </w:rPr>
        <w:t xml:space="preserve"> </w:t>
      </w:r>
      <w:proofErr w:type="spellStart"/>
      <w:r w:rsidR="00864071" w:rsidRPr="00C87463">
        <w:rPr>
          <w:rFonts w:ascii="Times New Roman" w:hAnsi="Times New Roman"/>
          <w:sz w:val="28"/>
          <w:szCs w:val="28"/>
        </w:rPr>
        <w:t>agreement</w:t>
      </w:r>
      <w:proofErr w:type="spellEnd"/>
      <w:r w:rsidR="00864071" w:rsidRPr="00C87463">
        <w:rPr>
          <w:rFonts w:ascii="Times New Roman" w:hAnsi="Times New Roman"/>
          <w:sz w:val="28"/>
          <w:szCs w:val="28"/>
        </w:rPr>
        <w:t>», «</w:t>
      </w:r>
      <w:proofErr w:type="spellStart"/>
      <w:r w:rsidR="00864071" w:rsidRPr="00C87463">
        <w:rPr>
          <w:rFonts w:ascii="Times New Roman" w:hAnsi="Times New Roman"/>
          <w:sz w:val="28"/>
          <w:szCs w:val="28"/>
        </w:rPr>
        <w:t>repo</w:t>
      </w:r>
      <w:proofErr w:type="spellEnd"/>
      <w:r w:rsidR="00864071" w:rsidRPr="00C87463">
        <w:rPr>
          <w:rFonts w:ascii="Times New Roman" w:hAnsi="Times New Roman"/>
          <w:sz w:val="28"/>
          <w:szCs w:val="28"/>
        </w:rPr>
        <w:t>») представляет собой сделку, состоящую из двух частей: продажи и последующей покупки ценных бумаг через определенный срок по заранее установленной цене. Разница между ценой продажи и покупки составляет стоимость заимствований с помощью операции РЕПО. Механизм операций РЕПО подразумевает, что на срок предоставления денежных средств ценные бумаги, выступающие в качестве обеспечения, переходят в собственность к кредитору, что снижает кредитный риск по данному виду операций и упрощает разрешение ситуаций при неисполнении обязательств заемщиком.</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В настоящее время операции РЕПО используются Банком России только для предоставления ликвидности. По первой части сделок Банк России выступает в качестве покупателя, а его контрагент — кредитная организация — в качестве продавца ценных бумаг, принимаемых в обеспечение. По второй части сделок </w:t>
      </w:r>
      <w:r w:rsidRPr="00C87463">
        <w:rPr>
          <w:rFonts w:ascii="Times New Roman" w:hAnsi="Times New Roman"/>
          <w:sz w:val="28"/>
          <w:szCs w:val="28"/>
        </w:rPr>
        <w:lastRenderedPageBreak/>
        <w:t xml:space="preserve">Банком России производится обратная продажа ценных бумаг кредитной организации по установленной в момент заключения сделки цене. Операции РЕПО с Банком России проводятся на организованных торгах на Фондовой бирже ММВБ и Санкт-Петербургской валютной бирже, а также не на организованных торгах с использованием информационной системы Московской Биржи и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Операции обратного модифицированного РЕПО, предусматривающие продажу Банком России ценных бумаг из установленного перечня с обязательством обратной покупки, применялись Банком России в качестве инструмента абсорбирования банковской ликвидности до 2004 года и в настоящее время не проводятся.</w:t>
      </w:r>
    </w:p>
    <w:p w:rsidR="00864071" w:rsidRPr="00C87463" w:rsidRDefault="00864071" w:rsidP="002A4C4A">
      <w:pPr>
        <w:spacing w:after="0" w:line="360" w:lineRule="auto"/>
        <w:jc w:val="both"/>
        <w:rPr>
          <w:rFonts w:ascii="Times New Roman" w:hAnsi="Times New Roman"/>
          <w:i/>
          <w:sz w:val="28"/>
          <w:szCs w:val="28"/>
        </w:rPr>
      </w:pPr>
      <w:r w:rsidRPr="00C87463">
        <w:rPr>
          <w:rFonts w:ascii="Times New Roman" w:hAnsi="Times New Roman"/>
          <w:i/>
          <w:sz w:val="28"/>
          <w:szCs w:val="28"/>
        </w:rPr>
        <w:t>Участники операций РЕПО с Банком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Банк России проводит операции РЕПО только с кредитными организациями. Требования к кредитным организациям, которым предоставляется доступ к операциям РЕПО с Банком России, установлены Указанием Банка России от 13.12.2012 № 2936-У «О требованиях к кредитным организациям, с которыми Банк России совершает сделки РЕПО».</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Информация о порядке получения доступа к операциям РЕПО с Банком России приведена в разделе «</w:t>
      </w:r>
      <w:hyperlink r:id="rId29" w:tgtFrame="_blank" w:history="1">
        <w:r w:rsidRPr="00C87463">
          <w:rPr>
            <w:rStyle w:val="af"/>
            <w:rFonts w:ascii="Times New Roman" w:hAnsi="Times New Roman"/>
            <w:sz w:val="28"/>
            <w:szCs w:val="28"/>
          </w:rPr>
          <w:t>Допуск к операциям РЕПО с Банком России</w:t>
        </w:r>
      </w:hyperlink>
      <w:r w:rsidRPr="00C87463">
        <w:rPr>
          <w:rFonts w:ascii="Times New Roman" w:hAnsi="Times New Roman"/>
          <w:sz w:val="28"/>
          <w:szCs w:val="28"/>
        </w:rPr>
        <w:t>».</w:t>
      </w:r>
    </w:p>
    <w:p w:rsidR="00864071" w:rsidRPr="00C87463" w:rsidRDefault="00864071" w:rsidP="002A4C4A">
      <w:pPr>
        <w:spacing w:after="0" w:line="360" w:lineRule="auto"/>
        <w:jc w:val="both"/>
        <w:rPr>
          <w:rFonts w:ascii="Times New Roman" w:hAnsi="Times New Roman"/>
          <w:i/>
          <w:sz w:val="28"/>
          <w:szCs w:val="28"/>
        </w:rPr>
      </w:pPr>
      <w:r w:rsidRPr="00C87463">
        <w:rPr>
          <w:rFonts w:ascii="Times New Roman" w:hAnsi="Times New Roman"/>
          <w:i/>
          <w:sz w:val="28"/>
          <w:szCs w:val="28"/>
        </w:rPr>
        <w:t>Обеспечение по операциям РЕПО с Банком России</w:t>
      </w:r>
      <w:r w:rsidR="00877543" w:rsidRPr="00C87463">
        <w:rPr>
          <w:rFonts w:ascii="Times New Roman" w:hAnsi="Times New Roman"/>
          <w:i/>
          <w:sz w:val="28"/>
          <w:szCs w:val="28"/>
        </w:rPr>
        <w:t>.</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В обеспечение по операциям РЕПО с Банком России принимаются ценные бумаги, которые входят в </w:t>
      </w:r>
      <w:hyperlink r:id="rId30" w:tgtFrame="_blank" w:history="1">
        <w:r w:rsidRPr="00C87463">
          <w:rPr>
            <w:rStyle w:val="af"/>
            <w:rFonts w:ascii="Times New Roman" w:hAnsi="Times New Roman"/>
            <w:sz w:val="28"/>
            <w:szCs w:val="28"/>
          </w:rPr>
          <w:t>Ломбардный список Банка России</w:t>
        </w:r>
      </w:hyperlink>
      <w:r w:rsidRPr="00C87463">
        <w:rPr>
          <w:rFonts w:ascii="Times New Roman" w:hAnsi="Times New Roman"/>
          <w:sz w:val="28"/>
          <w:szCs w:val="28"/>
        </w:rPr>
        <w:t>. </w:t>
      </w:r>
      <w:hyperlink r:id="rId31" w:tgtFrame="_blank" w:history="1">
        <w:r w:rsidRPr="00C87463">
          <w:rPr>
            <w:rStyle w:val="af"/>
            <w:rFonts w:ascii="Times New Roman" w:hAnsi="Times New Roman"/>
            <w:sz w:val="28"/>
            <w:szCs w:val="28"/>
          </w:rPr>
          <w:t>Список ценных бумаг</w:t>
        </w:r>
      </w:hyperlink>
      <w:r w:rsidRPr="00C87463">
        <w:rPr>
          <w:rFonts w:ascii="Times New Roman" w:hAnsi="Times New Roman"/>
          <w:sz w:val="28"/>
          <w:szCs w:val="28"/>
        </w:rPr>
        <w:t>, принимаемых в обеспечение по операциям РЕПО с Банком России, ежедневно раскрывается на сайте Банка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Перечень ценных бумаг, которые могут быть использованы в качестве обеспечения по операциям РЕПО различного типа, имеет следующие особенности: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по операциям РЕПО с Банком России, проводимым на организованных торгах на Фондовой бирже ММВБ и Санкт-Петербургской валютной бирже, в обеспечение принимаются ценные бумаги, допущенные к публичному </w:t>
      </w:r>
      <w:r w:rsidRPr="00C87463">
        <w:rPr>
          <w:rFonts w:ascii="Times New Roman" w:hAnsi="Times New Roman"/>
          <w:sz w:val="28"/>
          <w:szCs w:val="28"/>
        </w:rPr>
        <w:lastRenderedPageBreak/>
        <w:t>обращению в Российской Федерации и включенные в котировальный список соответствующего организатора торговли;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по операциям РЕПО с Банком России не на организованных торгах, проводимым с использованием информационной системы Московской Биржи, в обеспечение принимаются долговые эмиссионные ценные бумаги, выпущенные юридическими лицами-нерезидентами Российской Федерации за пределами Российской Федерации, но не допущенные к публичному обращению в Российской Федерации;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по операциям РЕПО с Банком России не на организованных торгах, проводимых с использованием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 xml:space="preserve"> с расчетами, клирингом и управлением обеспечением в НКО ЗАО НРД, в обеспечение принимаются все ценные бумаги, для которых Банком России установлены ненулевые значения начальных дисконтов.</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В отношении обеспечения, используемого по операциям РЕПО с Банком России, установлен ряд ограничений:</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в обеспечение не принимаются ценные бумаги, эмитированные кредитной организацией, заключающей сделку, или другими связанными с ней финансовыми организациями, а также ценные бумаги, в отношении которых кредитная организация, заключающая сделку, выступает гарантом (поручителем);</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в обеспечение не принимаются облигации, для которых на дату исполнения второй части сделки срок до погашения (кроме частичного погашения) или исполнения обязательств по выкупу (для облигаций Банка России) составляет менее двух рабочих дней.</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При заключении сделок РЕПО с Банком России на Санкт-Петербургской валютной бирже, а также не на организованных торгах с использованием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 xml:space="preserve"> с расчетами, клирингом и управлением обеспечением в НКО ЗАО НРД существует возможность подавать заявки на заключение сделок без указания конкретных выпусков ценных бумаг. При этом в качестве обеспечения принимаются любые ценные бумаги, входящие </w:t>
      </w:r>
      <w:r w:rsidRPr="00C87463">
        <w:rPr>
          <w:rFonts w:ascii="Times New Roman" w:hAnsi="Times New Roman"/>
          <w:sz w:val="28"/>
          <w:szCs w:val="28"/>
        </w:rPr>
        <w:lastRenderedPageBreak/>
        <w:t>в корзину ценных бумаг, которые участник предоставит для проведения расчетов.</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При заключении сделок РЕПО с Банком России не на организованных торгах с использованием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 xml:space="preserve"> с расчетами, клирингом и управлением обеспечением в НКО ЗАО НРД существует возможность замены обеспечения по открытым сделкам РЕПО в течение срока РЕПО.</w:t>
      </w:r>
    </w:p>
    <w:p w:rsidR="00864071" w:rsidRPr="00C87463" w:rsidRDefault="00864071" w:rsidP="002A4C4A">
      <w:pPr>
        <w:spacing w:after="0" w:line="360" w:lineRule="auto"/>
        <w:jc w:val="both"/>
        <w:rPr>
          <w:rFonts w:ascii="Times New Roman" w:hAnsi="Times New Roman"/>
          <w:i/>
          <w:sz w:val="28"/>
          <w:szCs w:val="28"/>
        </w:rPr>
      </w:pPr>
      <w:r w:rsidRPr="00C87463">
        <w:rPr>
          <w:rFonts w:ascii="Times New Roman" w:hAnsi="Times New Roman"/>
          <w:i/>
          <w:sz w:val="28"/>
          <w:szCs w:val="28"/>
        </w:rPr>
        <w:t>Дисконты и компенсационные взносы по операциям РЕПО с Банком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Механизмом управления Банком России рисками по операциям РЕПО является установление дисконтов: начального, верхнего предельного и нижнего предельного. Дисконты устанавливаются Банком России индивидуально для каждой ценной бумаги, принимаемой в обеспечение, и для каждого диапазона срочности операций РЕПО. При установлении дисконтов по ценной бумаге во внимание принимается ее кредитное качество и уровень ликвидности.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Начальный дисконт используется для расчета суммы денежных средств, предоставляемых Банком России кредитным организациям по первой части сделки РЕПО. В случае, если начальный дисконт по ценной бумаге равен нулю, такая ценная бумага не принимается в обеспечение по операциям РЕПО с Банком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Верхний предельный и нижний предельный дисконты, устанавливаемые Банком России, используются для переоценки обеспеченности обязательства кредитной организации по второй части сделки РЕПО по операциям РЕПО на срок свыше «овернайт». Переоценка обеспеченности (расчет текущего дисконта) осуществляется в течение всего срока РЕПО. По сделкам РЕПО, заключенным на организованных торгах, при превышении текущим дисконтом установленного Банком России верхнего предельного дисконта у Банка России возникает обязательство по внесению компенсационного взноса облигациями, в случае если текущий дисконт становится меньше установленного Банком России нижнего предельного дисконта, у контрагента Банка России возникает обязательство по внесению компенсационного взноса в денежной форме. По сделкам РЕПО, заключенным не на организованных торгах </w:t>
      </w:r>
      <w:r w:rsidRPr="00C87463">
        <w:rPr>
          <w:rFonts w:ascii="Times New Roman" w:hAnsi="Times New Roman"/>
          <w:sz w:val="28"/>
          <w:szCs w:val="28"/>
        </w:rPr>
        <w:lastRenderedPageBreak/>
        <w:t xml:space="preserve">с использованием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 xml:space="preserve"> с расчетами, клирингом и управлением обеспечением в НКО ЗАО НРД, все компенсационные взносы уплачиваются в первую очередь ценными бумагами, а денежные средства используются для уплаты компенсационных взносов только при отсутствии достаточного количества ценных бумаг, доступных для урегулирования обязательств.</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Кроме того, операции РЕПО с Банком России, проводимые не на организованных торгах с использованием информационной системы </w:t>
      </w:r>
      <w:proofErr w:type="spellStart"/>
      <w:r w:rsidRPr="00C87463">
        <w:rPr>
          <w:rFonts w:ascii="Times New Roman" w:hAnsi="Times New Roman"/>
          <w:sz w:val="28"/>
          <w:szCs w:val="28"/>
        </w:rPr>
        <w:t>Bloomberg</w:t>
      </w:r>
      <w:proofErr w:type="spellEnd"/>
      <w:r w:rsidRPr="00C87463">
        <w:rPr>
          <w:rFonts w:ascii="Times New Roman" w:hAnsi="Times New Roman"/>
          <w:sz w:val="28"/>
          <w:szCs w:val="28"/>
        </w:rPr>
        <w:t xml:space="preserve"> и расчетами, клирингом и управлением обеспечением в НКО ЗАО НРД, имеют следующие особенности: переоценка обеспечения осуществляется не по каждой сделке в отдельности, а по всему пулу сделок каждого контрагента Банка России, при этом вне зависимости от срока сделки для переоценки используются значения начальных дисконтов по операциям РЕПО на срок до 6 календарных дней, установленные Банком России на утро текущего дня.</w:t>
      </w:r>
    </w:p>
    <w:p w:rsidR="00864071" w:rsidRPr="00C87463" w:rsidRDefault="00864071" w:rsidP="002A4C4A">
      <w:pPr>
        <w:spacing w:after="0" w:line="360" w:lineRule="auto"/>
        <w:jc w:val="both"/>
        <w:rPr>
          <w:rFonts w:ascii="Times New Roman" w:hAnsi="Times New Roman"/>
          <w:i/>
          <w:sz w:val="28"/>
          <w:szCs w:val="28"/>
        </w:rPr>
      </w:pPr>
      <w:r w:rsidRPr="00C87463">
        <w:rPr>
          <w:rFonts w:ascii="Times New Roman" w:hAnsi="Times New Roman"/>
          <w:i/>
          <w:sz w:val="28"/>
          <w:szCs w:val="28"/>
        </w:rPr>
        <w:t>Параметры проведения операций РЕПО с Банком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Для проведения операций РЕПО с Банком России используется два механизма: заключение сделок на аукционной основе и по фиксированной ставке.</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Участники аукционов РЕПО с Банком России могут подавать только конкурентные заявки (с указанием ставки РЕПО). На основе оценки текущей ситуации на российском денежном рынке и тенденций в динамике факторов формирования ликвидности банковского сектора Банком России устанавливается максимальный объём предоставляемых на аукционе средств, а также </w:t>
      </w:r>
      <w:hyperlink r:id="rId32" w:tgtFrame="_blank" w:history="1">
        <w:r w:rsidRPr="00C87463">
          <w:rPr>
            <w:rStyle w:val="af"/>
            <w:rFonts w:ascii="Times New Roman" w:hAnsi="Times New Roman"/>
            <w:sz w:val="28"/>
            <w:szCs w:val="28"/>
          </w:rPr>
          <w:t>минимальная процентная ставка</w:t>
        </w:r>
      </w:hyperlink>
      <w:r w:rsidRPr="00C87463">
        <w:rPr>
          <w:rFonts w:ascii="Times New Roman" w:hAnsi="Times New Roman"/>
          <w:sz w:val="28"/>
          <w:szCs w:val="28"/>
        </w:rPr>
        <w:t xml:space="preserve"> (на уровне не ниже установленной Советом директоров Банка России величины). Указанные параметры аукционов устанавливаются Банком России с сентября 2008 года и февраля 2009 года соответственно. При принятии решения о ставке отсечения на аукционе РЕПО с Банком России на срок 1 день заявки, поданные по ставке, большей либо равной ставке РЕПО на фиксированных условиях, не учитываются в максимальном объеме предоставляемых средств на данный аукцион </w:t>
      </w:r>
      <w:r w:rsidRPr="00C87463">
        <w:rPr>
          <w:rFonts w:ascii="Times New Roman" w:hAnsi="Times New Roman"/>
          <w:sz w:val="28"/>
          <w:szCs w:val="28"/>
        </w:rPr>
        <w:lastRenderedPageBreak/>
        <w:t>и удовлетворяются в полном объеме. </w:t>
      </w:r>
      <w:hyperlink r:id="rId33" w:tgtFrame="_blank" w:history="1">
        <w:r w:rsidRPr="00C87463">
          <w:rPr>
            <w:rStyle w:val="af"/>
            <w:rFonts w:ascii="Times New Roman" w:hAnsi="Times New Roman"/>
            <w:sz w:val="28"/>
            <w:szCs w:val="28"/>
          </w:rPr>
          <w:t>Параметры</w:t>
        </w:r>
      </w:hyperlink>
      <w:r w:rsidRPr="00C87463">
        <w:rPr>
          <w:rFonts w:ascii="Times New Roman" w:hAnsi="Times New Roman"/>
          <w:sz w:val="28"/>
          <w:szCs w:val="28"/>
        </w:rPr>
        <w:t> и </w:t>
      </w:r>
      <w:hyperlink r:id="rId34" w:tgtFrame="_blank" w:history="1">
        <w:r w:rsidRPr="00C87463">
          <w:rPr>
            <w:rStyle w:val="af"/>
            <w:rFonts w:ascii="Times New Roman" w:hAnsi="Times New Roman"/>
            <w:sz w:val="28"/>
            <w:szCs w:val="28"/>
          </w:rPr>
          <w:t>итоги</w:t>
        </w:r>
      </w:hyperlink>
      <w:r w:rsidRPr="00C87463">
        <w:rPr>
          <w:rFonts w:ascii="Times New Roman" w:hAnsi="Times New Roman"/>
          <w:sz w:val="28"/>
          <w:szCs w:val="28"/>
        </w:rPr>
        <w:t> аукционов РЕПО с Банком России ежедневно публикуются на сайте Банка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Операции РЕПО с Банком России по фиксированной ставке являются инструментами постоянного действия, что позволяет кредитным организациям привлекать ликвидность от Банка России в течение торгового дня на фиксированных условиях на срок 1 день по ставке, которая превышает минимальную процентную ставку, установленную для аукционных операций РЕПО с Банком России на соответствующий срок. Для данного вида операций, в отличие от операций РЕПО с Банком России на аукционной основе, не устанавливается иных лимитов, кроме связанных с управлением рисками Банка России. </w:t>
      </w:r>
      <w:hyperlink r:id="rId35" w:tgtFrame="_blank" w:history="1">
        <w:r w:rsidRPr="00C87463">
          <w:rPr>
            <w:rStyle w:val="af"/>
            <w:rFonts w:ascii="Times New Roman" w:hAnsi="Times New Roman"/>
            <w:sz w:val="28"/>
            <w:szCs w:val="28"/>
          </w:rPr>
          <w:t>Итоги проведения операций РЕПО с Банком России по фиксированной ставке</w:t>
        </w:r>
      </w:hyperlink>
      <w:r w:rsidRPr="00C87463">
        <w:rPr>
          <w:rFonts w:ascii="Times New Roman" w:hAnsi="Times New Roman"/>
          <w:sz w:val="28"/>
          <w:szCs w:val="28"/>
        </w:rPr>
        <w:t> ежедневно публикуются на сайте Банка России.</w:t>
      </w:r>
    </w:p>
    <w:p w:rsidR="00864071" w:rsidRPr="00C87463" w:rsidRDefault="00864071" w:rsidP="002A4C4A">
      <w:pPr>
        <w:spacing w:after="0" w:line="360" w:lineRule="auto"/>
        <w:jc w:val="both"/>
        <w:rPr>
          <w:rFonts w:ascii="Times New Roman" w:hAnsi="Times New Roman"/>
          <w:sz w:val="28"/>
          <w:szCs w:val="28"/>
        </w:rPr>
      </w:pPr>
      <w:r w:rsidRPr="00C87463">
        <w:rPr>
          <w:rFonts w:ascii="Times New Roman" w:hAnsi="Times New Roman"/>
          <w:sz w:val="28"/>
          <w:szCs w:val="28"/>
        </w:rPr>
        <w:t>Аукционы РЕПО с Банком России с предоставлением средств на срок 1 день проводятся ежедневно, на срок 7 дней — не чаще одного раза в неделю, на срок 3 месяца и 12 месяцев — в случае принятия Банком России соответствующего решения. Операции РЕПО с Банком России по фиксированной ставке проводятся ежедневно с предоставлением средств на срок 1 день.</w:t>
      </w:r>
    </w:p>
    <w:p w:rsidR="00877543" w:rsidRPr="00C87463" w:rsidRDefault="00877543" w:rsidP="00471F39">
      <w:pPr>
        <w:pStyle w:val="1"/>
        <w:ind w:firstLine="708"/>
        <w:rPr>
          <w:szCs w:val="28"/>
        </w:rPr>
      </w:pPr>
      <w:bookmarkStart w:id="22" w:name="_Toc437453866"/>
      <w:r w:rsidRPr="00C87463">
        <w:rPr>
          <w:szCs w:val="28"/>
        </w:rPr>
        <w:t>2.2.4 Рефинансирование кредитных организаций</w:t>
      </w:r>
      <w:bookmarkEnd w:id="22"/>
    </w:p>
    <w:p w:rsidR="00BF3751" w:rsidRPr="00C87463" w:rsidRDefault="00864071" w:rsidP="00877543">
      <w:pPr>
        <w:spacing w:before="240" w:after="0" w:line="360" w:lineRule="auto"/>
        <w:ind w:firstLine="708"/>
        <w:jc w:val="both"/>
        <w:rPr>
          <w:rFonts w:ascii="Times New Roman" w:hAnsi="Times New Roman"/>
          <w:sz w:val="28"/>
          <w:szCs w:val="28"/>
        </w:rPr>
      </w:pPr>
      <w:r w:rsidRPr="00C87463">
        <w:rPr>
          <w:rFonts w:ascii="Times New Roman" w:hAnsi="Times New Roman"/>
          <w:sz w:val="28"/>
          <w:szCs w:val="28"/>
        </w:rPr>
        <w:t>Ц</w:t>
      </w:r>
      <w:r w:rsidR="00B21F3E" w:rsidRPr="00C87463">
        <w:rPr>
          <w:rFonts w:ascii="Times New Roman" w:hAnsi="Times New Roman"/>
          <w:sz w:val="28"/>
          <w:szCs w:val="28"/>
        </w:rPr>
        <w:t>ентральный Банк России</w:t>
      </w:r>
      <w:r w:rsidR="009E0EE3" w:rsidRPr="00C87463">
        <w:rPr>
          <w:rFonts w:ascii="Times New Roman" w:hAnsi="Times New Roman"/>
          <w:sz w:val="28"/>
          <w:szCs w:val="28"/>
        </w:rPr>
        <w:t xml:space="preserve"> проводит рефинан</w:t>
      </w:r>
      <w:r w:rsidR="00BF3751" w:rsidRPr="00C87463">
        <w:rPr>
          <w:rFonts w:ascii="Times New Roman" w:hAnsi="Times New Roman"/>
          <w:sz w:val="28"/>
          <w:szCs w:val="28"/>
        </w:rPr>
        <w:t>сирование кредитных организаций. Кредиты Банка России могут быть обеспечены ценными бумагами, входящими в </w:t>
      </w:r>
      <w:hyperlink r:id="rId36" w:tgtFrame="_blank" w:history="1">
        <w:r w:rsidR="00BF3751" w:rsidRPr="00C87463">
          <w:rPr>
            <w:rStyle w:val="af"/>
            <w:rFonts w:ascii="Times New Roman" w:hAnsi="Times New Roman"/>
            <w:sz w:val="28"/>
            <w:szCs w:val="28"/>
          </w:rPr>
          <w:t>Ломбардный список Банка России</w:t>
        </w:r>
      </w:hyperlink>
      <w:r w:rsidR="00BF3751" w:rsidRPr="00C87463">
        <w:rPr>
          <w:rFonts w:ascii="Times New Roman" w:hAnsi="Times New Roman"/>
          <w:sz w:val="28"/>
          <w:szCs w:val="28"/>
        </w:rPr>
        <w:t xml:space="preserve">, нерыночными активами (векселями организаций реального сектора экономики или правами требования по кредитным договорам с указанными организациями), поручительствами кредитных организаций, а также золотом. Виды кредитов Банка России и условия кредитования приведены в Приложении </w:t>
      </w:r>
      <w:r w:rsidR="00471F39" w:rsidRPr="00C87463">
        <w:rPr>
          <w:rFonts w:ascii="Times New Roman" w:hAnsi="Times New Roman"/>
          <w:sz w:val="28"/>
          <w:szCs w:val="28"/>
        </w:rPr>
        <w:t>2</w:t>
      </w:r>
      <w:r w:rsidR="00BF3751" w:rsidRPr="00C87463">
        <w:rPr>
          <w:rFonts w:ascii="Times New Roman" w:hAnsi="Times New Roman"/>
          <w:sz w:val="28"/>
          <w:szCs w:val="28"/>
        </w:rPr>
        <w:t>.</w:t>
      </w:r>
    </w:p>
    <w:p w:rsidR="00BF3751" w:rsidRPr="00C87463" w:rsidRDefault="00471F39" w:rsidP="00471F39">
      <w:pPr>
        <w:spacing w:after="0" w:line="360" w:lineRule="auto"/>
        <w:ind w:firstLine="708"/>
        <w:jc w:val="both"/>
        <w:rPr>
          <w:rFonts w:ascii="Times New Roman" w:hAnsi="Times New Roman"/>
          <w:b/>
          <w:sz w:val="28"/>
          <w:szCs w:val="28"/>
        </w:rPr>
      </w:pPr>
      <w:r w:rsidRPr="00C87463">
        <w:rPr>
          <w:rFonts w:ascii="Times New Roman" w:hAnsi="Times New Roman"/>
          <w:b/>
          <w:sz w:val="28"/>
          <w:szCs w:val="28"/>
        </w:rPr>
        <w:t>2.2.4.1</w:t>
      </w:r>
      <w:r w:rsidR="00BF3751" w:rsidRPr="00C87463">
        <w:rPr>
          <w:rFonts w:ascii="Times New Roman" w:hAnsi="Times New Roman"/>
          <w:b/>
          <w:sz w:val="28"/>
          <w:szCs w:val="28"/>
        </w:rPr>
        <w:t xml:space="preserve"> Объемы операций кредитования Банка России</w:t>
      </w:r>
    </w:p>
    <w:p w:rsidR="001820C7" w:rsidRPr="00C87463" w:rsidRDefault="00BF3751"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w:t>
      </w:r>
      <w:r w:rsidR="00471F39" w:rsidRPr="00C87463">
        <w:rPr>
          <w:rFonts w:ascii="Times New Roman" w:hAnsi="Times New Roman"/>
          <w:sz w:val="28"/>
          <w:szCs w:val="28"/>
        </w:rPr>
        <w:t xml:space="preserve">Для того, чтобы оценить динамику предоставленных кредитов в разрезе по категориям кредитов, </w:t>
      </w:r>
      <w:r w:rsidR="00485543">
        <w:rPr>
          <w:rFonts w:ascii="Times New Roman" w:hAnsi="Times New Roman"/>
          <w:sz w:val="28"/>
          <w:szCs w:val="28"/>
        </w:rPr>
        <w:t>обратимся к таблице</w:t>
      </w:r>
      <w:r w:rsidR="00471F39" w:rsidRPr="00C87463">
        <w:rPr>
          <w:rFonts w:ascii="Times New Roman" w:hAnsi="Times New Roman"/>
          <w:sz w:val="28"/>
          <w:szCs w:val="28"/>
        </w:rPr>
        <w:t xml:space="preserve"> «</w:t>
      </w:r>
      <w:r w:rsidR="001820C7" w:rsidRPr="00C87463">
        <w:rPr>
          <w:rFonts w:ascii="Times New Roman" w:hAnsi="Times New Roman"/>
          <w:sz w:val="28"/>
          <w:szCs w:val="28"/>
        </w:rPr>
        <w:t>Объемы операций кредитования Банка России</w:t>
      </w:r>
      <w:r w:rsidR="00471F39" w:rsidRPr="00C87463">
        <w:rPr>
          <w:rFonts w:ascii="Times New Roman" w:hAnsi="Times New Roman"/>
          <w:sz w:val="28"/>
          <w:szCs w:val="28"/>
        </w:rPr>
        <w:t>».</w:t>
      </w:r>
    </w:p>
    <w:tbl>
      <w:tblPr>
        <w:tblW w:w="8180" w:type="dxa"/>
        <w:tblCellMar>
          <w:left w:w="0" w:type="dxa"/>
          <w:right w:w="0" w:type="dxa"/>
        </w:tblCellMar>
        <w:tblLook w:val="04A0" w:firstRow="1" w:lastRow="0" w:firstColumn="1" w:lastColumn="0" w:noHBand="0" w:noVBand="1"/>
      </w:tblPr>
      <w:tblGrid>
        <w:gridCol w:w="2337"/>
        <w:gridCol w:w="2270"/>
        <w:gridCol w:w="2375"/>
        <w:gridCol w:w="2130"/>
      </w:tblGrid>
      <w:tr w:rsidR="001820C7" w:rsidRPr="00C87463" w:rsidTr="001820C7">
        <w:trPr>
          <w:trHeight w:val="495"/>
        </w:trPr>
        <w:tc>
          <w:tcPr>
            <w:tcW w:w="6200" w:type="dxa"/>
            <w:gridSpan w:val="3"/>
            <w:tcBorders>
              <w:top w:val="nil"/>
              <w:left w:val="nil"/>
              <w:bottom w:val="nil"/>
              <w:right w:val="nil"/>
            </w:tcBorders>
            <w:shd w:val="clear" w:color="auto" w:fill="auto"/>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 xml:space="preserve">Объемы операций кредитования Банка России  в млн. </w:t>
            </w:r>
            <w:proofErr w:type="spellStart"/>
            <w:r w:rsidRPr="00C87463">
              <w:rPr>
                <w:rFonts w:ascii="Times New Roman" w:hAnsi="Times New Roman"/>
                <w:sz w:val="28"/>
                <w:szCs w:val="28"/>
              </w:rPr>
              <w:t>руб</w:t>
            </w:r>
            <w:proofErr w:type="spellEnd"/>
          </w:p>
        </w:tc>
        <w:tc>
          <w:tcPr>
            <w:tcW w:w="1980" w:type="dxa"/>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r>
      <w:tr w:rsidR="001820C7" w:rsidRPr="00C87463" w:rsidTr="001820C7">
        <w:trPr>
          <w:trHeight w:val="400"/>
        </w:trPr>
        <w:tc>
          <w:tcPr>
            <w:tcW w:w="21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Месяц/год </w:t>
            </w:r>
          </w:p>
        </w:tc>
        <w:tc>
          <w:tcPr>
            <w:tcW w:w="20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Объем предоставленных ломбардных кредитов* </w:t>
            </w:r>
          </w:p>
        </w:tc>
        <w:tc>
          <w:tcPr>
            <w:tcW w:w="20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Объем предоставленных кредитов, обеспеченных активами или поручительствами* </w:t>
            </w:r>
          </w:p>
        </w:tc>
        <w:tc>
          <w:tcPr>
            <w:tcW w:w="19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Объем предоставленных кредитов, обеспеченных золотом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6</w:t>
            </w:r>
          </w:p>
        </w:tc>
      </w:tr>
      <w:tr w:rsidR="001820C7" w:rsidRPr="00C87463" w:rsidTr="001820C7">
        <w:trPr>
          <w:trHeight w:val="300"/>
        </w:trPr>
        <w:tc>
          <w:tcPr>
            <w:tcW w:w="0" w:type="auto"/>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2007 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24 154,50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32 764,50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2008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212 677,64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445 526,20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2009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308 848,50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2 419 364,70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2010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74 992,98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334 556,95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2011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112 742,68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431 310,64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19,00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2012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211 227,47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1 520 368,91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2 150,00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2013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224 889,78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1 904 104,42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2 113,00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ИТОГО ЗА 2014 г.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113 255,62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12 144 805,21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2 807,00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2015 год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Январь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6 663,00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1 058 374,97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762,20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Февраль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15 043,50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806 772,35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75,20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Март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19 647,60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798 310,89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528,70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Апрель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23 497,00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1 316 287,26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249,40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Май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20 112,00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952 338,22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195,50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Июнь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21 602,00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703 603,98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45,00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Июль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24 686,00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1 130 469,72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251,70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Август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20 414,00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803 548,84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457,80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Сентябрь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26 686,00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526 560,40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     </w:t>
            </w:r>
          </w:p>
        </w:tc>
      </w:tr>
      <w:tr w:rsidR="001820C7" w:rsidRPr="00C87463" w:rsidTr="001820C7">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Октябрь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23 936,00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429 629,49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1 081,80   </w:t>
            </w:r>
          </w:p>
        </w:tc>
      </w:tr>
      <w:tr w:rsidR="001820C7" w:rsidRPr="00C87463" w:rsidTr="001820C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ИТОГО ЗА 2015 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202 287,10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8 525 896,12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3 647,30   </w:t>
            </w:r>
          </w:p>
        </w:tc>
      </w:tr>
      <w:tr w:rsidR="001820C7" w:rsidRPr="00C87463" w:rsidTr="001820C7">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r>
      <w:tr w:rsidR="001820C7" w:rsidRPr="00C87463" w:rsidTr="001820C7">
        <w:trPr>
          <w:trHeight w:val="255"/>
        </w:trPr>
        <w:tc>
          <w:tcPr>
            <w:tcW w:w="0" w:type="auto"/>
            <w:gridSpan w:val="4"/>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 в том числе специализированные инструменты Банка России</w:t>
            </w:r>
          </w:p>
        </w:tc>
      </w:tr>
      <w:tr w:rsidR="001820C7" w:rsidRPr="00C87463" w:rsidTr="001820C7">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1820C7" w:rsidP="002A4C4A">
            <w:pPr>
              <w:spacing w:after="0" w:line="360" w:lineRule="auto"/>
              <w:jc w:val="both"/>
              <w:rPr>
                <w:rFonts w:ascii="Times New Roman" w:hAnsi="Times New Roman"/>
                <w:sz w:val="28"/>
                <w:szCs w:val="2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820C7" w:rsidRPr="00C87463" w:rsidRDefault="00471F39" w:rsidP="002A4C4A">
            <w:pPr>
              <w:spacing w:after="0" w:line="360" w:lineRule="auto"/>
              <w:jc w:val="both"/>
              <w:rPr>
                <w:rFonts w:ascii="Times New Roman" w:hAnsi="Times New Roman"/>
                <w:sz w:val="28"/>
                <w:szCs w:val="28"/>
              </w:rPr>
            </w:pPr>
            <w:r w:rsidRPr="00C87463">
              <w:rPr>
                <w:rFonts w:ascii="Times New Roman" w:hAnsi="Times New Roman"/>
                <w:sz w:val="28"/>
                <w:szCs w:val="28"/>
              </w:rPr>
              <w:t>Таблица 1</w:t>
            </w:r>
          </w:p>
        </w:tc>
      </w:tr>
    </w:tbl>
    <w:p w:rsidR="008D1F3F"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 </w:t>
      </w:r>
      <w:r w:rsidR="006A63A1">
        <w:rPr>
          <w:rFonts w:ascii="Times New Roman" w:hAnsi="Times New Roman"/>
          <w:sz w:val="28"/>
          <w:szCs w:val="28"/>
        </w:rPr>
        <w:tab/>
        <w:t xml:space="preserve">Исходя из полученных данных, можно сделать вывод, что </w:t>
      </w:r>
      <w:r w:rsidR="007A2EC3">
        <w:rPr>
          <w:rFonts w:ascii="Times New Roman" w:hAnsi="Times New Roman"/>
          <w:sz w:val="28"/>
          <w:szCs w:val="28"/>
        </w:rPr>
        <w:t xml:space="preserve">после 2009 года наблюдается </w:t>
      </w:r>
      <w:r w:rsidR="00CC16D3">
        <w:rPr>
          <w:rFonts w:ascii="Times New Roman" w:hAnsi="Times New Roman"/>
          <w:sz w:val="28"/>
          <w:szCs w:val="28"/>
        </w:rPr>
        <w:t xml:space="preserve">стабильная </w:t>
      </w:r>
      <w:r w:rsidR="007A2EC3">
        <w:rPr>
          <w:rFonts w:ascii="Times New Roman" w:hAnsi="Times New Roman"/>
          <w:sz w:val="28"/>
          <w:szCs w:val="28"/>
        </w:rPr>
        <w:t>положительная динамика</w:t>
      </w:r>
      <w:r w:rsidR="006A63A1">
        <w:rPr>
          <w:rFonts w:ascii="Times New Roman" w:hAnsi="Times New Roman"/>
          <w:sz w:val="28"/>
          <w:szCs w:val="28"/>
        </w:rPr>
        <w:t xml:space="preserve"> </w:t>
      </w:r>
      <w:r w:rsidR="007A2EC3">
        <w:rPr>
          <w:rFonts w:ascii="Times New Roman" w:hAnsi="Times New Roman"/>
          <w:sz w:val="28"/>
          <w:szCs w:val="28"/>
        </w:rPr>
        <w:t xml:space="preserve">в использовании </w:t>
      </w:r>
      <w:r w:rsidR="00CC16D3">
        <w:rPr>
          <w:rFonts w:ascii="Times New Roman" w:hAnsi="Times New Roman"/>
          <w:sz w:val="28"/>
          <w:szCs w:val="28"/>
        </w:rPr>
        <w:t xml:space="preserve">ЦБ РФ </w:t>
      </w:r>
      <w:r w:rsidR="007A2EC3">
        <w:rPr>
          <w:rFonts w:ascii="Times New Roman" w:hAnsi="Times New Roman"/>
          <w:sz w:val="28"/>
          <w:szCs w:val="28"/>
        </w:rPr>
        <w:t xml:space="preserve">такого </w:t>
      </w:r>
      <w:r w:rsidR="006A63A1">
        <w:rPr>
          <w:rFonts w:ascii="Times New Roman" w:hAnsi="Times New Roman"/>
          <w:sz w:val="28"/>
          <w:szCs w:val="28"/>
        </w:rPr>
        <w:t>инструмент</w:t>
      </w:r>
      <w:r w:rsidR="007A2EC3">
        <w:rPr>
          <w:rFonts w:ascii="Times New Roman" w:hAnsi="Times New Roman"/>
          <w:sz w:val="28"/>
          <w:szCs w:val="28"/>
        </w:rPr>
        <w:t>а</w:t>
      </w:r>
      <w:r w:rsidR="006A63A1">
        <w:rPr>
          <w:rFonts w:ascii="Times New Roman" w:hAnsi="Times New Roman"/>
          <w:sz w:val="28"/>
          <w:szCs w:val="28"/>
        </w:rPr>
        <w:t xml:space="preserve"> </w:t>
      </w:r>
      <w:r w:rsidR="00CC16D3">
        <w:rPr>
          <w:rFonts w:ascii="Times New Roman" w:hAnsi="Times New Roman"/>
          <w:sz w:val="28"/>
          <w:szCs w:val="28"/>
        </w:rPr>
        <w:t xml:space="preserve">как </w:t>
      </w:r>
      <w:r w:rsidR="006A63A1">
        <w:rPr>
          <w:rFonts w:ascii="Times New Roman" w:hAnsi="Times New Roman"/>
          <w:sz w:val="28"/>
          <w:szCs w:val="28"/>
        </w:rPr>
        <w:t>рефинансирования кредитных организаций</w:t>
      </w:r>
      <w:r w:rsidR="007A2EC3">
        <w:rPr>
          <w:rFonts w:ascii="Times New Roman" w:hAnsi="Times New Roman"/>
          <w:sz w:val="28"/>
          <w:szCs w:val="28"/>
        </w:rPr>
        <w:t>.</w:t>
      </w:r>
    </w:p>
    <w:p w:rsidR="001820C7" w:rsidRPr="00C87463" w:rsidRDefault="00C87861" w:rsidP="00471F39">
      <w:pPr>
        <w:spacing w:after="0" w:line="360" w:lineRule="auto"/>
        <w:ind w:firstLine="708"/>
        <w:jc w:val="both"/>
        <w:rPr>
          <w:rFonts w:ascii="Times New Roman" w:hAnsi="Times New Roman"/>
          <w:b/>
          <w:sz w:val="28"/>
          <w:szCs w:val="28"/>
        </w:rPr>
      </w:pPr>
      <w:r w:rsidRPr="00C87463">
        <w:rPr>
          <w:rFonts w:ascii="Times New Roman" w:hAnsi="Times New Roman"/>
          <w:b/>
          <w:sz w:val="28"/>
          <w:szCs w:val="28"/>
        </w:rPr>
        <w:t>2</w:t>
      </w:r>
      <w:r w:rsidR="001820C7" w:rsidRPr="00C87463">
        <w:rPr>
          <w:rFonts w:ascii="Times New Roman" w:hAnsi="Times New Roman"/>
          <w:b/>
          <w:sz w:val="28"/>
          <w:szCs w:val="28"/>
        </w:rPr>
        <w:t>.2</w:t>
      </w:r>
      <w:r w:rsidR="00471F39" w:rsidRPr="00C87463">
        <w:rPr>
          <w:rFonts w:ascii="Times New Roman" w:hAnsi="Times New Roman"/>
          <w:b/>
          <w:sz w:val="28"/>
          <w:szCs w:val="28"/>
        </w:rPr>
        <w:t>.4.2</w:t>
      </w:r>
      <w:r w:rsidR="001820C7" w:rsidRPr="00C87463">
        <w:rPr>
          <w:rFonts w:ascii="Times New Roman" w:hAnsi="Times New Roman"/>
          <w:b/>
          <w:sz w:val="28"/>
          <w:szCs w:val="28"/>
        </w:rPr>
        <w:t xml:space="preserve"> Кредиты под залог (блокировку) ценных бумаг из Ломбардного списка Банка России (внутридневные кредиты, кредиты овернайт и ломбардные кредиты)</w:t>
      </w:r>
    </w:p>
    <w:p w:rsidR="001820C7" w:rsidRPr="00C87463" w:rsidRDefault="001820C7" w:rsidP="00471F39">
      <w:pPr>
        <w:spacing w:after="0" w:line="360" w:lineRule="auto"/>
        <w:ind w:firstLine="708"/>
        <w:jc w:val="both"/>
        <w:rPr>
          <w:rFonts w:ascii="Times New Roman" w:hAnsi="Times New Roman"/>
          <w:sz w:val="28"/>
          <w:szCs w:val="28"/>
        </w:rPr>
      </w:pPr>
      <w:r w:rsidRPr="00C87463">
        <w:rPr>
          <w:rFonts w:ascii="Times New Roman" w:hAnsi="Times New Roman"/>
          <w:sz w:val="28"/>
          <w:szCs w:val="28"/>
        </w:rPr>
        <w:t>Кредитование под залог (блокировку) ценных бумаг осуществляется в соответствии с Положением Банка России от 4 августа 2003 года № 236-П «О порядке предоставления Банком России кредитным организациям кредитов, обеспеченных залогом (блокировкой) ценных бумаг» (с учетом изменений).</w:t>
      </w:r>
    </w:p>
    <w:p w:rsidR="001820C7" w:rsidRPr="00C87463" w:rsidRDefault="001820C7" w:rsidP="002A4C4A">
      <w:pPr>
        <w:spacing w:after="0" w:line="360" w:lineRule="auto"/>
        <w:jc w:val="both"/>
        <w:rPr>
          <w:rFonts w:ascii="Times New Roman" w:hAnsi="Times New Roman"/>
          <w:sz w:val="28"/>
          <w:szCs w:val="28"/>
        </w:rPr>
      </w:pPr>
      <w:bookmarkStart w:id="23" w:name="3-1"/>
      <w:bookmarkEnd w:id="23"/>
      <w:r w:rsidRPr="00C87463">
        <w:rPr>
          <w:rFonts w:ascii="Times New Roman" w:hAnsi="Times New Roman"/>
          <w:sz w:val="28"/>
          <w:szCs w:val="28"/>
        </w:rPr>
        <w:t>Банк России предоставляет кредитным организациям в автоматическом режиме внутридневные кредиты и кредиты овернайт и в режиме запроса (заявления на получение кредита по фиксированной процентной ставке) — ломбардные кредиты.</w:t>
      </w:r>
    </w:p>
    <w:p w:rsidR="001820C7" w:rsidRPr="00C87463" w:rsidRDefault="001820C7" w:rsidP="00471F39">
      <w:pPr>
        <w:spacing w:after="0" w:line="360" w:lineRule="auto"/>
        <w:ind w:firstLine="708"/>
        <w:jc w:val="both"/>
        <w:rPr>
          <w:rFonts w:ascii="Times New Roman" w:hAnsi="Times New Roman"/>
          <w:sz w:val="28"/>
          <w:szCs w:val="28"/>
        </w:rPr>
      </w:pPr>
      <w:r w:rsidRPr="00C87463">
        <w:rPr>
          <w:rFonts w:ascii="Times New Roman" w:hAnsi="Times New Roman"/>
          <w:sz w:val="28"/>
          <w:szCs w:val="28"/>
        </w:rPr>
        <w:t>Внутридневные кредиты бесплатны для кредитных организаций, кредиты овернайт предоставляются на погашение оставшейся непогашенной к концу дня задолженности по внутридневному кредиту по</w:t>
      </w:r>
      <w:hyperlink r:id="rId37" w:tgtFrame="_blank" w:history="1">
        <w:r w:rsidRPr="00C87463">
          <w:rPr>
            <w:rStyle w:val="af"/>
            <w:rFonts w:ascii="Times New Roman" w:hAnsi="Times New Roman"/>
            <w:sz w:val="28"/>
            <w:szCs w:val="28"/>
          </w:rPr>
          <w:t>ставке овернайт Банка России</w:t>
        </w:r>
      </w:hyperlink>
      <w:r w:rsidRPr="00C87463">
        <w:rPr>
          <w:rFonts w:ascii="Times New Roman" w:hAnsi="Times New Roman"/>
          <w:sz w:val="28"/>
          <w:szCs w:val="28"/>
        </w:rPr>
        <w:t>. В настоящее время Банком России обеспечена возможность получения кредитными организациями внутридневных кредитов и кредитов овернайт Банка России на их корреспондентские счета или корреспондентские субсчета, открытые в подразделениях расчетной сети Банка России всех территориальных учреждений Банка России, осуществляющих электронную обработку платежей (т.е. в 76 территориальных учреждениях Банка России).</w:t>
      </w:r>
    </w:p>
    <w:p w:rsidR="001820C7" w:rsidRPr="00C87463" w:rsidRDefault="001820C7" w:rsidP="00471F39">
      <w:pPr>
        <w:spacing w:after="0" w:line="360" w:lineRule="auto"/>
        <w:ind w:firstLine="708"/>
        <w:jc w:val="both"/>
        <w:rPr>
          <w:rFonts w:ascii="Times New Roman" w:hAnsi="Times New Roman"/>
          <w:sz w:val="28"/>
          <w:szCs w:val="28"/>
        </w:rPr>
      </w:pPr>
      <w:bookmarkStart w:id="24" w:name="3-2"/>
      <w:bookmarkEnd w:id="24"/>
      <w:r w:rsidRPr="00C87463">
        <w:rPr>
          <w:rFonts w:ascii="Times New Roman" w:hAnsi="Times New Roman"/>
          <w:sz w:val="28"/>
          <w:szCs w:val="28"/>
        </w:rPr>
        <w:t xml:space="preserve">Ломбардные кредиты Банка России могут предоставляться на фиксированных условиях на любые банковские счета (корреспондентский счет и(или) корреспондентские субсчета) кредитной организации, открытые во всех территориальных учреждениях Банка России или в уполномоченных </w:t>
      </w:r>
      <w:r w:rsidRPr="00C87463">
        <w:rPr>
          <w:rFonts w:ascii="Times New Roman" w:hAnsi="Times New Roman"/>
          <w:sz w:val="28"/>
          <w:szCs w:val="28"/>
        </w:rPr>
        <w:lastRenderedPageBreak/>
        <w:t>РНКО. Статус уполномоченной РНКО на сегодняшний день имеет НКО ЗАО НРД.</w:t>
      </w:r>
    </w:p>
    <w:p w:rsidR="001820C7" w:rsidRPr="00C87463" w:rsidRDefault="001820C7" w:rsidP="00471F39">
      <w:pPr>
        <w:spacing w:after="0" w:line="360" w:lineRule="auto"/>
        <w:ind w:firstLine="708"/>
        <w:jc w:val="both"/>
        <w:rPr>
          <w:rFonts w:ascii="Times New Roman" w:hAnsi="Times New Roman"/>
          <w:sz w:val="28"/>
          <w:szCs w:val="28"/>
        </w:rPr>
      </w:pPr>
      <w:r w:rsidRPr="00C87463">
        <w:rPr>
          <w:rFonts w:ascii="Times New Roman" w:hAnsi="Times New Roman"/>
          <w:sz w:val="28"/>
          <w:szCs w:val="28"/>
        </w:rPr>
        <w:t>В целях предоставления кредитным организациям возможности для эффективного управления собственной ликвидностью при использовании механизма усреднения обязательных резервов Банк России проводит операции ломбардного кредитования на фиксированных условиях. Денежные средства предоставляются в день обращения кредитной организации.</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Для получения ломбардных кредитов на корреспондентский счет, открытый в уполномоченной РНКО, кредитные организации подают заявления на получение ломбардного кредита по фиксированной процентной ставке с использованием Системы электронных торгов ПАО Московская Биржа (СЭТ ПАО Московская Биржа) в соответствии с Правилами заключения Банком России сделок с кредитными организациями с использованием Системы электронных торгов ПАО Московская Биржа при проведении Банком России депозитных и кредитных операций.</w:t>
      </w:r>
      <w:r w:rsidR="007F0C06" w:rsidRPr="00C87463">
        <w:rPr>
          <w:rFonts w:ascii="Times New Roman" w:hAnsi="Times New Roman"/>
          <w:sz w:val="28"/>
          <w:szCs w:val="28"/>
        </w:rPr>
        <w:t xml:space="preserve">  В таблице 3 приведена динамика объемов предоставленных кредитным организациям ВДК и процентной ставки </w:t>
      </w:r>
      <w:r w:rsidR="007F0C06" w:rsidRPr="00C87463">
        <w:rPr>
          <w:rFonts w:ascii="Times New Roman" w:hAnsi="Times New Roman"/>
          <w:sz w:val="28"/>
          <w:szCs w:val="28"/>
          <w:lang w:val="en-US"/>
        </w:rPr>
        <w:t>MIACR</w:t>
      </w:r>
    </w:p>
    <w:p w:rsidR="001820C7" w:rsidRPr="00C87463" w:rsidRDefault="00471F39" w:rsidP="002A4C4A">
      <w:pPr>
        <w:spacing w:after="0" w:line="360" w:lineRule="auto"/>
        <w:jc w:val="both"/>
        <w:rPr>
          <w:rFonts w:ascii="Times New Roman" w:hAnsi="Times New Roman"/>
          <w:sz w:val="28"/>
          <w:szCs w:val="28"/>
          <w:lang w:val="en-US"/>
        </w:rPr>
      </w:pPr>
      <w:r w:rsidRPr="00C87463">
        <w:rPr>
          <w:rFonts w:ascii="Times New Roman" w:hAnsi="Times New Roman"/>
          <w:noProof/>
          <w:sz w:val="28"/>
          <w:szCs w:val="28"/>
          <w:lang w:eastAsia="ru-RU"/>
        </w:rPr>
        <w:drawing>
          <wp:inline distT="0" distB="0" distL="0" distR="0">
            <wp:extent cx="5743575" cy="4067175"/>
            <wp:effectExtent l="19050" t="0" r="9525" b="0"/>
            <wp:docPr id="3" name="Рисунок 19" descr="http://www.cbr.ru/DKP/standart_system/ch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br.ru/DKP/standart_system/ch_image001.png"/>
                    <pic:cNvPicPr>
                      <a:picLocks noChangeAspect="1" noChangeArrowheads="1"/>
                    </pic:cNvPicPr>
                  </pic:nvPicPr>
                  <pic:blipFill>
                    <a:blip r:embed="rId38"/>
                    <a:srcRect/>
                    <a:stretch>
                      <a:fillRect/>
                    </a:stretch>
                  </pic:blipFill>
                  <pic:spPr bwMode="auto">
                    <a:xfrm>
                      <a:off x="0" y="0"/>
                      <a:ext cx="5743575" cy="4067175"/>
                    </a:xfrm>
                    <a:prstGeom prst="rect">
                      <a:avLst/>
                    </a:prstGeom>
                    <a:noFill/>
                    <a:ln w="9525">
                      <a:noFill/>
                      <a:miter lim="800000"/>
                      <a:headEnd/>
                      <a:tailEnd/>
                    </a:ln>
                  </pic:spPr>
                </pic:pic>
              </a:graphicData>
            </a:graphic>
          </wp:inline>
        </w:drawing>
      </w:r>
    </w:p>
    <w:p w:rsidR="007F0C06" w:rsidRPr="00C87463" w:rsidRDefault="007F0C06" w:rsidP="007F0C06">
      <w:pPr>
        <w:spacing w:after="0" w:line="360" w:lineRule="auto"/>
        <w:jc w:val="right"/>
        <w:rPr>
          <w:rFonts w:ascii="Times New Roman" w:hAnsi="Times New Roman"/>
          <w:sz w:val="28"/>
          <w:szCs w:val="28"/>
        </w:rPr>
      </w:pPr>
      <w:r w:rsidRPr="00C87463">
        <w:rPr>
          <w:rFonts w:ascii="Times New Roman" w:hAnsi="Times New Roman"/>
          <w:sz w:val="28"/>
          <w:szCs w:val="28"/>
        </w:rPr>
        <w:lastRenderedPageBreak/>
        <w:t>Таблица 3</w:t>
      </w:r>
    </w:p>
    <w:p w:rsidR="001820C7" w:rsidRPr="00C87463" w:rsidRDefault="00C87861" w:rsidP="007F0C06">
      <w:pPr>
        <w:spacing w:after="0" w:line="360" w:lineRule="auto"/>
        <w:ind w:firstLine="708"/>
        <w:jc w:val="both"/>
        <w:rPr>
          <w:rFonts w:ascii="Times New Roman" w:hAnsi="Times New Roman"/>
          <w:b/>
          <w:sz w:val="28"/>
          <w:szCs w:val="28"/>
        </w:rPr>
      </w:pPr>
      <w:r w:rsidRPr="00C87463">
        <w:rPr>
          <w:rFonts w:ascii="Times New Roman" w:hAnsi="Times New Roman"/>
          <w:b/>
          <w:sz w:val="28"/>
          <w:szCs w:val="28"/>
        </w:rPr>
        <w:t>2</w:t>
      </w:r>
      <w:r w:rsidR="001820C7" w:rsidRPr="00C87463">
        <w:rPr>
          <w:rFonts w:ascii="Times New Roman" w:hAnsi="Times New Roman"/>
          <w:b/>
          <w:sz w:val="28"/>
          <w:szCs w:val="28"/>
        </w:rPr>
        <w:t>.</w:t>
      </w:r>
      <w:r w:rsidR="007F0C06" w:rsidRPr="00C87463">
        <w:rPr>
          <w:rFonts w:ascii="Times New Roman" w:hAnsi="Times New Roman"/>
          <w:b/>
          <w:sz w:val="28"/>
          <w:szCs w:val="28"/>
        </w:rPr>
        <w:t>2.4.3</w:t>
      </w:r>
      <w:r w:rsidR="001820C7" w:rsidRPr="00C87463">
        <w:rPr>
          <w:rFonts w:ascii="Times New Roman" w:hAnsi="Times New Roman"/>
          <w:b/>
          <w:sz w:val="28"/>
          <w:szCs w:val="28"/>
        </w:rPr>
        <w:t xml:space="preserve"> Кредиты, обеспеченные нерыночными активами или поручительствами</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Предоставление кредитов Банка России, обеспеченных нерыночными активами или поручительствами, осуществляется в соответствии с Положением Банка России от 12.11.2007 № 312-П «О порядке предоставления Банком России кредитным организациям кредитов, обеспеченных активами или поручительствами» и на условиях, изложенных в приказе Банка России от 14.02.2008 № ОД-101«О предоставлении Банком России кредитным организациям кредитов, обеспеченных активами или поручительствами». До создания единого механизма рефинансирования (кредитования) данный механизм будет действовать наряду с механизмом кредитования, предусмотренным Положением Банка России от 04.08.2003 № 236-П.</w:t>
      </w:r>
    </w:p>
    <w:p w:rsidR="001820C7" w:rsidRPr="00C87463" w:rsidRDefault="001820C7" w:rsidP="002A4C4A">
      <w:pPr>
        <w:spacing w:after="0" w:line="360" w:lineRule="auto"/>
        <w:jc w:val="both"/>
        <w:rPr>
          <w:rFonts w:ascii="Times New Roman" w:hAnsi="Times New Roman"/>
          <w:i/>
          <w:sz w:val="28"/>
          <w:szCs w:val="28"/>
        </w:rPr>
      </w:pPr>
      <w:bookmarkStart w:id="25" w:name="9-2"/>
      <w:bookmarkEnd w:id="25"/>
      <w:r w:rsidRPr="00C87463">
        <w:rPr>
          <w:rFonts w:ascii="Times New Roman" w:hAnsi="Times New Roman"/>
          <w:i/>
          <w:sz w:val="28"/>
          <w:szCs w:val="28"/>
        </w:rPr>
        <w:t>Виды предоставляемых кредитов</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Положение Банка России от 12.11.2007 № 312-П предусматривает возможность получения кредитными организациями следующих видов кредитов: внутридневных кредитов, кредитов овернайт, кредитов по фиксированной процентной ставке и кредитов, предоставленных по результатам кредитных аукционов</w:t>
      </w:r>
    </w:p>
    <w:p w:rsidR="001820C7" w:rsidRPr="00C87463" w:rsidRDefault="001820C7" w:rsidP="002A4C4A">
      <w:pPr>
        <w:spacing w:after="0" w:line="360" w:lineRule="auto"/>
        <w:jc w:val="both"/>
        <w:rPr>
          <w:rFonts w:ascii="Times New Roman" w:hAnsi="Times New Roman"/>
          <w:i/>
          <w:sz w:val="28"/>
          <w:szCs w:val="28"/>
        </w:rPr>
      </w:pPr>
      <w:r w:rsidRPr="00C87463">
        <w:rPr>
          <w:rFonts w:ascii="Times New Roman" w:hAnsi="Times New Roman"/>
          <w:i/>
          <w:sz w:val="28"/>
          <w:szCs w:val="28"/>
        </w:rPr>
        <w:t>Лимиты кредитования</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В генеральном кредитном договоре по каждому </w:t>
      </w:r>
      <w:proofErr w:type="spellStart"/>
      <w:r w:rsidRPr="00C87463">
        <w:rPr>
          <w:rFonts w:ascii="Times New Roman" w:hAnsi="Times New Roman"/>
          <w:sz w:val="28"/>
          <w:szCs w:val="28"/>
        </w:rPr>
        <w:t>кредитующемуся</w:t>
      </w:r>
      <w:proofErr w:type="spellEnd"/>
      <w:r w:rsidRPr="00C87463">
        <w:rPr>
          <w:rFonts w:ascii="Times New Roman" w:hAnsi="Times New Roman"/>
          <w:sz w:val="28"/>
          <w:szCs w:val="28"/>
        </w:rPr>
        <w:t xml:space="preserve"> счету, на который кредитная организация вправе получать внутридневные кредиты и кредиты овернайт, устанавливается лимит кредитования. Лимит кредитования представляет собой максимально возможную единовременную задолженность кредитной организации перед Банком России по внутридневным кредитам.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Лимит кредитования не ограничивает сумму кредитов Банка России по фиксированной ставке, которую может получить кредитная организация. Лимит кредитования не зависит от лимитов, установленных на кредитную организацию по иным механизмам рефинансирования Банка России (кредиты без обеспечения, кредиты, обеспеченные залогом (блокировкой) ценных бумаг </w:t>
      </w:r>
      <w:r w:rsidRPr="00C87463">
        <w:rPr>
          <w:rFonts w:ascii="Times New Roman" w:hAnsi="Times New Roman"/>
          <w:sz w:val="28"/>
          <w:szCs w:val="28"/>
        </w:rPr>
        <w:lastRenderedPageBreak/>
        <w:t>из Ломбардного списка Банка России, операции прямого РЕПО и т.д.) и не уменьшает величину указанных лимитов.</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Величина лимита кредитования определяется Банком России с учетом предложений </w:t>
      </w:r>
      <w:hyperlink r:id="rId39" w:tgtFrame="_blank" w:tooltip="ezaem.ru" w:history="1">
        <w:r w:rsidRPr="00C87463">
          <w:rPr>
            <w:rStyle w:val="af"/>
            <w:rFonts w:ascii="Times New Roman" w:hAnsi="Times New Roman"/>
            <w:sz w:val="28"/>
            <w:szCs w:val="28"/>
          </w:rPr>
          <w:t>кредитной</w:t>
        </w:r>
      </w:hyperlink>
      <w:r w:rsidRPr="00C87463">
        <w:rPr>
          <w:rFonts w:ascii="Times New Roman" w:hAnsi="Times New Roman"/>
          <w:sz w:val="28"/>
          <w:szCs w:val="28"/>
        </w:rPr>
        <w:t> организации по величине данного лимита, указанных в ходатайстве на заключение генерального кредитного договора. Изменение лимита осуществляется по инициативе кредитной организации или Банка России. Банк России вправе без объяснения причин отказать кредитной организации в изменении лимита кредитования. Изменение лимита кредитования фиксируется путем направления Банком России кредитной организации соответствующего уведомления.</w:t>
      </w:r>
    </w:p>
    <w:p w:rsidR="001820C7" w:rsidRPr="00C87463" w:rsidRDefault="001820C7" w:rsidP="002A4C4A">
      <w:pPr>
        <w:spacing w:after="0" w:line="360" w:lineRule="auto"/>
        <w:jc w:val="both"/>
        <w:rPr>
          <w:rFonts w:ascii="Times New Roman" w:hAnsi="Times New Roman"/>
          <w:sz w:val="28"/>
          <w:szCs w:val="28"/>
        </w:rPr>
      </w:pPr>
      <w:bookmarkStart w:id="26" w:name="9-7"/>
      <w:bookmarkEnd w:id="26"/>
      <w:r w:rsidRPr="00C87463">
        <w:rPr>
          <w:rFonts w:ascii="Times New Roman" w:hAnsi="Times New Roman"/>
          <w:sz w:val="28"/>
          <w:szCs w:val="28"/>
        </w:rPr>
        <w:t>Обеспечение кредитов Банка России — нерыночные активы</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Обеспечением кредитов Банка России, предоставляемых в соответствии с </w:t>
      </w:r>
      <w:hyperlink r:id="rId40" w:tgtFrame="_blank" w:history="1">
        <w:r w:rsidRPr="00C87463">
          <w:rPr>
            <w:rStyle w:val="af"/>
            <w:rFonts w:ascii="Times New Roman" w:hAnsi="Times New Roman"/>
            <w:sz w:val="28"/>
            <w:szCs w:val="28"/>
          </w:rPr>
          <w:t>Положением Банка России от 12.11.2007 № 312-П</w:t>
        </w:r>
      </w:hyperlink>
      <w:r w:rsidRPr="00C87463">
        <w:rPr>
          <w:rFonts w:ascii="Times New Roman" w:hAnsi="Times New Roman"/>
          <w:sz w:val="28"/>
          <w:szCs w:val="28"/>
        </w:rPr>
        <w:t>, являются нерыночные активы — векселя и кредитные требования, а </w:t>
      </w:r>
      <w:proofErr w:type="spellStart"/>
      <w:r w:rsidRPr="00C87463">
        <w:rPr>
          <w:rFonts w:ascii="Times New Roman" w:hAnsi="Times New Roman"/>
          <w:sz w:val="28"/>
          <w:szCs w:val="28"/>
        </w:rPr>
        <w:t>такжепоручительства</w:t>
      </w:r>
      <w:proofErr w:type="spellEnd"/>
      <w:r w:rsidRPr="00C87463">
        <w:rPr>
          <w:rFonts w:ascii="Times New Roman" w:hAnsi="Times New Roman"/>
          <w:sz w:val="28"/>
          <w:szCs w:val="28"/>
        </w:rPr>
        <w:t xml:space="preserve"> кредитных организаций.</w:t>
      </w:r>
    </w:p>
    <w:p w:rsidR="001820C7" w:rsidRPr="00C87463" w:rsidRDefault="00C87861" w:rsidP="002A4C4A">
      <w:pPr>
        <w:spacing w:after="0" w:line="360" w:lineRule="auto"/>
        <w:jc w:val="both"/>
        <w:rPr>
          <w:rFonts w:ascii="Times New Roman" w:hAnsi="Times New Roman"/>
          <w:b/>
          <w:sz w:val="28"/>
          <w:szCs w:val="28"/>
        </w:rPr>
      </w:pPr>
      <w:r w:rsidRPr="00C87463">
        <w:rPr>
          <w:rFonts w:ascii="Times New Roman" w:hAnsi="Times New Roman"/>
          <w:b/>
          <w:sz w:val="28"/>
          <w:szCs w:val="28"/>
        </w:rPr>
        <w:t>2.2.4.4</w:t>
      </w:r>
      <w:r w:rsidR="001820C7" w:rsidRPr="00C87463">
        <w:rPr>
          <w:rFonts w:ascii="Times New Roman" w:hAnsi="Times New Roman"/>
          <w:b/>
          <w:sz w:val="28"/>
          <w:szCs w:val="28"/>
        </w:rPr>
        <w:t xml:space="preserve"> Кредиты, обеспеченные золотом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Порядок предоставления кредитов Банка России, обеспеченных золотом, регламентирован двумя документами: Положением Банка России от 30.11.2010 № 362-П «О порядке предоставления Банком России кредитным организациям кредитов, обеспеченных золотом» и приказом Банка России от 13.05.2011 № ОД-355 «О предоставлении Банком России кредитным организациям кредитов, обеспеченных золотом».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В настоящее время возможность получения кредитов Банка России, обеспеченных золотом, предоставлена кредитным организациям пятнадцати регионов России. Перечень указанных регионов в дальнейшем может быть расширен с учетом потребности кредитных организаций иных регионов в использовании данного механизма рефинансирования (кредитования).</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Кредиты Банка России, обеспеченные золотом, предоставляются на корреспондентские счета кредитных организаций, открытые в пятнадцати территориальных учреждениях Банка России, список которых </w:t>
      </w:r>
      <w:r w:rsidRPr="00C87463">
        <w:rPr>
          <w:rFonts w:ascii="Times New Roman" w:hAnsi="Times New Roman"/>
          <w:sz w:val="28"/>
          <w:szCs w:val="28"/>
        </w:rPr>
        <w:lastRenderedPageBreak/>
        <w:t>определен приложением 1 к приказу Банка России от 13.05.2011 № ОД-355, с изменениями. В настоящее время кредитные организации не могут получать указанные кредиты на корреспондентские субсчета, открытые в Банке России.</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Получать кредиты Банка России, обеспеченные золотом, могут кредитные организации, соответствующие следующим требованиям: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кредитная организация должна быть отнесена к 1, 2 или 3 классификационной группе, выполнять обязательные резервные требования, не иметь просроченных денежных обязательств перед Банком России, в том числе по кредитам Банка России и процентам по ним.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Получать кредиты Банка России, обеспеченные золотом, могут кредитные организации, соответствующие стандартным требованиям, предъявляемым Банком России к кредитным организациям — контрагентам по операциям денежно-кредитной политики (кредитная организация должна быть отнесена к 1 или 2 классификационной группе, выполнять обязательные резервные требования, не иметь просроченных денежных обязательств перед Банком России, в том числе по кредитам Банка России и процентам по ним).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Для получения кредитов Банком России, обеспеченных золотом, кредитной организации следует обратиться в территориальное учреждение Банка России, в котором открыт корреспондентский счет кредитной организации, с ходатайством в произвольной письменной форме о заключении генерального кредитного договора на предоставление кредитов Банка России, обеспеченных золотом (далее — генеральный кредитный договор). Требования к содержанию указанного ходатайства и порядок заключения генерального кредитного договора установлены приложением 3 к приказу Банка России от 13.05.2011 № ОД-355.</w:t>
      </w:r>
    </w:p>
    <w:p w:rsidR="001820C7" w:rsidRPr="00C87463" w:rsidRDefault="001820C7" w:rsidP="002A4C4A">
      <w:pPr>
        <w:spacing w:after="0" w:line="360" w:lineRule="auto"/>
        <w:jc w:val="both"/>
        <w:rPr>
          <w:rFonts w:ascii="Times New Roman" w:hAnsi="Times New Roman"/>
          <w:sz w:val="28"/>
          <w:szCs w:val="28"/>
        </w:rPr>
      </w:pPr>
      <w:proofErr w:type="spellStart"/>
      <w:r w:rsidRPr="00C87463">
        <w:rPr>
          <w:rFonts w:ascii="Times New Roman" w:hAnsi="Times New Roman"/>
          <w:sz w:val="28"/>
          <w:szCs w:val="28"/>
        </w:rPr>
        <w:t>Справочно</w:t>
      </w:r>
      <w:proofErr w:type="spellEnd"/>
      <w:r w:rsidRPr="00C87463">
        <w:rPr>
          <w:rFonts w:ascii="Times New Roman" w:hAnsi="Times New Roman"/>
          <w:sz w:val="28"/>
          <w:szCs w:val="28"/>
        </w:rPr>
        <w:t>: информация о кредитных организациях, заключивших с Банком России генеральные кредитные договоры на предоставление кредитов Банка России, обеспеченных золотом</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lastRenderedPageBreak/>
        <w:t>количество кредитных организаций, заключивших с Банком России генеральный кредитный договор в соответствии с Положением Банка России от 30.11.2010 № 362-П;</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группировка кредитных организаций, заключивших с Банком России генеральные кредитные договоры по величине зарегистрированного уставного капитала (в соответствии с Положением Банка России от 30.11.2010 № 362-П).</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До заключения генерального кредитного договора кредитная организация должна предоставить Банку России право на </w:t>
      </w:r>
      <w:proofErr w:type="spellStart"/>
      <w:r w:rsidRPr="00C87463">
        <w:rPr>
          <w:rFonts w:ascii="Times New Roman" w:hAnsi="Times New Roman"/>
          <w:sz w:val="28"/>
          <w:szCs w:val="28"/>
        </w:rPr>
        <w:t>безакцептное</w:t>
      </w:r>
      <w:proofErr w:type="spellEnd"/>
      <w:r w:rsidRPr="00C87463">
        <w:rPr>
          <w:rFonts w:ascii="Times New Roman" w:hAnsi="Times New Roman"/>
          <w:sz w:val="28"/>
          <w:szCs w:val="28"/>
        </w:rPr>
        <w:t xml:space="preserve"> списание денежных средств в сумме требований по кредитам Банка России — с корреспондентского счета кредитной организации, открытого в Банке России, и в сумме просроченных требований по кредитам Банка России — с корреспондентского счета и всех корреспондентских субсчетов кредитной организации, открытых в Банке России.</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Если кредитная организация намерена пользоваться внутридневными кредитами и кредитами овернайт, то в дополнение к указанным условиям кредитная организациям должна предусмотреть в договоре корреспондентского счета условие об оплате документов, предъявленных к указанному счету, сверх остатка денежных средств на нем, а также о праве Банка России в </w:t>
      </w:r>
      <w:proofErr w:type="spellStart"/>
      <w:r w:rsidRPr="00C87463">
        <w:rPr>
          <w:rFonts w:ascii="Times New Roman" w:hAnsi="Times New Roman"/>
          <w:sz w:val="28"/>
          <w:szCs w:val="28"/>
        </w:rPr>
        <w:t>безакцептном</w:t>
      </w:r>
      <w:proofErr w:type="spellEnd"/>
      <w:r w:rsidRPr="00C87463">
        <w:rPr>
          <w:rFonts w:ascii="Times New Roman" w:hAnsi="Times New Roman"/>
          <w:sz w:val="28"/>
          <w:szCs w:val="28"/>
        </w:rPr>
        <w:t xml:space="preserve"> порядке списывать плату за право пользования внутридневными кредитами. В настоящее время размер указанной платы установлен равным нулю.</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В генеральном кредитном договоре кредитная организациям может предусмотреть получение следующих видов кредитов: (1) внутридневные кредиты и кредиты овернайт; (2) кредиты по фиксированной процентной ставке.</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Внутридневные кредиты и кредиты овернайт по своей сути аналогичны таким же видам кредитов Банка России, предоставляемых в соответствии с иными механизмами рефинансирования (кредитования).</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 xml:space="preserve">Приказом Банка России от 13.05.2011 № ОД-355 установлены ограничения на предоставление внутридневных кредитов и кредитов овернайт, обеспеченных золотом: указанные </w:t>
      </w:r>
      <w:proofErr w:type="spellStart"/>
      <w:r w:rsidRPr="00C87463">
        <w:rPr>
          <w:rFonts w:ascii="Times New Roman" w:hAnsi="Times New Roman"/>
          <w:sz w:val="28"/>
          <w:szCs w:val="28"/>
        </w:rPr>
        <w:lastRenderedPageBreak/>
        <w:t>кредитыне</w:t>
      </w:r>
      <w:proofErr w:type="spellEnd"/>
      <w:r w:rsidRPr="00C87463">
        <w:rPr>
          <w:rFonts w:ascii="Times New Roman" w:hAnsi="Times New Roman"/>
          <w:sz w:val="28"/>
          <w:szCs w:val="28"/>
        </w:rPr>
        <w:t> предоставляются на корреспондентские счета кредитных организаций, открытые в ГУ Банка России по Центральному федеральному округу, расположенных в городе Москве и Московской области, а также на корреспондентские счета, на которые кредитные организации вправе получать внутридневные кредиты и кредиты овернайт в соответствии с иными механизмами рефинансирования (кредитования).</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Лимиты кредитования устанавливаются только на получение внутридневных кредитов и кредитов овернайт. Порядок расчета указанных лимитов устанавливается генеральным кредитным договором. Сумма кредитов по фиксированной процентной ставке, которую может получить кредитная организация, определяется стоимостью слитков золота, переданных в хранилище Банка России, свободных от обеспечения других кредитов Банка России.</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Предоставление кредитов по фиксированной процентной ставке осуществляется в день обращения кредитной организации в Банк России с заявлением на получение кредита Банка России по фиксированной процентной ставке (Т+0). Форма указанного заявления и структурные подразделения Банка России, в которые оно подлежит представлению, установлены приказом Банка России от 13.05.2011 № ОД-355.</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Условия предоставления кредитов по фиксированной процентной ставке (срок и процентная ставка) указаны в таблице «Виды кредитов Банка России и условия кредитования», приведенной в главе «Общее описание системы рефинансирования (кредитования) Банка России».</w:t>
      </w:r>
    </w:p>
    <w:p w:rsidR="001820C7" w:rsidRPr="00C87463" w:rsidRDefault="001820C7" w:rsidP="00C87861">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Не позднее первого рабочего дня, следующего за днем предоставления кредита овернайт или кредита по фиксированной процентной ставке, территориальное учреждение Банка России, в котором открыт корреспондентский счет кредитной организации, передает (направляет) кредитной организации извещение о предоставлении кредита Банка России, обеспеченного залогом золота, содержащее условия предоставленного кредита </w:t>
      </w:r>
      <w:r w:rsidRPr="00C87463">
        <w:rPr>
          <w:rFonts w:ascii="Times New Roman" w:hAnsi="Times New Roman"/>
          <w:sz w:val="28"/>
          <w:szCs w:val="28"/>
        </w:rPr>
        <w:lastRenderedPageBreak/>
        <w:t>Банка России, в том числе перечень слитков золота, отобранных в залог по указанному кредиту.</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Возврат кредитов овернайт и кредитов по фиксированной процентной ставке и уплата процентов по указанным кредитам осуществляется путем предъявления Банком России инкассовых поручений к корреспондентскому счету кредитной организации.</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После заключения генерального кредитного договора кредитная организация передает в одно из хранилищ Банка России, перечень которых публикуется в «Вестнике Банка России», золото в стандартных или мерных слитках, соответствующих международным стандартам качества или установленным в Российской Федерации стандартам. Порядок передачи слитков золота в хранилище Банка России установлен генеральным кредитным договором. Плата за нахождение слитков золота в хранилище Банка России не взимается.</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Банк вправе в любой рабочий день обратиться в Банк России, с ходатайством о возврате слитков золота, переданных Банку России. Возврат слитков золота осуществляется Банком России в случае, если возврат указанных слитков золота не приведет к нарушению обеспеченности предоставленных кредитов Банка России.</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Формы ходатайства о принятии слитков золота в целях их включения в состав активов, принимаемых в обеспечение по кредитам Банка России, и ходатайства о возврате слитков золота, переданных Банку России, и структурные подразделения Банка России, в которые подлежат представлению указанные ходатайства, установлены приказом Банка России от 13.05.2011 № ОД-355.</w:t>
      </w:r>
    </w:p>
    <w:p w:rsidR="001820C7" w:rsidRPr="00C87463" w:rsidRDefault="001820C7" w:rsidP="002A4C4A">
      <w:pPr>
        <w:spacing w:after="0" w:line="360" w:lineRule="auto"/>
        <w:jc w:val="both"/>
        <w:rPr>
          <w:rFonts w:ascii="Times New Roman" w:hAnsi="Times New Roman"/>
          <w:sz w:val="28"/>
          <w:szCs w:val="28"/>
        </w:rPr>
      </w:pPr>
      <w:r w:rsidRPr="00C87463">
        <w:rPr>
          <w:rFonts w:ascii="Times New Roman" w:hAnsi="Times New Roman"/>
          <w:sz w:val="28"/>
          <w:szCs w:val="28"/>
        </w:rPr>
        <w:t>Стоимость слитков золота при принятии их в обеспечение по кредитам Банка России определяется исходя из учетной цены золота, установленной Банком России на дату передачи слитков в обеспечение по кредиту Банка России, скорректированной на поправочный коэффициент, который указан в приказе Банка России от 13.05.2011 № ОД-355 и в настоящее время равен 0,9. Переоценка стоимости слитков золота в период их нахождения в залоге по кредиту Банка России не предусмотрена.</w:t>
      </w:r>
    </w:p>
    <w:p w:rsidR="00E42F58" w:rsidRPr="00C87463" w:rsidRDefault="00F57601" w:rsidP="00FC2D4A">
      <w:pPr>
        <w:pStyle w:val="1"/>
        <w:ind w:firstLine="708"/>
        <w:rPr>
          <w:szCs w:val="28"/>
        </w:rPr>
      </w:pPr>
      <w:bookmarkStart w:id="27" w:name="_Toc437453867"/>
      <w:r w:rsidRPr="00C87463">
        <w:rPr>
          <w:szCs w:val="28"/>
        </w:rPr>
        <w:lastRenderedPageBreak/>
        <w:t>2.4</w:t>
      </w:r>
      <w:r w:rsidR="00035D86" w:rsidRPr="00C87463">
        <w:rPr>
          <w:szCs w:val="28"/>
        </w:rPr>
        <w:t xml:space="preserve"> </w:t>
      </w:r>
      <w:r w:rsidR="00E42F58" w:rsidRPr="00C87463">
        <w:rPr>
          <w:szCs w:val="28"/>
        </w:rPr>
        <w:t>Основные направления единой государственной денежно-кредитной политики на 201</w:t>
      </w:r>
      <w:r w:rsidR="00084EB3" w:rsidRPr="00C87463">
        <w:rPr>
          <w:szCs w:val="28"/>
        </w:rPr>
        <w:t>6</w:t>
      </w:r>
      <w:r w:rsidR="00E42F58" w:rsidRPr="00C87463">
        <w:rPr>
          <w:szCs w:val="28"/>
        </w:rPr>
        <w:t xml:space="preserve"> год и период 201</w:t>
      </w:r>
      <w:r w:rsidR="00084EB3" w:rsidRPr="00C87463">
        <w:rPr>
          <w:szCs w:val="28"/>
        </w:rPr>
        <w:t>7</w:t>
      </w:r>
      <w:r w:rsidR="00E42F58" w:rsidRPr="00C87463">
        <w:rPr>
          <w:szCs w:val="28"/>
        </w:rPr>
        <w:t xml:space="preserve"> и 201</w:t>
      </w:r>
      <w:r w:rsidR="00084EB3" w:rsidRPr="00C87463">
        <w:rPr>
          <w:szCs w:val="28"/>
        </w:rPr>
        <w:t>8</w:t>
      </w:r>
      <w:r w:rsidR="00E42F58" w:rsidRPr="00C87463">
        <w:rPr>
          <w:szCs w:val="28"/>
        </w:rPr>
        <w:t xml:space="preserve"> годов</w:t>
      </w:r>
      <w:bookmarkEnd w:id="27"/>
    </w:p>
    <w:p w:rsidR="00084EB3" w:rsidRPr="00C87463" w:rsidRDefault="00E42F58" w:rsidP="00FC2D4A">
      <w:pPr>
        <w:spacing w:before="240" w:after="0" w:line="360" w:lineRule="auto"/>
        <w:ind w:firstLine="709"/>
        <w:jc w:val="both"/>
        <w:rPr>
          <w:rFonts w:ascii="Times New Roman" w:hAnsi="Times New Roman"/>
          <w:sz w:val="28"/>
          <w:szCs w:val="28"/>
        </w:rPr>
      </w:pPr>
      <w:r w:rsidRPr="00C87463">
        <w:rPr>
          <w:rFonts w:ascii="Times New Roman" w:hAnsi="Times New Roman"/>
          <w:sz w:val="28"/>
          <w:szCs w:val="28"/>
        </w:rPr>
        <w:t>На официальном сайт</w:t>
      </w:r>
      <w:r w:rsidR="00F53BB0" w:rsidRPr="00C87463">
        <w:rPr>
          <w:rFonts w:ascii="Times New Roman" w:hAnsi="Times New Roman"/>
          <w:sz w:val="28"/>
          <w:szCs w:val="28"/>
        </w:rPr>
        <w:t>е Центрального Банка России опубликован проект «Основные направления денежно-кредитной политики на 201</w:t>
      </w:r>
      <w:r w:rsidR="00084EB3" w:rsidRPr="00C87463">
        <w:rPr>
          <w:rFonts w:ascii="Times New Roman" w:hAnsi="Times New Roman"/>
          <w:sz w:val="28"/>
          <w:szCs w:val="28"/>
        </w:rPr>
        <w:t>6 и период 2</w:t>
      </w:r>
      <w:r w:rsidR="00F53BB0" w:rsidRPr="00C87463">
        <w:rPr>
          <w:rFonts w:ascii="Times New Roman" w:hAnsi="Times New Roman"/>
          <w:sz w:val="28"/>
          <w:szCs w:val="28"/>
        </w:rPr>
        <w:t>01</w:t>
      </w:r>
      <w:r w:rsidR="00084EB3" w:rsidRPr="00C87463">
        <w:rPr>
          <w:rFonts w:ascii="Times New Roman" w:hAnsi="Times New Roman"/>
          <w:sz w:val="28"/>
          <w:szCs w:val="28"/>
        </w:rPr>
        <w:t>7</w:t>
      </w:r>
      <w:r w:rsidR="00F53BB0" w:rsidRPr="00C87463">
        <w:rPr>
          <w:rFonts w:ascii="Times New Roman" w:hAnsi="Times New Roman"/>
          <w:sz w:val="28"/>
          <w:szCs w:val="28"/>
        </w:rPr>
        <w:t>-201</w:t>
      </w:r>
      <w:r w:rsidR="00084EB3" w:rsidRPr="00C87463">
        <w:rPr>
          <w:rFonts w:ascii="Times New Roman" w:hAnsi="Times New Roman"/>
          <w:sz w:val="28"/>
          <w:szCs w:val="28"/>
        </w:rPr>
        <w:t>8</w:t>
      </w:r>
      <w:r w:rsidR="00F53BB0" w:rsidRPr="00C87463">
        <w:rPr>
          <w:rFonts w:ascii="Times New Roman" w:hAnsi="Times New Roman"/>
          <w:sz w:val="28"/>
          <w:szCs w:val="28"/>
        </w:rPr>
        <w:t xml:space="preserve"> годов».</w:t>
      </w:r>
      <w:r w:rsidR="00A45D4F" w:rsidRPr="00C87463">
        <w:rPr>
          <w:rFonts w:ascii="Times New Roman" w:hAnsi="Times New Roman"/>
          <w:sz w:val="28"/>
          <w:szCs w:val="28"/>
        </w:rPr>
        <w:t xml:space="preserve"> </w:t>
      </w:r>
      <w:r w:rsidR="00084EB3" w:rsidRPr="00C87463">
        <w:rPr>
          <w:rFonts w:ascii="Times New Roman" w:hAnsi="Times New Roman"/>
          <w:sz w:val="28"/>
          <w:szCs w:val="28"/>
        </w:rPr>
        <w:t xml:space="preserve">Банк России, как всегда, предложил три сценария развития российской экономики на три года - оптимистичный, базовый и рисковый. По оптимистичному сценарию к 2018 году баррель нефти будет стоить $75, а золотовалютные резервы вырастут до $430 млрд. Базовый сценарий роста золотовалютных резервов не предусматривает. Проект основных направлений единой государственной денежно-кредитной политики на 2016-2018 годы в Государственной Думе представила Председатель Банка России Эльвира </w:t>
      </w:r>
      <w:proofErr w:type="spellStart"/>
      <w:r w:rsidR="00084EB3" w:rsidRPr="00C87463">
        <w:rPr>
          <w:rFonts w:ascii="Times New Roman" w:hAnsi="Times New Roman"/>
          <w:sz w:val="28"/>
          <w:szCs w:val="28"/>
        </w:rPr>
        <w:t>Набиуллина</w:t>
      </w:r>
      <w:proofErr w:type="spellEnd"/>
      <w:r w:rsidR="00084EB3" w:rsidRPr="00C87463">
        <w:rPr>
          <w:rFonts w:ascii="Times New Roman" w:hAnsi="Times New Roman"/>
          <w:sz w:val="28"/>
          <w:szCs w:val="28"/>
        </w:rPr>
        <w:t xml:space="preserve">. Глава Центробанка сообщила, что итоговый документ был утвержден Советом директоров Банка России на основе итого совместной работы банкиров с депутатами. В результате, в денежно-кредитной политике традиционно предусмотрено прогнозных сценария, которые зависят от уровня цен на нефть. Так, в оптимистичном сценарии ожидается, что среднегодовая цена на нефть будет расти с $50 за баррель до $70-80 за баррель, в базовом сценарии нефть остается на уровне $50, а в рисковом сценарии предусмотрено снижение среднегодовой цены на нефть ниже $40 за баррель. </w:t>
      </w:r>
    </w:p>
    <w:p w:rsidR="00DB3D1D" w:rsidRPr="00C87463" w:rsidRDefault="00DB3D1D" w:rsidP="00084EB3">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Э.С. </w:t>
      </w:r>
      <w:proofErr w:type="spellStart"/>
      <w:r w:rsidRPr="00C87463">
        <w:rPr>
          <w:rFonts w:ascii="Times New Roman" w:hAnsi="Times New Roman"/>
          <w:sz w:val="28"/>
          <w:szCs w:val="28"/>
        </w:rPr>
        <w:t>Набиуллина</w:t>
      </w:r>
      <w:proofErr w:type="spellEnd"/>
      <w:r w:rsidRPr="00C87463">
        <w:rPr>
          <w:rFonts w:ascii="Times New Roman" w:hAnsi="Times New Roman"/>
          <w:sz w:val="28"/>
          <w:szCs w:val="28"/>
        </w:rPr>
        <w:t>: «</w:t>
      </w:r>
      <w:r w:rsidR="00084EB3" w:rsidRPr="00C87463">
        <w:rPr>
          <w:rFonts w:ascii="Times New Roman" w:hAnsi="Times New Roman"/>
          <w:sz w:val="28"/>
          <w:szCs w:val="28"/>
        </w:rPr>
        <w:t xml:space="preserve">Во всех сценариях мы предполагаем, что режим финансовых санкций и торговых ограничений в ближайшие три года сохранится. В базовом сценарии мы ожидаем, что годовые темпы прироста российской экономики перейдут в положительную область в 2017 году, а в 2018 году ожидается рост около 2,0–3,0%. В базовом сценарии по мере снижения инфляции и стабилизации инфляционных ожиданий мы видим возможность продолжить снижать ключевую ставку. В оптимистичном сценарии восстановление экономического роста (в годовом выражении) произойдет уже в 2016 году. Инфляция будет постепенно снижаться, как и в базовом сценарии. Потенциал снижения ключевой ставки будет несколько больше, как и </w:t>
      </w:r>
      <w:r w:rsidR="00084EB3" w:rsidRPr="00C87463">
        <w:rPr>
          <w:rFonts w:ascii="Times New Roman" w:hAnsi="Times New Roman"/>
          <w:sz w:val="28"/>
          <w:szCs w:val="28"/>
        </w:rPr>
        <w:lastRenderedPageBreak/>
        <w:t>потенциал по пополнению золотовалютных резервов. В условиях повышенной неопределенности относительно перспектив не только нефтяного рынка, но и в целом мировой экономики важно быть готовым к наиболее неблагоприятному развитию событий. Для этого мы рассмотрели рисковый сценарий.</w:t>
      </w:r>
      <w:r w:rsidRPr="00C87463">
        <w:rPr>
          <w:rFonts w:ascii="Times New Roman" w:hAnsi="Times New Roman"/>
          <w:sz w:val="28"/>
          <w:szCs w:val="28"/>
        </w:rPr>
        <w:t>»</w:t>
      </w:r>
    </w:p>
    <w:p w:rsidR="00DB3D1D" w:rsidRPr="00C87463" w:rsidRDefault="00084EB3" w:rsidP="00084EB3">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При этом, в случае развития рискового сценария Центробанк обещает задействовать весь доступный ему арсенал мер и инструментов, в том числе поэтапное наращивание объемов валютного рефинансирования и продажи иностранной валюты из резервов Банка России для поддержания финансовой стабильности в России. В настоящий момент в распоряжении финансового регулятора есть $369 млрд золотовалютных резервов. Принимать решения о возобновлении пополнения резервов финансовый регулятор собирается с учетом текущего развития ситуации на российском внутреннем валютном рынке. Кроме того, банкиры будут учитывать ситуацию на мировых рынках и в целом в экономике. Центробанк не планирует возвращаться к политике фиксированного курса рубля, при достижении которого может приостанавливаться или возобновляться проведение таких операций. Все решения о проведении интервенций на валютном рынке и их объемах финансовый регулятор собирается принимать исходя из текущих тенденций в курсовой динамике, которые складываются под влиянием конъюнктурных и фундаментальных факторов, платежного баланса и состояния российской экономики в комплексе. Такая политика, проводимая в 2014-2015 годах, уже принесла определенные результаты. </w:t>
      </w:r>
    </w:p>
    <w:p w:rsidR="00DB3D1D" w:rsidRPr="00C87463" w:rsidRDefault="00DB3D1D" w:rsidP="00084EB3">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Э.С. </w:t>
      </w:r>
      <w:proofErr w:type="spellStart"/>
      <w:r w:rsidRPr="00C87463">
        <w:rPr>
          <w:rFonts w:ascii="Times New Roman" w:hAnsi="Times New Roman"/>
          <w:sz w:val="28"/>
          <w:szCs w:val="28"/>
        </w:rPr>
        <w:t>Набиуллин</w:t>
      </w:r>
      <w:r w:rsidR="00FC2D4A" w:rsidRPr="00C87463">
        <w:rPr>
          <w:rFonts w:ascii="Times New Roman" w:hAnsi="Times New Roman"/>
          <w:sz w:val="28"/>
          <w:szCs w:val="28"/>
        </w:rPr>
        <w:t>а</w:t>
      </w:r>
      <w:proofErr w:type="spellEnd"/>
      <w:r w:rsidRPr="00C87463">
        <w:rPr>
          <w:rFonts w:ascii="Times New Roman" w:hAnsi="Times New Roman"/>
          <w:sz w:val="28"/>
          <w:szCs w:val="28"/>
        </w:rPr>
        <w:t>:  «</w:t>
      </w:r>
      <w:r w:rsidR="00084EB3" w:rsidRPr="00C87463">
        <w:rPr>
          <w:rFonts w:ascii="Times New Roman" w:hAnsi="Times New Roman"/>
          <w:sz w:val="28"/>
          <w:szCs w:val="28"/>
        </w:rPr>
        <w:t xml:space="preserve">Уже в первой половине года ситуация и с рублевой, и с валютной ликвидностью существенно улучшилась. Начался рост депозитов в банках. Отпала необходимость в наращивании наших операций, возникли возможности для их сокращения. Объем задолженности по операциям </w:t>
      </w:r>
      <w:proofErr w:type="spellStart"/>
      <w:r w:rsidR="00084EB3" w:rsidRPr="00C87463">
        <w:rPr>
          <w:rFonts w:ascii="Times New Roman" w:hAnsi="Times New Roman"/>
          <w:sz w:val="28"/>
          <w:szCs w:val="28"/>
        </w:rPr>
        <w:t>репо</w:t>
      </w:r>
      <w:proofErr w:type="spellEnd"/>
      <w:r w:rsidR="00084EB3" w:rsidRPr="00C87463">
        <w:rPr>
          <w:rFonts w:ascii="Times New Roman" w:hAnsi="Times New Roman"/>
          <w:sz w:val="28"/>
          <w:szCs w:val="28"/>
        </w:rPr>
        <w:t xml:space="preserve"> в рублях сократился с 2,8 трлн рублей на начало года до 789 млрд рублей на сегодняшнюю дату. Задолженность по обеспеченным кредитам Банка России за этот период снизилась с 4,4 трлн рублей в два раза, до 2,2 трлн рублей. Введенные в прошлом году инструменты валютного </w:t>
      </w:r>
      <w:proofErr w:type="spellStart"/>
      <w:r w:rsidR="00084EB3" w:rsidRPr="00C87463">
        <w:rPr>
          <w:rFonts w:ascii="Times New Roman" w:hAnsi="Times New Roman"/>
          <w:sz w:val="28"/>
          <w:szCs w:val="28"/>
        </w:rPr>
        <w:t>репо</w:t>
      </w:r>
      <w:proofErr w:type="spellEnd"/>
      <w:r w:rsidR="00084EB3" w:rsidRPr="00C87463">
        <w:rPr>
          <w:rFonts w:ascii="Times New Roman" w:hAnsi="Times New Roman"/>
          <w:sz w:val="28"/>
          <w:szCs w:val="28"/>
        </w:rPr>
        <w:t xml:space="preserve"> и кредитов в </w:t>
      </w:r>
      <w:r w:rsidR="00084EB3" w:rsidRPr="00C87463">
        <w:rPr>
          <w:rFonts w:ascii="Times New Roman" w:hAnsi="Times New Roman"/>
          <w:sz w:val="28"/>
          <w:szCs w:val="28"/>
        </w:rPr>
        <w:lastRenderedPageBreak/>
        <w:t xml:space="preserve">иностранной валюте позволили улучшить ситуацию с валютной ликвидностью, сгладить прохождение пика выплат по внешним долгам и таким образом способствовали стабилизации валютного рынка. В результате объем средств, выданных по всем инструментам в иностранной валюте, снизился с максимального уровня 36 млрд долларов до примерно 26,5 млрд долларов. Лимит по этим операциям установлен Банком России в объеме 50 </w:t>
      </w:r>
      <w:r w:rsidRPr="00C87463">
        <w:rPr>
          <w:rFonts w:ascii="Times New Roman" w:hAnsi="Times New Roman"/>
          <w:sz w:val="28"/>
          <w:szCs w:val="28"/>
        </w:rPr>
        <w:t>млрд долларов.»</w:t>
      </w:r>
    </w:p>
    <w:p w:rsidR="00084EB3" w:rsidRPr="00C87463" w:rsidRDefault="00084EB3" w:rsidP="00084EB3">
      <w:pPr>
        <w:spacing w:after="0" w:line="360" w:lineRule="auto"/>
        <w:ind w:firstLine="708"/>
        <w:jc w:val="both"/>
        <w:rPr>
          <w:rFonts w:ascii="Times New Roman" w:hAnsi="Times New Roman"/>
          <w:sz w:val="28"/>
          <w:szCs w:val="28"/>
        </w:rPr>
      </w:pPr>
      <w:r w:rsidRPr="00C87463">
        <w:rPr>
          <w:rFonts w:ascii="Times New Roman" w:hAnsi="Times New Roman"/>
          <w:sz w:val="28"/>
          <w:szCs w:val="28"/>
        </w:rPr>
        <w:t xml:space="preserve">Центробанк отмечает замедление инфляции и ожидает, что по итогам 2015 года она снизится до 12–13%, а в 2016 году замедление инфляции прогнозируется до 5,5–6,5%. Наиболее быстрое снижение годовых темпов инфляции финансовый регулятор прогнозирует в I квартале 2016 года. Однако банкиры намерены сохранять умеренно жесткую денежно-кредитную политику вплоть до полной стабилизации инфляции на низком уровне. Так, снижение уровня инфляции регулятор, в значительной мере, ожидает за счет эффекта высокой базы. В 2016 году замедление роста цен ЦБ РФ собирается поддерживать стабильной динамикой валютного курса. Регулятор ожидает сдержанную потребительскую активность на фоне умеренного роста заработной платы россиян и сохранения склонности населения делать сбережения. В тоже время, банкиры прогнозируют снижение активного спроса на кредиты у населения, с учетом существующих жестких финансовых условий. В целом, можно сказать, что даже рисковый сценарий денежно-кредитной политики Центробанка настроен на восстановление российской экономики. Банкиры ожидают положительных темпов роста экономики уже ко второй половине 2016 года. А прогноз на отток капитала из страны в 2015 году снижен на $15 млрд, в соответствии с текущими ожиданиями он может составить около $70 млрд, вместо ранее прогнозируемых $85 млрд. В заключение Эльвира </w:t>
      </w:r>
      <w:proofErr w:type="spellStart"/>
      <w:r w:rsidRPr="00C87463">
        <w:rPr>
          <w:rFonts w:ascii="Times New Roman" w:hAnsi="Times New Roman"/>
          <w:sz w:val="28"/>
          <w:szCs w:val="28"/>
        </w:rPr>
        <w:t>Набиуллина</w:t>
      </w:r>
      <w:proofErr w:type="spellEnd"/>
      <w:r w:rsidRPr="00C87463">
        <w:rPr>
          <w:rFonts w:ascii="Times New Roman" w:hAnsi="Times New Roman"/>
          <w:sz w:val="28"/>
          <w:szCs w:val="28"/>
        </w:rPr>
        <w:t xml:space="preserve"> отметила, что принимая решения в сфере денежно-кредитной политики, Банк России исходит, в первую очередь, из того, что финансирование экономики всегда зависит от доверия участников рынка друг к другу. Только их вера в то, что финансовый регулятор способен </w:t>
      </w:r>
      <w:r w:rsidRPr="00C87463">
        <w:rPr>
          <w:rFonts w:ascii="Times New Roman" w:hAnsi="Times New Roman"/>
          <w:sz w:val="28"/>
          <w:szCs w:val="28"/>
        </w:rPr>
        <w:lastRenderedPageBreak/>
        <w:t>обеспечить финансовую и ценовую стабильность способна сделать гораздо больше, чем краткосрочные фондирования от Центробанка.</w:t>
      </w:r>
    </w:p>
    <w:p w:rsidR="00545F04" w:rsidRPr="00C87463" w:rsidRDefault="00545F04">
      <w:pPr>
        <w:spacing w:after="0" w:line="240" w:lineRule="auto"/>
        <w:rPr>
          <w:rFonts w:ascii="Times New Roman" w:hAnsi="Times New Roman"/>
          <w:sz w:val="28"/>
          <w:szCs w:val="28"/>
        </w:rPr>
      </w:pPr>
      <w:r w:rsidRPr="00C87463">
        <w:rPr>
          <w:rFonts w:ascii="Times New Roman" w:hAnsi="Times New Roman"/>
          <w:sz w:val="28"/>
          <w:szCs w:val="28"/>
        </w:rPr>
        <w:br w:type="page"/>
      </w:r>
    </w:p>
    <w:p w:rsidR="00997D96" w:rsidRPr="00C87463" w:rsidRDefault="00997D96" w:rsidP="00FC2D4A">
      <w:pPr>
        <w:pStyle w:val="1"/>
        <w:rPr>
          <w:szCs w:val="28"/>
        </w:rPr>
      </w:pPr>
      <w:bookmarkStart w:id="28" w:name="_Toc437453868"/>
      <w:r w:rsidRPr="00C87463">
        <w:rPr>
          <w:szCs w:val="28"/>
        </w:rPr>
        <w:lastRenderedPageBreak/>
        <w:t>Заключение</w:t>
      </w:r>
      <w:bookmarkEnd w:id="28"/>
    </w:p>
    <w:p w:rsidR="00035D86" w:rsidRPr="00C87463" w:rsidRDefault="00035D86" w:rsidP="00035D86">
      <w:pPr>
        <w:spacing w:after="0" w:line="360" w:lineRule="auto"/>
        <w:ind w:firstLine="709"/>
        <w:jc w:val="both"/>
        <w:rPr>
          <w:rFonts w:ascii="Times New Roman" w:hAnsi="Times New Roman"/>
          <w:sz w:val="28"/>
          <w:szCs w:val="28"/>
        </w:rPr>
      </w:pP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Денежно-кредитная политика призвана регулировать экономический рост, сдерживать инфляцию, обеспечивать высокий уровень занятости и выравнивать платежный баланс. В общем виде целью денежно-кредитной политики является достижение в</w:t>
      </w:r>
      <w:r w:rsidR="00035D86" w:rsidRPr="00C87463">
        <w:rPr>
          <w:rFonts w:ascii="Times New Roman" w:hAnsi="Times New Roman"/>
          <w:sz w:val="28"/>
          <w:szCs w:val="28"/>
        </w:rPr>
        <w:t xml:space="preserve"> </w:t>
      </w:r>
      <w:r w:rsidRPr="00C87463">
        <w:rPr>
          <w:rFonts w:ascii="Times New Roman" w:hAnsi="Times New Roman"/>
          <w:sz w:val="28"/>
          <w:szCs w:val="28"/>
        </w:rPr>
        <w:t>стране макроэкономического равновесия.</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Проводником денежно-кредитной политики</w:t>
      </w:r>
      <w:r w:rsidR="00035D86" w:rsidRPr="00C87463">
        <w:rPr>
          <w:rFonts w:ascii="Times New Roman" w:hAnsi="Times New Roman"/>
          <w:sz w:val="28"/>
          <w:szCs w:val="28"/>
        </w:rPr>
        <w:t xml:space="preserve"> </w:t>
      </w:r>
      <w:r w:rsidRPr="00C87463">
        <w:rPr>
          <w:rFonts w:ascii="Times New Roman" w:hAnsi="Times New Roman"/>
          <w:sz w:val="28"/>
          <w:szCs w:val="28"/>
        </w:rPr>
        <w:t>выступает центральный эмиссионный банк государства. В России таким банком является Центральный Банк Российской Федерации.</w:t>
      </w:r>
    </w:p>
    <w:p w:rsidR="005F012D" w:rsidRPr="00C87463" w:rsidRDefault="005F012D"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Выделяют прямые и косвенные методы денежно-кредитной политики. </w:t>
      </w:r>
      <w:r w:rsidR="00680D0C" w:rsidRPr="00C87463">
        <w:rPr>
          <w:rFonts w:ascii="Times New Roman" w:hAnsi="Times New Roman"/>
          <w:sz w:val="28"/>
          <w:szCs w:val="28"/>
        </w:rPr>
        <w:t>П</w:t>
      </w:r>
      <w:r w:rsidR="00B92634" w:rsidRPr="00C87463">
        <w:rPr>
          <w:rFonts w:ascii="Times New Roman" w:hAnsi="Times New Roman"/>
          <w:sz w:val="28"/>
          <w:szCs w:val="28"/>
        </w:rPr>
        <w:t>ервые наиболее привлекательны для государственных органов</w:t>
      </w:r>
      <w:r w:rsidR="00680D0C" w:rsidRPr="00C87463">
        <w:rPr>
          <w:rFonts w:ascii="Times New Roman" w:hAnsi="Times New Roman"/>
          <w:sz w:val="28"/>
          <w:szCs w:val="28"/>
        </w:rPr>
        <w:t>, так как они просты в применении и наиболее предсказуемы, с их помощью государственные органы регулируют и перераспределяют денежные ресурсы.</w:t>
      </w:r>
      <w:r w:rsidR="00035D86" w:rsidRPr="00C87463">
        <w:rPr>
          <w:rFonts w:ascii="Times New Roman" w:hAnsi="Times New Roman"/>
          <w:sz w:val="28"/>
          <w:szCs w:val="28"/>
        </w:rPr>
        <w:t xml:space="preserve"> </w:t>
      </w:r>
      <w:r w:rsidR="00680D0C" w:rsidRPr="00C87463">
        <w:rPr>
          <w:rFonts w:ascii="Times New Roman" w:hAnsi="Times New Roman"/>
          <w:sz w:val="28"/>
          <w:szCs w:val="28"/>
        </w:rPr>
        <w:t>Недостат</w:t>
      </w:r>
      <w:r w:rsidR="00D42E0E" w:rsidRPr="00C87463">
        <w:rPr>
          <w:rFonts w:ascii="Times New Roman" w:hAnsi="Times New Roman"/>
          <w:sz w:val="28"/>
          <w:szCs w:val="28"/>
        </w:rPr>
        <w:t>ок</w:t>
      </w:r>
      <w:r w:rsidR="00680D0C" w:rsidRPr="00C87463">
        <w:rPr>
          <w:rFonts w:ascii="Times New Roman" w:hAnsi="Times New Roman"/>
          <w:sz w:val="28"/>
          <w:szCs w:val="28"/>
        </w:rPr>
        <w:t xml:space="preserve"> таких методов </w:t>
      </w:r>
      <w:r w:rsidR="00D42E0E" w:rsidRPr="00C87463">
        <w:rPr>
          <w:rFonts w:ascii="Times New Roman" w:hAnsi="Times New Roman"/>
          <w:sz w:val="28"/>
          <w:szCs w:val="28"/>
        </w:rPr>
        <w:t>в том</w:t>
      </w:r>
      <w:r w:rsidR="00680D0C" w:rsidRPr="00C87463">
        <w:rPr>
          <w:rFonts w:ascii="Times New Roman" w:hAnsi="Times New Roman"/>
          <w:sz w:val="28"/>
          <w:szCs w:val="28"/>
        </w:rPr>
        <w:t>, что зачастую они идут в противоречие с микроэкономическими интересами кредитных организаций, вследствие чего неэффективно распределяются кредитные ресурсы, о</w:t>
      </w:r>
      <w:r w:rsidR="00DD0FB0" w:rsidRPr="00C87463">
        <w:rPr>
          <w:rFonts w:ascii="Times New Roman" w:hAnsi="Times New Roman"/>
          <w:sz w:val="28"/>
          <w:szCs w:val="28"/>
        </w:rPr>
        <w:t>граничива</w:t>
      </w:r>
      <w:r w:rsidR="00D42E0E" w:rsidRPr="00C87463">
        <w:rPr>
          <w:rFonts w:ascii="Times New Roman" w:hAnsi="Times New Roman"/>
          <w:sz w:val="28"/>
          <w:szCs w:val="28"/>
        </w:rPr>
        <w:t xml:space="preserve">ется межбанковская конкуренция, и могут вызывать отток финансов за рубеж или в «теневую экономику» страны. </w:t>
      </w:r>
      <w:r w:rsidR="00DD0FB0" w:rsidRPr="00C87463">
        <w:rPr>
          <w:rFonts w:ascii="Times New Roman" w:hAnsi="Times New Roman"/>
          <w:sz w:val="28"/>
          <w:szCs w:val="28"/>
        </w:rPr>
        <w:t>Косвенные методы, в отличие от прямых влияют на мотивацию поведения хозяйствующих субъектов через рыночные механизмы, эти методы менее предсказуемы.</w:t>
      </w:r>
      <w:r w:rsidR="00D42E0E" w:rsidRPr="00C87463">
        <w:rPr>
          <w:rFonts w:ascii="Times New Roman" w:hAnsi="Times New Roman"/>
          <w:sz w:val="28"/>
          <w:szCs w:val="28"/>
        </w:rPr>
        <w:t xml:space="preserve"> Так же выделяют</w:t>
      </w:r>
      <w:r w:rsidR="008F73E3" w:rsidRPr="00C87463">
        <w:rPr>
          <w:rFonts w:ascii="Times New Roman" w:hAnsi="Times New Roman"/>
          <w:sz w:val="28"/>
          <w:szCs w:val="28"/>
        </w:rPr>
        <w:t xml:space="preserve"> общие, воздействующие на денежный рынок в целом, и</w:t>
      </w:r>
      <w:r w:rsidR="00D42E0E" w:rsidRPr="00C87463">
        <w:rPr>
          <w:rFonts w:ascii="Times New Roman" w:hAnsi="Times New Roman"/>
          <w:sz w:val="28"/>
          <w:szCs w:val="28"/>
        </w:rPr>
        <w:t xml:space="preserve"> селективные методы, которые на практике применяются в период </w:t>
      </w:r>
      <w:r w:rsidR="008F73E3" w:rsidRPr="00C87463">
        <w:rPr>
          <w:rFonts w:ascii="Times New Roman" w:hAnsi="Times New Roman"/>
          <w:sz w:val="28"/>
          <w:szCs w:val="28"/>
        </w:rPr>
        <w:t>циклического спада, если резко нарушена пропорция воспроизводства.</w:t>
      </w:r>
      <w:r w:rsidR="00035D86" w:rsidRPr="00C87463">
        <w:rPr>
          <w:rFonts w:ascii="Times New Roman" w:hAnsi="Times New Roman"/>
          <w:sz w:val="28"/>
          <w:szCs w:val="28"/>
        </w:rPr>
        <w:t xml:space="preserve"> </w:t>
      </w:r>
    </w:p>
    <w:p w:rsidR="00DD0FB0"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С помощью инструментов реализации денежно-кредитной политики Центральный банк оказывает значительное воздействие на денежное обращение, и как следствие на реальный валовый национальный продукт, уровень занятости и индекс цен.</w:t>
      </w:r>
      <w:r w:rsidR="00D42E0E" w:rsidRPr="00C87463">
        <w:rPr>
          <w:rFonts w:ascii="Times New Roman" w:hAnsi="Times New Roman"/>
          <w:sz w:val="28"/>
          <w:szCs w:val="28"/>
        </w:rPr>
        <w:t xml:space="preserve"> </w:t>
      </w:r>
      <w:r w:rsidR="00DD0FB0" w:rsidRPr="00C87463">
        <w:rPr>
          <w:rFonts w:ascii="Times New Roman" w:hAnsi="Times New Roman"/>
          <w:sz w:val="28"/>
          <w:szCs w:val="28"/>
        </w:rPr>
        <w:t xml:space="preserve">В мировой экономической практике </w:t>
      </w:r>
      <w:r w:rsidR="000223A3" w:rsidRPr="00C87463">
        <w:rPr>
          <w:rFonts w:ascii="Times New Roman" w:hAnsi="Times New Roman"/>
          <w:sz w:val="28"/>
          <w:szCs w:val="28"/>
        </w:rPr>
        <w:t>применяются</w:t>
      </w:r>
      <w:r w:rsidR="00DD0FB0" w:rsidRPr="00C87463">
        <w:rPr>
          <w:rFonts w:ascii="Times New Roman" w:hAnsi="Times New Roman"/>
          <w:sz w:val="28"/>
          <w:szCs w:val="28"/>
        </w:rPr>
        <w:t xml:space="preserve"> такие инструменты денежно-кредитной политики как: изменение норматива обязательных резервов; процентная политика центрального банка; </w:t>
      </w:r>
      <w:r w:rsidR="000223A3" w:rsidRPr="00C87463">
        <w:rPr>
          <w:rFonts w:ascii="Times New Roman" w:hAnsi="Times New Roman"/>
          <w:sz w:val="28"/>
          <w:szCs w:val="28"/>
        </w:rPr>
        <w:t>операции на открытом рынке с государственными ценными бумагами.</w:t>
      </w:r>
      <w:r w:rsidR="00035D86" w:rsidRPr="00C87463">
        <w:rPr>
          <w:rFonts w:ascii="Times New Roman" w:hAnsi="Times New Roman"/>
          <w:sz w:val="28"/>
          <w:szCs w:val="28"/>
        </w:rPr>
        <w:t xml:space="preserve"> </w:t>
      </w:r>
    </w:p>
    <w:p w:rsidR="00545F04" w:rsidRPr="00C87463" w:rsidRDefault="000223A3"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lastRenderedPageBreak/>
        <w:t>Главными</w:t>
      </w:r>
      <w:r w:rsidR="00035D86" w:rsidRPr="00C87463">
        <w:rPr>
          <w:rFonts w:ascii="Times New Roman" w:hAnsi="Times New Roman"/>
          <w:sz w:val="28"/>
          <w:szCs w:val="28"/>
        </w:rPr>
        <w:t xml:space="preserve"> </w:t>
      </w:r>
      <w:r w:rsidRPr="00C87463">
        <w:rPr>
          <w:rFonts w:ascii="Times New Roman" w:hAnsi="Times New Roman"/>
          <w:sz w:val="28"/>
          <w:szCs w:val="28"/>
        </w:rPr>
        <w:t>инструментами</w:t>
      </w:r>
      <w:r w:rsidR="00035D86" w:rsidRPr="00C87463">
        <w:rPr>
          <w:rFonts w:ascii="Times New Roman" w:hAnsi="Times New Roman"/>
          <w:sz w:val="28"/>
          <w:szCs w:val="28"/>
        </w:rPr>
        <w:t xml:space="preserve"> </w:t>
      </w:r>
      <w:r w:rsidRPr="00C87463">
        <w:rPr>
          <w:rFonts w:ascii="Times New Roman" w:hAnsi="Times New Roman"/>
          <w:sz w:val="28"/>
          <w:szCs w:val="28"/>
        </w:rPr>
        <w:t xml:space="preserve">Банка России являются: </w:t>
      </w:r>
      <w:r w:rsidR="001B1557" w:rsidRPr="00C87463">
        <w:rPr>
          <w:rFonts w:ascii="Times New Roman" w:hAnsi="Times New Roman"/>
          <w:sz w:val="28"/>
          <w:szCs w:val="28"/>
        </w:rPr>
        <w:t>процентные ставки по операциям Банка России</w:t>
      </w:r>
      <w:r w:rsidRPr="00C87463">
        <w:rPr>
          <w:rFonts w:ascii="Times New Roman" w:hAnsi="Times New Roman"/>
          <w:sz w:val="28"/>
          <w:szCs w:val="28"/>
        </w:rPr>
        <w:t>, норма</w:t>
      </w:r>
      <w:r w:rsidR="001B1557" w:rsidRPr="00C87463">
        <w:rPr>
          <w:rFonts w:ascii="Times New Roman" w:hAnsi="Times New Roman"/>
          <w:sz w:val="28"/>
          <w:szCs w:val="28"/>
        </w:rPr>
        <w:t>тивы</w:t>
      </w:r>
      <w:r w:rsidRPr="00C87463">
        <w:rPr>
          <w:rFonts w:ascii="Times New Roman" w:hAnsi="Times New Roman"/>
          <w:sz w:val="28"/>
          <w:szCs w:val="28"/>
        </w:rPr>
        <w:t xml:space="preserve"> обязательных резервов, </w:t>
      </w:r>
      <w:r w:rsidR="001B1557" w:rsidRPr="00C87463">
        <w:rPr>
          <w:rFonts w:ascii="Times New Roman" w:hAnsi="Times New Roman"/>
          <w:sz w:val="28"/>
          <w:szCs w:val="28"/>
        </w:rPr>
        <w:t xml:space="preserve">депонируемые в Банке России, </w:t>
      </w:r>
      <w:r w:rsidRPr="00C87463">
        <w:rPr>
          <w:rFonts w:ascii="Times New Roman" w:hAnsi="Times New Roman"/>
          <w:sz w:val="28"/>
          <w:szCs w:val="28"/>
        </w:rPr>
        <w:t>рефинансирование кредитных организаций, эми</w:t>
      </w:r>
      <w:r w:rsidR="00545F04" w:rsidRPr="00C87463">
        <w:rPr>
          <w:rFonts w:ascii="Times New Roman" w:hAnsi="Times New Roman"/>
          <w:sz w:val="28"/>
          <w:szCs w:val="28"/>
        </w:rPr>
        <w:t>ссия облигаций от своего имени</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 Центральный Банк Российской Федерации обладает исключительными ресурсами, так как: он монопольно организует наличие денег и проводит их эмиссию; является кредитором последней инстанции для коммерческих банков, выдавая тем кредит, только при условии, если невозможно пополнить свои ресурсы из других источников; от имени правительства управляет государственным долгом; ведет счета коммерческих банков, связанные с межбанковскими операциями и хранением резервов. Поэтому Банк России является «банком банков»</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В проведении денежно-кредитной политики Банком России, конечно же, есть ряд проблем. Например, не соответствующий прогнозом темп роста инфляции, невыгодность инвестиционных кредитов в национальной валюте для реального сектора экономики, что приводит к снижению возможности развития финансовой и банковской системы Российской Федерации, а также к увеличению реального совокупного государственного долга. Очень сильно повлиял на экономическую ситуацию в стране, а в частности на денежно-кредитную политику.</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В проекте «о единой государственной денежно-кредитной политике на 201</w:t>
      </w:r>
      <w:r w:rsidR="00545F04" w:rsidRPr="00C87463">
        <w:rPr>
          <w:rFonts w:ascii="Times New Roman" w:hAnsi="Times New Roman"/>
          <w:sz w:val="28"/>
          <w:szCs w:val="28"/>
        </w:rPr>
        <w:t>6</w:t>
      </w:r>
      <w:r w:rsidRPr="00C87463">
        <w:rPr>
          <w:rFonts w:ascii="Times New Roman" w:hAnsi="Times New Roman"/>
          <w:sz w:val="28"/>
          <w:szCs w:val="28"/>
        </w:rPr>
        <w:t xml:space="preserve"> и период 201</w:t>
      </w:r>
      <w:r w:rsidR="00545F04" w:rsidRPr="00C87463">
        <w:rPr>
          <w:rFonts w:ascii="Times New Roman" w:hAnsi="Times New Roman"/>
          <w:sz w:val="28"/>
          <w:szCs w:val="28"/>
        </w:rPr>
        <w:t>7</w:t>
      </w:r>
      <w:r w:rsidRPr="00C87463">
        <w:rPr>
          <w:rFonts w:ascii="Times New Roman" w:hAnsi="Times New Roman"/>
          <w:sz w:val="28"/>
          <w:szCs w:val="28"/>
        </w:rPr>
        <w:t>-201</w:t>
      </w:r>
      <w:r w:rsidR="00545F04" w:rsidRPr="00C87463">
        <w:rPr>
          <w:rFonts w:ascii="Times New Roman" w:hAnsi="Times New Roman"/>
          <w:sz w:val="28"/>
          <w:szCs w:val="28"/>
        </w:rPr>
        <w:t>8</w:t>
      </w:r>
      <w:r w:rsidRPr="00C87463">
        <w:rPr>
          <w:rFonts w:ascii="Times New Roman" w:hAnsi="Times New Roman"/>
          <w:sz w:val="28"/>
          <w:szCs w:val="28"/>
        </w:rPr>
        <w:t xml:space="preserve"> годов» составленном Банком России совместно с Правительством России указано, что в ближайший период денежно-кредитная политика Банка России будет направлена на снижение ин</w:t>
      </w:r>
      <w:r w:rsidR="00946F22" w:rsidRPr="00C87463">
        <w:rPr>
          <w:rFonts w:ascii="Times New Roman" w:hAnsi="Times New Roman"/>
          <w:sz w:val="28"/>
          <w:szCs w:val="28"/>
        </w:rPr>
        <w:t>фляции, что пока не выполняется</w:t>
      </w:r>
      <w:r w:rsidRPr="00C87463">
        <w:rPr>
          <w:rFonts w:ascii="Times New Roman" w:hAnsi="Times New Roman"/>
          <w:sz w:val="28"/>
          <w:szCs w:val="28"/>
        </w:rPr>
        <w:t xml:space="preserve">. Банк России намерен разъяснять населению о своих целях и показывать экономическую ситуацию, которая сложилась на рынке, обосновывая тот или иной путь решения поставленных задач. Это должно повысить доверие к проводимой денежно-кредитной политике и тем самым улучшит управление инфляционным ожиданием. </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lastRenderedPageBreak/>
        <w:t>Для повышения эффективности денежно-кредитной политики Банку России необходимо продолжать снижать инфляцию, проводить политику сдерживания цен, стимулировать инвестиционную активность, предоста</w:t>
      </w:r>
      <w:r w:rsidR="00946F22" w:rsidRPr="00C87463">
        <w:rPr>
          <w:rFonts w:ascii="Times New Roman" w:hAnsi="Times New Roman"/>
          <w:sz w:val="28"/>
          <w:szCs w:val="28"/>
        </w:rPr>
        <w:t>влять государственные гарантии</w:t>
      </w:r>
      <w:r w:rsidRPr="00C87463">
        <w:rPr>
          <w:rFonts w:ascii="Times New Roman" w:hAnsi="Times New Roman"/>
          <w:sz w:val="28"/>
          <w:szCs w:val="28"/>
        </w:rPr>
        <w:t>, все это будет способствовать оживлению как финансовой, так и социальной жизни страны и ее стабильному развитию в будущем.</w:t>
      </w:r>
    </w:p>
    <w:p w:rsidR="00997D96" w:rsidRPr="00C87463" w:rsidRDefault="00997D96" w:rsidP="00035D86">
      <w:pPr>
        <w:spacing w:after="0" w:line="360" w:lineRule="auto"/>
        <w:ind w:firstLine="709"/>
        <w:jc w:val="both"/>
        <w:rPr>
          <w:rFonts w:ascii="Times New Roman" w:hAnsi="Times New Roman"/>
          <w:sz w:val="28"/>
          <w:szCs w:val="28"/>
        </w:rPr>
      </w:pPr>
      <w:r w:rsidRPr="00C87463">
        <w:rPr>
          <w:rFonts w:ascii="Times New Roman" w:hAnsi="Times New Roman"/>
          <w:sz w:val="28"/>
          <w:szCs w:val="28"/>
        </w:rPr>
        <w:t xml:space="preserve"> </w:t>
      </w:r>
    </w:p>
    <w:p w:rsidR="00035D86" w:rsidRPr="00C87463" w:rsidRDefault="00035D86">
      <w:pPr>
        <w:spacing w:after="0" w:line="240" w:lineRule="auto"/>
        <w:rPr>
          <w:rFonts w:ascii="Times New Roman" w:hAnsi="Times New Roman"/>
          <w:sz w:val="28"/>
          <w:szCs w:val="28"/>
        </w:rPr>
      </w:pPr>
      <w:r w:rsidRPr="00C87463">
        <w:rPr>
          <w:rFonts w:ascii="Times New Roman" w:hAnsi="Times New Roman"/>
          <w:sz w:val="28"/>
          <w:szCs w:val="28"/>
        </w:rPr>
        <w:br w:type="page"/>
      </w:r>
    </w:p>
    <w:p w:rsidR="00997D96" w:rsidRPr="00C87463" w:rsidRDefault="00997D96" w:rsidP="007056CC">
      <w:pPr>
        <w:pStyle w:val="1"/>
        <w:rPr>
          <w:szCs w:val="28"/>
        </w:rPr>
      </w:pPr>
      <w:bookmarkStart w:id="29" w:name="_Toc437453869"/>
      <w:r w:rsidRPr="00C87463">
        <w:rPr>
          <w:szCs w:val="28"/>
        </w:rPr>
        <w:lastRenderedPageBreak/>
        <w:t>Библиографический список</w:t>
      </w:r>
      <w:bookmarkEnd w:id="29"/>
    </w:p>
    <w:p w:rsidR="00035D86" w:rsidRPr="00C87463" w:rsidRDefault="00035D86" w:rsidP="00035D86">
      <w:pPr>
        <w:spacing w:after="0" w:line="360" w:lineRule="auto"/>
        <w:jc w:val="both"/>
        <w:rPr>
          <w:rFonts w:ascii="Times New Roman" w:hAnsi="Times New Roman"/>
          <w:sz w:val="28"/>
          <w:szCs w:val="28"/>
        </w:rPr>
      </w:pP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Агапова Т.А., Серегина С.Ф. Макроэкономика. – М.: Издательство «Дело и Сервис», 2010</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Андрюшин С.А., Кузнецов В.В. Денежно-кредитная политика Банка России: прогнозы и реалии // Банковское дело. 201</w:t>
      </w:r>
      <w:r>
        <w:rPr>
          <w:rFonts w:ascii="Times New Roman" w:hAnsi="Times New Roman"/>
          <w:sz w:val="28"/>
          <w:szCs w:val="28"/>
        </w:rPr>
        <w:t>5</w:t>
      </w:r>
      <w:r w:rsidRPr="00FA3ABA">
        <w:rPr>
          <w:rFonts w:ascii="Times New Roman" w:hAnsi="Times New Roman"/>
          <w:sz w:val="28"/>
          <w:szCs w:val="28"/>
        </w:rPr>
        <w:t xml:space="preserve"> №</w:t>
      </w:r>
      <w:r>
        <w:rPr>
          <w:rFonts w:ascii="Times New Roman" w:hAnsi="Times New Roman"/>
          <w:sz w:val="28"/>
          <w:szCs w:val="28"/>
        </w:rPr>
        <w:t>8</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Бакулина Т.С. Организация деятельности центрального банка. – Ульяновск.: </w:t>
      </w:r>
      <w:proofErr w:type="spellStart"/>
      <w:r w:rsidRPr="00FA3ABA">
        <w:rPr>
          <w:rFonts w:ascii="Times New Roman" w:hAnsi="Times New Roman"/>
          <w:sz w:val="28"/>
          <w:szCs w:val="28"/>
        </w:rPr>
        <w:t>УлГТУ</w:t>
      </w:r>
      <w:proofErr w:type="spellEnd"/>
      <w:r w:rsidRPr="00FA3ABA">
        <w:rPr>
          <w:rFonts w:ascii="Times New Roman" w:hAnsi="Times New Roman"/>
          <w:sz w:val="28"/>
          <w:szCs w:val="28"/>
        </w:rPr>
        <w:t>. 2009</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bCs/>
          <w:sz w:val="28"/>
          <w:szCs w:val="28"/>
        </w:rPr>
        <w:t xml:space="preserve">Балабанов, И.Т Банки и банковское дело / под </w:t>
      </w:r>
      <w:proofErr w:type="spellStart"/>
      <w:r w:rsidRPr="00FA3ABA">
        <w:rPr>
          <w:rFonts w:ascii="Times New Roman" w:hAnsi="Times New Roman"/>
          <w:bCs/>
          <w:sz w:val="28"/>
          <w:szCs w:val="28"/>
        </w:rPr>
        <w:t>ред.д.э.н</w:t>
      </w:r>
      <w:proofErr w:type="spellEnd"/>
      <w:r w:rsidRPr="00FA3ABA">
        <w:rPr>
          <w:rFonts w:ascii="Times New Roman" w:hAnsi="Times New Roman"/>
          <w:bCs/>
          <w:sz w:val="28"/>
          <w:szCs w:val="28"/>
        </w:rPr>
        <w:t xml:space="preserve">., </w:t>
      </w:r>
      <w:proofErr w:type="spellStart"/>
      <w:r w:rsidRPr="00FA3ABA">
        <w:rPr>
          <w:rFonts w:ascii="Times New Roman" w:hAnsi="Times New Roman"/>
          <w:bCs/>
          <w:sz w:val="28"/>
          <w:szCs w:val="28"/>
        </w:rPr>
        <w:t>проф.И.Т.Балабанова</w:t>
      </w:r>
      <w:proofErr w:type="spellEnd"/>
      <w:r w:rsidRPr="00FA3ABA">
        <w:rPr>
          <w:rFonts w:ascii="Times New Roman" w:hAnsi="Times New Roman"/>
          <w:bCs/>
          <w:sz w:val="28"/>
          <w:szCs w:val="28"/>
        </w:rPr>
        <w:t>. – СПб: Питер, 2013</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Г.М </w:t>
      </w:r>
      <w:proofErr w:type="spellStart"/>
      <w:r w:rsidRPr="00FA3ABA">
        <w:rPr>
          <w:rFonts w:ascii="Times New Roman" w:hAnsi="Times New Roman"/>
          <w:sz w:val="28"/>
          <w:szCs w:val="28"/>
        </w:rPr>
        <w:t>Колпакова</w:t>
      </w:r>
      <w:proofErr w:type="spellEnd"/>
      <w:r w:rsidRPr="00FA3ABA">
        <w:rPr>
          <w:rFonts w:ascii="Times New Roman" w:hAnsi="Times New Roman"/>
          <w:sz w:val="28"/>
          <w:szCs w:val="28"/>
        </w:rPr>
        <w:t>. Финансы. Денежное обращение. Кредит. – М.: Финансы и статистика. 200</w:t>
      </w:r>
      <w:r>
        <w:rPr>
          <w:rFonts w:ascii="Times New Roman" w:hAnsi="Times New Roman"/>
          <w:sz w:val="28"/>
          <w:szCs w:val="28"/>
        </w:rPr>
        <w:t>9</w:t>
      </w:r>
      <w:r w:rsidRPr="00FA3ABA">
        <w:rPr>
          <w:rFonts w:ascii="Times New Roman" w:hAnsi="Times New Roman"/>
          <w:sz w:val="28"/>
          <w:szCs w:val="28"/>
        </w:rPr>
        <w:t xml:space="preserve"> </w:t>
      </w:r>
    </w:p>
    <w:p w:rsidR="00AB42EC" w:rsidRPr="002E77CD" w:rsidRDefault="00AB42EC" w:rsidP="008337AB">
      <w:pPr>
        <w:numPr>
          <w:ilvl w:val="0"/>
          <w:numId w:val="4"/>
        </w:numPr>
        <w:shd w:val="clear" w:color="auto" w:fill="FFFFFF"/>
        <w:spacing w:after="0" w:line="360" w:lineRule="auto"/>
        <w:rPr>
          <w:rFonts w:ascii="Times New Roman" w:hAnsi="Times New Roman"/>
          <w:sz w:val="28"/>
          <w:szCs w:val="28"/>
        </w:rPr>
      </w:pPr>
      <w:r w:rsidRPr="002E77CD">
        <w:rPr>
          <w:rFonts w:ascii="Times New Roman" w:hAnsi="Times New Roman"/>
          <w:sz w:val="28"/>
          <w:szCs w:val="28"/>
        </w:rPr>
        <w:t xml:space="preserve">Головнин М.Ю. Основные направления развития мировой валютной системы и денежно-кредитная политика России // </w:t>
      </w:r>
      <w:proofErr w:type="spellStart"/>
      <w:r w:rsidRPr="002E77CD">
        <w:rPr>
          <w:rFonts w:ascii="Times New Roman" w:hAnsi="Times New Roman"/>
          <w:sz w:val="28"/>
          <w:szCs w:val="28"/>
        </w:rPr>
        <w:t>Междунар</w:t>
      </w:r>
      <w:proofErr w:type="spellEnd"/>
      <w:r w:rsidRPr="002E77CD">
        <w:rPr>
          <w:rFonts w:ascii="Times New Roman" w:hAnsi="Times New Roman"/>
          <w:sz w:val="28"/>
          <w:szCs w:val="28"/>
        </w:rPr>
        <w:t>. эко</w:t>
      </w:r>
      <w:r>
        <w:rPr>
          <w:rFonts w:ascii="Times New Roman" w:hAnsi="Times New Roman"/>
          <w:sz w:val="28"/>
          <w:szCs w:val="28"/>
        </w:rPr>
        <w:t>номика. - 2011. - № 2.</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2E77CD">
        <w:rPr>
          <w:rFonts w:ascii="Times New Roman" w:hAnsi="Times New Roman"/>
          <w:sz w:val="28"/>
          <w:szCs w:val="28"/>
        </w:rPr>
        <w:t xml:space="preserve">Давыдова Л.В. Тенденции развития национальной денежной системы: теория и практика / Л.В. Давыдова, Н.В. </w:t>
      </w:r>
      <w:proofErr w:type="spellStart"/>
      <w:r w:rsidRPr="002E77CD">
        <w:rPr>
          <w:rFonts w:ascii="Times New Roman" w:hAnsi="Times New Roman"/>
          <w:sz w:val="28"/>
          <w:szCs w:val="28"/>
        </w:rPr>
        <w:t>Тулайков</w:t>
      </w:r>
      <w:proofErr w:type="spellEnd"/>
      <w:r w:rsidRPr="002E77CD">
        <w:rPr>
          <w:rFonts w:ascii="Times New Roman" w:hAnsi="Times New Roman"/>
          <w:sz w:val="28"/>
          <w:szCs w:val="28"/>
        </w:rPr>
        <w:t xml:space="preserve"> ; </w:t>
      </w:r>
      <w:proofErr w:type="spellStart"/>
      <w:r w:rsidRPr="002E77CD">
        <w:rPr>
          <w:rFonts w:ascii="Times New Roman" w:hAnsi="Times New Roman"/>
          <w:sz w:val="28"/>
          <w:szCs w:val="28"/>
        </w:rPr>
        <w:t>Орл</w:t>
      </w:r>
      <w:proofErr w:type="spellEnd"/>
      <w:r w:rsidRPr="002E77CD">
        <w:rPr>
          <w:rFonts w:ascii="Times New Roman" w:hAnsi="Times New Roman"/>
          <w:sz w:val="28"/>
          <w:szCs w:val="28"/>
        </w:rPr>
        <w:t>. регион. акад. гос. службы. - Орел, 2010.</w:t>
      </w:r>
    </w:p>
    <w:p w:rsidR="00AB42EC" w:rsidRPr="00FA3ABA" w:rsidRDefault="000D7721" w:rsidP="008337AB">
      <w:pPr>
        <w:pStyle w:val="a4"/>
        <w:numPr>
          <w:ilvl w:val="0"/>
          <w:numId w:val="4"/>
        </w:numPr>
        <w:spacing w:after="0" w:line="360" w:lineRule="auto"/>
        <w:jc w:val="both"/>
        <w:rPr>
          <w:rFonts w:ascii="Times New Roman" w:hAnsi="Times New Roman"/>
          <w:sz w:val="28"/>
          <w:szCs w:val="28"/>
        </w:rPr>
      </w:pPr>
      <w:proofErr w:type="spellStart"/>
      <w:r>
        <w:rPr>
          <w:rFonts w:ascii="Times New Roman" w:hAnsi="Times New Roman"/>
          <w:sz w:val="28"/>
          <w:szCs w:val="28"/>
        </w:rPr>
        <w:t>Дворецкая</w:t>
      </w:r>
      <w:proofErr w:type="spellEnd"/>
      <w:r>
        <w:rPr>
          <w:rFonts w:ascii="Times New Roman" w:hAnsi="Times New Roman"/>
          <w:sz w:val="28"/>
          <w:szCs w:val="28"/>
        </w:rPr>
        <w:t xml:space="preserve"> А.Е. Деньги.</w:t>
      </w:r>
      <w:r w:rsidR="00AB42EC" w:rsidRPr="00FA3ABA">
        <w:rPr>
          <w:rFonts w:ascii="Times New Roman" w:hAnsi="Times New Roman"/>
          <w:sz w:val="28"/>
          <w:szCs w:val="28"/>
        </w:rPr>
        <w:t xml:space="preserve"> Кредит. Банки. - М.: </w:t>
      </w:r>
      <w:proofErr w:type="spellStart"/>
      <w:r w:rsidR="00AB42EC" w:rsidRPr="00FA3ABA">
        <w:rPr>
          <w:rFonts w:ascii="Times New Roman" w:hAnsi="Times New Roman"/>
          <w:sz w:val="28"/>
          <w:szCs w:val="28"/>
        </w:rPr>
        <w:t>Юрайт</w:t>
      </w:r>
      <w:proofErr w:type="spellEnd"/>
      <w:r w:rsidR="00AB42EC" w:rsidRPr="00FA3ABA">
        <w:rPr>
          <w:rFonts w:ascii="Times New Roman" w:hAnsi="Times New Roman"/>
          <w:sz w:val="28"/>
          <w:szCs w:val="28"/>
        </w:rPr>
        <w:t>. 2014.</w:t>
      </w:r>
    </w:p>
    <w:p w:rsidR="00AB42EC" w:rsidRDefault="00AB42EC" w:rsidP="008337AB">
      <w:pPr>
        <w:pStyle w:val="a4"/>
        <w:numPr>
          <w:ilvl w:val="0"/>
          <w:numId w:val="4"/>
        </w:numPr>
        <w:spacing w:after="0" w:line="360" w:lineRule="auto"/>
        <w:jc w:val="both"/>
        <w:rPr>
          <w:rFonts w:ascii="Times New Roman" w:hAnsi="Times New Roman"/>
          <w:sz w:val="28"/>
          <w:szCs w:val="28"/>
        </w:rPr>
      </w:pPr>
      <w:r>
        <w:rPr>
          <w:rFonts w:ascii="Times New Roman" w:hAnsi="Times New Roman"/>
          <w:sz w:val="28"/>
          <w:szCs w:val="28"/>
        </w:rPr>
        <w:t xml:space="preserve">Денежно-кредитная политика </w:t>
      </w:r>
      <w:r w:rsidRPr="00FA3ABA">
        <w:rPr>
          <w:rFonts w:ascii="Times New Roman" w:hAnsi="Times New Roman"/>
          <w:sz w:val="28"/>
          <w:szCs w:val="28"/>
        </w:rPr>
        <w:t xml:space="preserve">Банка России// [Электронный ресурс] </w:t>
      </w:r>
      <w:r w:rsidRPr="002E77CD">
        <w:rPr>
          <w:rFonts w:ascii="Times New Roman" w:hAnsi="Times New Roman"/>
          <w:sz w:val="28"/>
          <w:szCs w:val="28"/>
        </w:rPr>
        <w:t>http://www.cbr.ru/DKP/</w:t>
      </w:r>
      <w:r w:rsidRPr="00FA3ABA">
        <w:rPr>
          <w:rFonts w:ascii="Times New Roman" w:hAnsi="Times New Roman"/>
          <w:sz w:val="28"/>
          <w:szCs w:val="28"/>
        </w:rPr>
        <w:t xml:space="preserve"> (</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Деньги. Кредит. Банки / под ред. О.И. Лаврушина – М.: </w:t>
      </w:r>
      <w:proofErr w:type="spellStart"/>
      <w:r w:rsidRPr="00FA3ABA">
        <w:rPr>
          <w:rFonts w:ascii="Times New Roman" w:hAnsi="Times New Roman"/>
          <w:sz w:val="28"/>
          <w:szCs w:val="28"/>
        </w:rPr>
        <w:t>Кнорус</w:t>
      </w:r>
      <w:proofErr w:type="spellEnd"/>
      <w:r w:rsidRPr="00FA3ABA">
        <w:rPr>
          <w:rFonts w:ascii="Times New Roman" w:hAnsi="Times New Roman"/>
          <w:sz w:val="28"/>
          <w:szCs w:val="28"/>
        </w:rPr>
        <w:t>. 2010</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Динамика </w:t>
      </w:r>
      <w:r>
        <w:rPr>
          <w:rFonts w:ascii="Times New Roman" w:hAnsi="Times New Roman"/>
          <w:sz w:val="28"/>
          <w:szCs w:val="28"/>
        </w:rPr>
        <w:t>ключевой ставки</w:t>
      </w:r>
      <w:r w:rsidRPr="00FA3ABA">
        <w:rPr>
          <w:rFonts w:ascii="Times New Roman" w:hAnsi="Times New Roman"/>
          <w:sz w:val="28"/>
          <w:szCs w:val="28"/>
        </w:rPr>
        <w:t xml:space="preserve"> ЦБ РФ. // [Электронный ресурс] http://ключевая-ставка.рф (</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Колесникова Е.Н. Денежно-кредитная политика переходного периода // Банковское дело. 201</w:t>
      </w:r>
      <w:r>
        <w:rPr>
          <w:rFonts w:ascii="Times New Roman" w:hAnsi="Times New Roman"/>
          <w:sz w:val="28"/>
          <w:szCs w:val="28"/>
        </w:rPr>
        <w:t>5</w:t>
      </w:r>
      <w:r w:rsidRPr="00FA3ABA">
        <w:rPr>
          <w:rFonts w:ascii="Times New Roman" w:hAnsi="Times New Roman"/>
          <w:sz w:val="28"/>
          <w:szCs w:val="28"/>
        </w:rPr>
        <w:t xml:space="preserve"> №</w:t>
      </w:r>
      <w:r>
        <w:rPr>
          <w:rFonts w:ascii="Times New Roman" w:hAnsi="Times New Roman"/>
          <w:sz w:val="28"/>
          <w:szCs w:val="28"/>
        </w:rPr>
        <w:t>7</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Корищенко К.Н. Актуальные проблемы методологии в реализации денежно-кредитной политики.- М.: </w:t>
      </w:r>
      <w:proofErr w:type="spellStart"/>
      <w:r w:rsidRPr="00FA3ABA">
        <w:rPr>
          <w:rFonts w:ascii="Times New Roman" w:hAnsi="Times New Roman"/>
          <w:sz w:val="28"/>
          <w:szCs w:val="28"/>
        </w:rPr>
        <w:t>Экон</w:t>
      </w:r>
      <w:proofErr w:type="spellEnd"/>
      <w:r w:rsidRPr="00FA3ABA">
        <w:rPr>
          <w:rFonts w:ascii="Times New Roman" w:hAnsi="Times New Roman"/>
          <w:sz w:val="28"/>
          <w:szCs w:val="28"/>
        </w:rPr>
        <w:t>. науки. 2012.</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Моисеев С.Р. Денежно-кредитная политика: теория и практика. – М.: Московская промышленная финансовая академия. 2011.</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lastRenderedPageBreak/>
        <w:t xml:space="preserve">Моисеев С.Р. Модернизация денежно-кредитной политики Банка России для перехода к </w:t>
      </w:r>
      <w:proofErr w:type="spellStart"/>
      <w:r w:rsidRPr="00FA3ABA">
        <w:rPr>
          <w:rFonts w:ascii="Times New Roman" w:hAnsi="Times New Roman"/>
          <w:sz w:val="28"/>
          <w:szCs w:val="28"/>
        </w:rPr>
        <w:t>таргетированию</w:t>
      </w:r>
      <w:proofErr w:type="spellEnd"/>
      <w:r w:rsidRPr="00FA3ABA">
        <w:rPr>
          <w:rFonts w:ascii="Times New Roman" w:hAnsi="Times New Roman"/>
          <w:sz w:val="28"/>
          <w:szCs w:val="28"/>
        </w:rPr>
        <w:t xml:space="preserve"> инфляции // Банковское дело. 201</w:t>
      </w:r>
      <w:r>
        <w:rPr>
          <w:rFonts w:ascii="Times New Roman" w:hAnsi="Times New Roman"/>
          <w:sz w:val="28"/>
          <w:szCs w:val="28"/>
        </w:rPr>
        <w:t>5</w:t>
      </w:r>
      <w:r w:rsidRPr="00FA3ABA">
        <w:rPr>
          <w:rFonts w:ascii="Times New Roman" w:hAnsi="Times New Roman"/>
          <w:sz w:val="28"/>
          <w:szCs w:val="28"/>
        </w:rPr>
        <w:t xml:space="preserve"> №1 </w:t>
      </w:r>
    </w:p>
    <w:p w:rsidR="00AB42EC" w:rsidRPr="00A478DC" w:rsidRDefault="00AB42EC" w:rsidP="008337AB">
      <w:pPr>
        <w:pStyle w:val="a4"/>
        <w:numPr>
          <w:ilvl w:val="0"/>
          <w:numId w:val="4"/>
        </w:numPr>
        <w:spacing w:after="0" w:line="360" w:lineRule="auto"/>
        <w:ind w:firstLine="709"/>
        <w:jc w:val="both"/>
        <w:rPr>
          <w:rFonts w:ascii="Times New Roman" w:hAnsi="Times New Roman"/>
          <w:sz w:val="28"/>
          <w:szCs w:val="28"/>
        </w:rPr>
      </w:pPr>
      <w:r>
        <w:rPr>
          <w:rFonts w:ascii="Times New Roman" w:hAnsi="Times New Roman"/>
          <w:sz w:val="28"/>
          <w:szCs w:val="28"/>
        </w:rPr>
        <w:t xml:space="preserve">О параметрах курсовой политики </w:t>
      </w:r>
      <w:r w:rsidRPr="00A478DC">
        <w:rPr>
          <w:rFonts w:ascii="Times New Roman" w:hAnsi="Times New Roman"/>
          <w:sz w:val="28"/>
          <w:szCs w:val="28"/>
        </w:rPr>
        <w:t xml:space="preserve">// [Электронный ресурс] </w:t>
      </w:r>
      <w:r w:rsidRPr="00F23176">
        <w:rPr>
          <w:rFonts w:ascii="Times New Roman" w:hAnsi="Times New Roman"/>
          <w:sz w:val="28"/>
          <w:szCs w:val="28"/>
        </w:rPr>
        <w:t>http://www.cbr.ru/press/pr.aspx?file=10112014_115454dkp2014-11-10t11_52_10.htm</w:t>
      </w:r>
    </w:p>
    <w:p w:rsidR="00AB42EC" w:rsidRDefault="00AB42EC" w:rsidP="008337AB">
      <w:pPr>
        <w:pStyle w:val="a4"/>
        <w:numPr>
          <w:ilvl w:val="0"/>
          <w:numId w:val="4"/>
        </w:numPr>
        <w:spacing w:after="0" w:line="360" w:lineRule="auto"/>
        <w:ind w:firstLine="709"/>
        <w:jc w:val="both"/>
        <w:rPr>
          <w:rFonts w:ascii="Times New Roman" w:hAnsi="Times New Roman"/>
          <w:sz w:val="28"/>
          <w:szCs w:val="28"/>
        </w:rPr>
      </w:pPr>
      <w:r w:rsidRPr="00A478DC">
        <w:rPr>
          <w:rFonts w:ascii="Times New Roman" w:hAnsi="Times New Roman"/>
          <w:sz w:val="28"/>
          <w:szCs w:val="28"/>
        </w:rPr>
        <w:t>Обеспеченные кредиты  Банка России// [Электронный ресурс] http://www.cbr.ru/DKP/print.aspx?file=standart_system/refinan.htm&amp;pid=dkp&amp;sid=ITM_15766/ (06.12.15)</w:t>
      </w:r>
    </w:p>
    <w:p w:rsidR="00AB42EC" w:rsidRDefault="00AB42EC" w:rsidP="008337AB">
      <w:pPr>
        <w:pStyle w:val="a4"/>
        <w:numPr>
          <w:ilvl w:val="0"/>
          <w:numId w:val="4"/>
        </w:numPr>
        <w:spacing w:after="0" w:line="360" w:lineRule="auto"/>
        <w:jc w:val="both"/>
        <w:rPr>
          <w:rFonts w:ascii="Times New Roman" w:hAnsi="Times New Roman"/>
          <w:sz w:val="28"/>
          <w:szCs w:val="28"/>
        </w:rPr>
      </w:pPr>
      <w:r>
        <w:rPr>
          <w:rFonts w:ascii="Times New Roman" w:hAnsi="Times New Roman"/>
          <w:sz w:val="28"/>
          <w:szCs w:val="28"/>
        </w:rPr>
        <w:t xml:space="preserve">Обязательные резервные требования </w:t>
      </w:r>
      <w:r w:rsidRPr="00FA3ABA">
        <w:rPr>
          <w:rFonts w:ascii="Times New Roman" w:hAnsi="Times New Roman"/>
          <w:sz w:val="28"/>
          <w:szCs w:val="28"/>
        </w:rPr>
        <w:t xml:space="preserve">Банка России// [Электронный ресурс] </w:t>
      </w:r>
      <w:r w:rsidRPr="002E77CD">
        <w:rPr>
          <w:rFonts w:ascii="Times New Roman" w:hAnsi="Times New Roman"/>
          <w:sz w:val="28"/>
          <w:szCs w:val="28"/>
        </w:rPr>
        <w:t>http://www.cbr.ru/DKP/print.aspx?file=standart_system/reserv.htm&amp;pid=dkp&amp;sid=ITM_34294/</w:t>
      </w:r>
      <w:r w:rsidRPr="00FA3ABA">
        <w:rPr>
          <w:rFonts w:ascii="Times New Roman" w:hAnsi="Times New Roman"/>
          <w:sz w:val="28"/>
          <w:szCs w:val="28"/>
        </w:rPr>
        <w:t xml:space="preserve"> (</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Default="00AB42EC" w:rsidP="008337AB">
      <w:pPr>
        <w:pStyle w:val="a4"/>
        <w:numPr>
          <w:ilvl w:val="0"/>
          <w:numId w:val="4"/>
        </w:numPr>
        <w:spacing w:after="0" w:line="360" w:lineRule="auto"/>
        <w:jc w:val="both"/>
        <w:rPr>
          <w:rFonts w:ascii="Times New Roman" w:hAnsi="Times New Roman"/>
          <w:sz w:val="28"/>
          <w:szCs w:val="28"/>
        </w:rPr>
      </w:pPr>
      <w:r w:rsidRPr="00AB42EC">
        <w:rPr>
          <w:rFonts w:ascii="Times New Roman" w:hAnsi="Times New Roman"/>
          <w:sz w:val="28"/>
          <w:szCs w:val="28"/>
        </w:rPr>
        <w:t>Операции Банка России по покупке/продаже ценных бумаг на открытом рынке</w:t>
      </w:r>
      <w:r w:rsidRPr="00FA3ABA">
        <w:rPr>
          <w:rFonts w:ascii="Times New Roman" w:hAnsi="Times New Roman"/>
          <w:sz w:val="28"/>
          <w:szCs w:val="28"/>
        </w:rPr>
        <w:t xml:space="preserve">// [Электронный ресурс] </w:t>
      </w:r>
      <w:r w:rsidRPr="00AB42EC">
        <w:rPr>
          <w:rFonts w:ascii="Times New Roman" w:hAnsi="Times New Roman"/>
          <w:sz w:val="28"/>
          <w:szCs w:val="28"/>
        </w:rPr>
        <w:t xml:space="preserve">http://www.cbr.ru/dkp/standart_system/print.aspx?file=dkp_DOFR_sec.htm </w:t>
      </w:r>
      <w:r w:rsidRPr="00FA3ABA">
        <w:rPr>
          <w:rFonts w:ascii="Times New Roman" w:hAnsi="Times New Roman"/>
          <w:sz w:val="28"/>
          <w:szCs w:val="28"/>
        </w:rPr>
        <w:t>(</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Основные направления единой государственной денежно-кредитной политики на 2016 год и период 2017 и 2018</w:t>
      </w:r>
      <w:r>
        <w:rPr>
          <w:rFonts w:ascii="Times New Roman" w:hAnsi="Times New Roman"/>
          <w:sz w:val="28"/>
          <w:szCs w:val="28"/>
        </w:rPr>
        <w:t xml:space="preserve"> годов</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AB42EC">
        <w:rPr>
          <w:rFonts w:ascii="Times New Roman" w:hAnsi="Times New Roman"/>
          <w:sz w:val="28"/>
          <w:szCs w:val="28"/>
        </w:rPr>
        <w:t xml:space="preserve">Положение Банка России от 12 ноября 2007 г. N 312-П "О порядке предоставления Банком России кредитным организациям кредитов, обеспеченных активами или поручительствами" (с изменениями и дополнениями) </w:t>
      </w:r>
    </w:p>
    <w:p w:rsidR="00AB42EC" w:rsidRDefault="00AB42EC" w:rsidP="008337AB">
      <w:pPr>
        <w:pStyle w:val="a4"/>
        <w:numPr>
          <w:ilvl w:val="0"/>
          <w:numId w:val="4"/>
        </w:numPr>
        <w:spacing w:after="0" w:line="360" w:lineRule="auto"/>
        <w:jc w:val="both"/>
        <w:rPr>
          <w:rFonts w:ascii="Times New Roman" w:hAnsi="Times New Roman"/>
          <w:sz w:val="28"/>
          <w:szCs w:val="28"/>
        </w:rPr>
      </w:pPr>
      <w:r w:rsidRPr="002E77CD">
        <w:rPr>
          <w:rFonts w:ascii="Times New Roman" w:hAnsi="Times New Roman"/>
          <w:sz w:val="28"/>
          <w:szCs w:val="28"/>
        </w:rPr>
        <w:t>Процентные ставки по специализированным инструментам Банка России</w:t>
      </w:r>
      <w:r w:rsidRPr="00FA3ABA">
        <w:rPr>
          <w:rFonts w:ascii="Times New Roman" w:hAnsi="Times New Roman"/>
          <w:sz w:val="28"/>
          <w:szCs w:val="28"/>
        </w:rPr>
        <w:t xml:space="preserve">// [Электронный ресурс] </w:t>
      </w:r>
      <w:r w:rsidRPr="002E77CD">
        <w:rPr>
          <w:rFonts w:ascii="Times New Roman" w:hAnsi="Times New Roman"/>
          <w:sz w:val="28"/>
          <w:szCs w:val="28"/>
        </w:rPr>
        <w:t xml:space="preserve">http://www.cbr.ru/DKP/print.aspx?file=standart_system/int_rates_spec.htm&amp;pid=dkp&amp;sid=ITM_15267 </w:t>
      </w:r>
      <w:r w:rsidRPr="00FA3ABA">
        <w:rPr>
          <w:rFonts w:ascii="Times New Roman" w:hAnsi="Times New Roman"/>
          <w:sz w:val="28"/>
          <w:szCs w:val="28"/>
        </w:rPr>
        <w:t>(</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Default="00AB42EC" w:rsidP="008337AB">
      <w:pPr>
        <w:pStyle w:val="a4"/>
        <w:numPr>
          <w:ilvl w:val="0"/>
          <w:numId w:val="4"/>
        </w:numPr>
        <w:spacing w:after="0" w:line="360" w:lineRule="auto"/>
        <w:jc w:val="both"/>
        <w:rPr>
          <w:rFonts w:ascii="Times New Roman" w:hAnsi="Times New Roman"/>
          <w:sz w:val="28"/>
          <w:szCs w:val="28"/>
        </w:rPr>
      </w:pPr>
      <w:r w:rsidRPr="002E77CD">
        <w:rPr>
          <w:rFonts w:ascii="Times New Roman" w:hAnsi="Times New Roman"/>
          <w:sz w:val="28"/>
          <w:szCs w:val="28"/>
        </w:rPr>
        <w:t>Система инструментов денежно-кредитной политики</w:t>
      </w:r>
      <w:r w:rsidRPr="00FA3ABA">
        <w:rPr>
          <w:rFonts w:ascii="Times New Roman" w:hAnsi="Times New Roman"/>
          <w:sz w:val="28"/>
          <w:szCs w:val="28"/>
        </w:rPr>
        <w:t xml:space="preserve">// [Электронный ресурс] </w:t>
      </w:r>
      <w:r w:rsidRPr="002E77CD">
        <w:rPr>
          <w:rFonts w:ascii="Times New Roman" w:hAnsi="Times New Roman"/>
          <w:sz w:val="28"/>
          <w:szCs w:val="28"/>
        </w:rPr>
        <w:t xml:space="preserve">http://www.cbr.ru/DKP/print.aspx?file=standart_system/system.htm&amp;pid=dkp&amp;sid=ITM_64117 </w:t>
      </w:r>
      <w:r w:rsidRPr="00FA3ABA">
        <w:rPr>
          <w:rFonts w:ascii="Times New Roman" w:hAnsi="Times New Roman"/>
          <w:sz w:val="28"/>
          <w:szCs w:val="28"/>
        </w:rPr>
        <w:t>(</w:t>
      </w:r>
      <w:r>
        <w:rPr>
          <w:rFonts w:ascii="Times New Roman" w:hAnsi="Times New Roman"/>
          <w:sz w:val="28"/>
          <w:szCs w:val="28"/>
        </w:rPr>
        <w:t>06</w:t>
      </w:r>
      <w:r w:rsidRPr="00FA3ABA">
        <w:rPr>
          <w:rFonts w:ascii="Times New Roman" w:hAnsi="Times New Roman"/>
          <w:sz w:val="28"/>
          <w:szCs w:val="28"/>
        </w:rPr>
        <w:t>.1</w:t>
      </w:r>
      <w:r>
        <w:rPr>
          <w:rFonts w:ascii="Times New Roman" w:hAnsi="Times New Roman"/>
          <w:sz w:val="28"/>
          <w:szCs w:val="28"/>
        </w:rPr>
        <w:t>2</w:t>
      </w:r>
      <w:r w:rsidRPr="00FA3ABA">
        <w:rPr>
          <w:rFonts w:ascii="Times New Roman" w:hAnsi="Times New Roman"/>
          <w:sz w:val="28"/>
          <w:szCs w:val="28"/>
        </w:rPr>
        <w:t>.1</w:t>
      </w:r>
      <w:r>
        <w:rPr>
          <w:rFonts w:ascii="Times New Roman" w:hAnsi="Times New Roman"/>
          <w:sz w:val="28"/>
          <w:szCs w:val="28"/>
        </w:rPr>
        <w:t>5</w:t>
      </w:r>
      <w:r w:rsidRPr="00FA3ABA">
        <w:rPr>
          <w:rFonts w:ascii="Times New Roman" w:hAnsi="Times New Roman"/>
          <w:sz w:val="28"/>
          <w:szCs w:val="28"/>
        </w:rPr>
        <w:t>)</w:t>
      </w:r>
    </w:p>
    <w:p w:rsidR="00AB42EC" w:rsidRDefault="00AB42EC" w:rsidP="008337AB">
      <w:pPr>
        <w:pStyle w:val="a4"/>
        <w:numPr>
          <w:ilvl w:val="0"/>
          <w:numId w:val="4"/>
        </w:numPr>
        <w:spacing w:after="0" w:line="360" w:lineRule="auto"/>
        <w:jc w:val="both"/>
        <w:rPr>
          <w:rFonts w:ascii="Times New Roman" w:hAnsi="Times New Roman"/>
          <w:sz w:val="28"/>
          <w:szCs w:val="28"/>
        </w:rPr>
      </w:pPr>
      <w:r>
        <w:rPr>
          <w:rFonts w:ascii="Times New Roman" w:hAnsi="Times New Roman"/>
          <w:sz w:val="28"/>
          <w:szCs w:val="28"/>
        </w:rPr>
        <w:lastRenderedPageBreak/>
        <w:t>Указание БР №3655-У от 01.06.2015 «</w:t>
      </w:r>
      <w:r w:rsidRPr="00EC6FDC">
        <w:rPr>
          <w:rFonts w:ascii="Times New Roman" w:hAnsi="Times New Roman"/>
          <w:sz w:val="28"/>
          <w:szCs w:val="28"/>
        </w:rPr>
        <w:t>Об установлении коэффициента усреднения</w:t>
      </w:r>
      <w:r>
        <w:rPr>
          <w:rFonts w:ascii="Times New Roman" w:hAnsi="Times New Roman"/>
          <w:sz w:val="28"/>
          <w:szCs w:val="28"/>
        </w:rPr>
        <w:t>»</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Федеральный закон от 10 июля 2002 г. N 86-ФЗ "О Центральном банке Российской Федерации (Банке России)" (с изменениями и дополнениями)</w:t>
      </w:r>
    </w:p>
    <w:p w:rsidR="00AB42EC" w:rsidRPr="00FA3ABA"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Фетисов Г.Г. Монетарная политика и развитие денежно-кредитной системы России в условиях глобализации: национальный и региональные аспекты. – М.: Экономика, 2009.</w:t>
      </w:r>
    </w:p>
    <w:p w:rsidR="00AB42EC" w:rsidRDefault="00AB42EC" w:rsidP="008337AB">
      <w:pPr>
        <w:pStyle w:val="a4"/>
        <w:numPr>
          <w:ilvl w:val="0"/>
          <w:numId w:val="4"/>
        </w:numPr>
        <w:spacing w:after="0" w:line="360" w:lineRule="auto"/>
        <w:jc w:val="both"/>
        <w:rPr>
          <w:rFonts w:ascii="Times New Roman" w:hAnsi="Times New Roman"/>
          <w:sz w:val="28"/>
          <w:szCs w:val="28"/>
        </w:rPr>
      </w:pPr>
      <w:r w:rsidRPr="00FA3ABA">
        <w:rPr>
          <w:rFonts w:ascii="Times New Roman" w:hAnsi="Times New Roman"/>
          <w:sz w:val="28"/>
          <w:szCs w:val="28"/>
        </w:rPr>
        <w:t xml:space="preserve">Юрьева Т.В. </w:t>
      </w:r>
      <w:proofErr w:type="spellStart"/>
      <w:r w:rsidRPr="00FA3ABA">
        <w:rPr>
          <w:rFonts w:ascii="Times New Roman" w:hAnsi="Times New Roman"/>
          <w:sz w:val="28"/>
          <w:szCs w:val="28"/>
        </w:rPr>
        <w:t>Марыганова</w:t>
      </w:r>
      <w:proofErr w:type="spellEnd"/>
      <w:r w:rsidRPr="00FA3ABA">
        <w:rPr>
          <w:rFonts w:ascii="Times New Roman" w:hAnsi="Times New Roman"/>
          <w:sz w:val="28"/>
          <w:szCs w:val="28"/>
        </w:rPr>
        <w:t xml:space="preserve"> Е.А. Макроэкономика. – М.: Учебно-методический комплекс.200</w:t>
      </w:r>
      <w:r>
        <w:rPr>
          <w:rFonts w:ascii="Times New Roman" w:hAnsi="Times New Roman"/>
          <w:sz w:val="28"/>
          <w:szCs w:val="28"/>
        </w:rPr>
        <w:t>9</w:t>
      </w:r>
      <w:r w:rsidRPr="00FA3ABA">
        <w:rPr>
          <w:rFonts w:ascii="Times New Roman" w:hAnsi="Times New Roman"/>
          <w:sz w:val="28"/>
          <w:szCs w:val="28"/>
        </w:rPr>
        <w:t>. – 286 с.</w:t>
      </w:r>
    </w:p>
    <w:p w:rsidR="00AB42EC" w:rsidRDefault="00AB42EC" w:rsidP="00AB42EC">
      <w:pPr>
        <w:pStyle w:val="a4"/>
        <w:spacing w:after="0" w:line="360" w:lineRule="auto"/>
        <w:jc w:val="both"/>
        <w:rPr>
          <w:rFonts w:ascii="Times New Roman" w:hAnsi="Times New Roman"/>
          <w:sz w:val="28"/>
          <w:szCs w:val="28"/>
        </w:rPr>
      </w:pPr>
    </w:p>
    <w:sectPr w:rsidR="00AB42EC" w:rsidSect="00A478DC">
      <w:headerReference w:type="default" r:id="rId4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4BC" w:rsidRDefault="008304BC" w:rsidP="00C831D7">
      <w:pPr>
        <w:spacing w:after="0" w:line="240" w:lineRule="auto"/>
      </w:pPr>
      <w:r>
        <w:separator/>
      </w:r>
    </w:p>
  </w:endnote>
  <w:endnote w:type="continuationSeparator" w:id="0">
    <w:p w:rsidR="008304BC" w:rsidRDefault="008304BC" w:rsidP="00C8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CC"/>
    <w:family w:val="roman"/>
    <w:pitch w:val="variable"/>
    <w:sig w:usb0="E0002AFF" w:usb1="C0007841"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Arial"/>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4BC" w:rsidRDefault="008304BC" w:rsidP="00C831D7">
      <w:pPr>
        <w:spacing w:after="0" w:line="240" w:lineRule="auto"/>
      </w:pPr>
      <w:r>
        <w:separator/>
      </w:r>
    </w:p>
  </w:footnote>
  <w:footnote w:type="continuationSeparator" w:id="0">
    <w:p w:rsidR="008304BC" w:rsidRDefault="008304BC" w:rsidP="00C831D7">
      <w:pPr>
        <w:spacing w:after="0" w:line="240" w:lineRule="auto"/>
      </w:pPr>
      <w:r>
        <w:continuationSeparator/>
      </w:r>
    </w:p>
  </w:footnote>
  <w:footnote w:id="1">
    <w:p w:rsidR="00E27894" w:rsidRPr="00FD0CEB" w:rsidRDefault="00E27894">
      <w:pPr>
        <w:pStyle w:val="a5"/>
        <w:rPr>
          <w:rFonts w:ascii="Times New Roman" w:hAnsi="Times New Roman"/>
        </w:rPr>
      </w:pPr>
      <w:r w:rsidRPr="00FD0CEB">
        <w:rPr>
          <w:rStyle w:val="a7"/>
          <w:rFonts w:ascii="Times New Roman" w:hAnsi="Times New Roman"/>
        </w:rPr>
        <w:footnoteRef/>
      </w:r>
      <w:r w:rsidRPr="00FD0CEB">
        <w:rPr>
          <w:rFonts w:ascii="Times New Roman" w:hAnsi="Times New Roman"/>
        </w:rPr>
        <w:t xml:space="preserve"> </w:t>
      </w:r>
      <w:r>
        <w:rPr>
          <w:rFonts w:ascii="Times New Roman" w:hAnsi="Times New Roman"/>
        </w:rPr>
        <w:t>2</w:t>
      </w:r>
      <w:proofErr w:type="gramStart"/>
      <w:r>
        <w:rPr>
          <w:rFonts w:ascii="Times New Roman" w:hAnsi="Times New Roman"/>
        </w:rPr>
        <w:t xml:space="preserve"> С</w:t>
      </w:r>
      <w:proofErr w:type="gramEnd"/>
      <w:r>
        <w:rPr>
          <w:rFonts w:ascii="Times New Roman" w:hAnsi="Times New Roman"/>
        </w:rPr>
        <w:t xml:space="preserve"> 5</w:t>
      </w:r>
    </w:p>
  </w:footnote>
  <w:footnote w:id="2">
    <w:p w:rsidR="00E27894" w:rsidRDefault="00E27894" w:rsidP="003A316C">
      <w:pPr>
        <w:pStyle w:val="a5"/>
      </w:pPr>
      <w:r>
        <w:rPr>
          <w:rStyle w:val="a7"/>
        </w:rPr>
        <w:footnoteRef/>
      </w:r>
      <w:r>
        <w:t xml:space="preserve"> </w:t>
      </w:r>
      <w:proofErr w:type="spellStart"/>
      <w:r>
        <w:t>Тосунян</w:t>
      </w:r>
      <w:proofErr w:type="spellEnd"/>
      <w:r>
        <w:t xml:space="preserve"> Г.А. Теория банковского права. Том 1. – М.: </w:t>
      </w:r>
      <w:proofErr w:type="spellStart"/>
      <w:r>
        <w:t>Юристъ</w:t>
      </w:r>
      <w:proofErr w:type="spellEnd"/>
      <w:r>
        <w:t>, 2002. С.13.</w:t>
      </w:r>
    </w:p>
  </w:footnote>
  <w:footnote w:id="3">
    <w:p w:rsidR="00E27894" w:rsidRDefault="00E27894" w:rsidP="003A316C">
      <w:pPr>
        <w:pStyle w:val="a5"/>
      </w:pPr>
      <w:r>
        <w:rPr>
          <w:rStyle w:val="a7"/>
        </w:rPr>
        <w:footnoteRef/>
      </w:r>
      <w:r>
        <w:t xml:space="preserve"> Лаврушин О.И. Деньги, кредит, банки. – М., 2005. С.5.</w:t>
      </w:r>
    </w:p>
  </w:footnote>
  <w:footnote w:id="4">
    <w:p w:rsidR="00E27894" w:rsidRDefault="00E27894" w:rsidP="003A316C">
      <w:pPr>
        <w:pStyle w:val="a5"/>
      </w:pPr>
      <w:r>
        <w:rPr>
          <w:rStyle w:val="a7"/>
        </w:rPr>
        <w:footnoteRef/>
      </w:r>
      <w:r>
        <w:t xml:space="preserve"> </w:t>
      </w:r>
      <w:proofErr w:type="spellStart"/>
      <w:r>
        <w:t>Родзинский</w:t>
      </w:r>
      <w:proofErr w:type="spellEnd"/>
      <w:r>
        <w:t xml:space="preserve"> Ю.Л. Банковская деятельность. Регулирование и надзор. Сравнительный анализ денежно-кредитного регулирования и контроля США и России. - СПб</w:t>
      </w:r>
      <w:proofErr w:type="gramStart"/>
      <w:r>
        <w:t>.: “</w:t>
      </w:r>
      <w:proofErr w:type="gramEnd"/>
      <w:r>
        <w:t>Альфа“, 2000. С.22.</w:t>
      </w:r>
    </w:p>
  </w:footnote>
  <w:footnote w:id="5">
    <w:p w:rsidR="00E27894" w:rsidRDefault="00E27894" w:rsidP="003A316C">
      <w:pPr>
        <w:pStyle w:val="a5"/>
      </w:pPr>
      <w:r>
        <w:rPr>
          <w:rStyle w:val="a7"/>
        </w:rPr>
        <w:footnoteRef/>
      </w:r>
      <w:r>
        <w:t xml:space="preserve">  </w:t>
      </w:r>
      <w:proofErr w:type="spellStart"/>
      <w:r>
        <w:t>Шенаев</w:t>
      </w:r>
      <w:proofErr w:type="spellEnd"/>
      <w:r>
        <w:t xml:space="preserve"> В.Н., Наумченко О.В. Центральный банк в процессе экономического регулирования. -  М.: </w:t>
      </w:r>
      <w:proofErr w:type="spellStart"/>
      <w:r>
        <w:t>Консалтбанкир</w:t>
      </w:r>
      <w:proofErr w:type="spellEnd"/>
      <w:r>
        <w:t>, 2004. С.6.</w:t>
      </w:r>
    </w:p>
  </w:footnote>
  <w:footnote w:id="6">
    <w:p w:rsidR="00E27894" w:rsidRDefault="00E27894" w:rsidP="003A316C">
      <w:pPr>
        <w:pStyle w:val="a5"/>
      </w:pPr>
      <w:r>
        <w:rPr>
          <w:rStyle w:val="a7"/>
        </w:rPr>
        <w:footnoteRef/>
      </w:r>
      <w:r>
        <w:t xml:space="preserve"> </w:t>
      </w:r>
      <w:proofErr w:type="spellStart"/>
      <w:r>
        <w:t>Тютюнник</w:t>
      </w:r>
      <w:proofErr w:type="spellEnd"/>
      <w:r>
        <w:t xml:space="preserve"> А.В. Банковское дело. – М.: Финансы и статистика, 2008. С.32.</w:t>
      </w:r>
    </w:p>
  </w:footnote>
  <w:footnote w:id="7">
    <w:p w:rsidR="00E27894" w:rsidRDefault="00E27894" w:rsidP="003A316C">
      <w:pPr>
        <w:pStyle w:val="a5"/>
      </w:pPr>
      <w:r>
        <w:rPr>
          <w:rStyle w:val="a7"/>
        </w:rPr>
        <w:footnoteRef/>
      </w:r>
      <w:r>
        <w:t xml:space="preserve"> </w:t>
      </w:r>
      <w:proofErr w:type="spellStart"/>
      <w:r>
        <w:t>См</w:t>
      </w:r>
      <w:proofErr w:type="gramStart"/>
      <w:r>
        <w:t>.С</w:t>
      </w:r>
      <w:proofErr w:type="gramEnd"/>
      <w:r>
        <w:t>имановский</w:t>
      </w:r>
      <w:proofErr w:type="spellEnd"/>
      <w:r>
        <w:t xml:space="preserve"> А. Ю. Надзорные и контрольные функции Банка России: краткий экскурс // Деньги и кредит, 2001, № 5.  С.16.</w:t>
      </w:r>
    </w:p>
  </w:footnote>
  <w:footnote w:id="8">
    <w:p w:rsidR="00E27894" w:rsidRPr="00EC6FDC" w:rsidRDefault="00E27894" w:rsidP="008337AB">
      <w:pPr>
        <w:pStyle w:val="a4"/>
        <w:numPr>
          <w:ilvl w:val="0"/>
          <w:numId w:val="4"/>
        </w:numPr>
        <w:spacing w:after="0" w:line="360" w:lineRule="auto"/>
        <w:jc w:val="both"/>
        <w:rPr>
          <w:rFonts w:ascii="Times New Roman" w:hAnsi="Times New Roman"/>
          <w:sz w:val="20"/>
          <w:szCs w:val="20"/>
        </w:rPr>
      </w:pPr>
      <w:r>
        <w:rPr>
          <w:rStyle w:val="a7"/>
        </w:rPr>
        <w:footnoteRef/>
      </w:r>
      <w:r w:rsidRPr="00EC6FDC">
        <w:rPr>
          <w:sz w:val="20"/>
          <w:szCs w:val="20"/>
        </w:rPr>
        <w:t xml:space="preserve"> </w:t>
      </w:r>
      <w:r w:rsidRPr="00EC6FDC">
        <w:rPr>
          <w:rFonts w:ascii="Times New Roman" w:hAnsi="Times New Roman"/>
          <w:sz w:val="20"/>
          <w:szCs w:val="20"/>
        </w:rPr>
        <w:t>Указание БР №3655-У от 01.06.2015 «Об установлении коэффициента усреднения»</w:t>
      </w:r>
    </w:p>
    <w:p w:rsidR="00E27894" w:rsidRDefault="00E27894">
      <w:pPr>
        <w:pStyle w:val="a5"/>
      </w:pPr>
    </w:p>
  </w:footnote>
  <w:footnote w:id="9">
    <w:p w:rsidR="00E27894" w:rsidRDefault="00E27894">
      <w:pPr>
        <w:pStyle w:val="a5"/>
      </w:pPr>
      <w:r>
        <w:rPr>
          <w:rStyle w:val="a7"/>
        </w:rPr>
        <w:footnoteRef/>
      </w:r>
      <w:r>
        <w:t xml:space="preserve"> 8 С.103</w:t>
      </w:r>
    </w:p>
  </w:footnote>
  <w:footnote w:id="10">
    <w:p w:rsidR="00E27894" w:rsidRDefault="00E27894">
      <w:pPr>
        <w:pStyle w:val="a5"/>
      </w:pPr>
      <w:r>
        <w:rPr>
          <w:rStyle w:val="a7"/>
        </w:rPr>
        <w:footnoteRef/>
      </w:r>
      <w:r>
        <w:t xml:space="preserve"> Положение</w:t>
      </w:r>
      <w:r w:rsidRPr="00AB42EC">
        <w:t xml:space="preserve"> Банка России от 12 ноября 2007 г. N 312-П "О порядке предоставления Банком России кредитным организациям кредитов, обеспеченных активами или поручительствами" (с изменениями и дополнениями)</w:t>
      </w:r>
    </w:p>
  </w:footnote>
  <w:footnote w:id="11">
    <w:p w:rsidR="00E27894" w:rsidRDefault="00E27894" w:rsidP="00117314">
      <w:pPr>
        <w:pStyle w:val="a5"/>
      </w:pPr>
      <w:r>
        <w:rPr>
          <w:rStyle w:val="a7"/>
        </w:rPr>
        <w:footnoteRef/>
      </w:r>
      <w:r>
        <w:t xml:space="preserve"> Масленников В.В. Зарубежные банковские системы. – М.: Элит-2000; 2001. С.52.</w:t>
      </w:r>
    </w:p>
  </w:footnote>
  <w:footnote w:id="12">
    <w:p w:rsidR="00E27894" w:rsidRDefault="00E27894" w:rsidP="00117314">
      <w:pPr>
        <w:pStyle w:val="a5"/>
      </w:pPr>
      <w:r>
        <w:rPr>
          <w:rStyle w:val="a7"/>
        </w:rPr>
        <w:footnoteRef/>
      </w:r>
      <w:r>
        <w:t xml:space="preserve"> </w:t>
      </w:r>
      <w:proofErr w:type="spellStart"/>
      <w:r>
        <w:t>Родзинский</w:t>
      </w:r>
      <w:proofErr w:type="spellEnd"/>
      <w:r>
        <w:t xml:space="preserve"> Ю.Л. Банковская деятельность. Регулирование и надзор. Сравнительный анализ денежно-кредитного регулирования и контроля США и России. С.60.</w:t>
      </w:r>
    </w:p>
  </w:footnote>
  <w:footnote w:id="13">
    <w:p w:rsidR="00E27894" w:rsidRDefault="00E27894" w:rsidP="00117314">
      <w:pPr>
        <w:pStyle w:val="a5"/>
      </w:pPr>
      <w:r>
        <w:rPr>
          <w:rStyle w:val="a7"/>
        </w:rPr>
        <w:footnoteRef/>
      </w:r>
      <w:r>
        <w:t xml:space="preserve"> Матвеева Т.Ю. Макроэкономика: Курс лекций для экономистов. – М., 2009. С.46.</w:t>
      </w:r>
    </w:p>
  </w:footnote>
  <w:footnote w:id="14">
    <w:p w:rsidR="00E27894" w:rsidRDefault="00E27894" w:rsidP="00117314">
      <w:pPr>
        <w:pStyle w:val="a5"/>
      </w:pPr>
      <w:r>
        <w:rPr>
          <w:rStyle w:val="a7"/>
        </w:rPr>
        <w:footnoteRef/>
      </w:r>
      <w:r>
        <w:t xml:space="preserve"> Матвеева Т.Ю. Макроэкономика: Курс лекций для экономистов. С.48.</w:t>
      </w:r>
    </w:p>
  </w:footnote>
  <w:footnote w:id="15">
    <w:p w:rsidR="00E27894" w:rsidRDefault="00E27894" w:rsidP="00B35EFE">
      <w:pPr>
        <w:pStyle w:val="a5"/>
      </w:pPr>
      <w:r w:rsidRPr="000C00D7">
        <w:rPr>
          <w:rStyle w:val="a7"/>
        </w:rPr>
        <w:footnoteRef/>
      </w:r>
      <w:r w:rsidRPr="000C00D7">
        <w:t xml:space="preserve"> </w:t>
      </w:r>
      <w:r>
        <w:t>7</w:t>
      </w:r>
      <w:r w:rsidRPr="000C00D7">
        <w:t>. С.5.</w:t>
      </w:r>
    </w:p>
  </w:footnote>
  <w:footnote w:id="16">
    <w:p w:rsidR="00E27894" w:rsidRDefault="00E27894" w:rsidP="00B35EFE">
      <w:pPr>
        <w:pStyle w:val="a5"/>
      </w:pPr>
      <w:r w:rsidRPr="000C00D7">
        <w:rPr>
          <w:rStyle w:val="a7"/>
        </w:rPr>
        <w:footnoteRef/>
      </w:r>
      <w:r w:rsidRPr="000C00D7">
        <w:t xml:space="preserve"> </w:t>
      </w:r>
      <w:r>
        <w:t>12</w:t>
      </w:r>
      <w:r w:rsidRPr="000C00D7">
        <w:t xml:space="preserve"> С.11.</w:t>
      </w:r>
    </w:p>
  </w:footnote>
  <w:footnote w:id="17">
    <w:p w:rsidR="00E27894" w:rsidRDefault="00E27894">
      <w:pPr>
        <w:pStyle w:val="a5"/>
      </w:pPr>
      <w:r>
        <w:rPr>
          <w:rStyle w:val="a7"/>
        </w:rPr>
        <w:footnoteRef/>
      </w:r>
      <w:r>
        <w:t xml:space="preserve"> 7 С.93</w:t>
      </w:r>
    </w:p>
  </w:footnote>
  <w:footnote w:id="18">
    <w:p w:rsidR="00E27894" w:rsidRDefault="00E27894">
      <w:pPr>
        <w:pStyle w:val="a5"/>
      </w:pPr>
      <w:r>
        <w:rPr>
          <w:rStyle w:val="a7"/>
        </w:rPr>
        <w:footnoteRef/>
      </w:r>
      <w:r>
        <w:t xml:space="preserve"> 19</w:t>
      </w:r>
    </w:p>
  </w:footnote>
  <w:footnote w:id="19">
    <w:p w:rsidR="00E27894" w:rsidRDefault="00E27894">
      <w:pPr>
        <w:pStyle w:val="a5"/>
      </w:pPr>
      <w:r>
        <w:rPr>
          <w:rStyle w:val="a7"/>
        </w:rPr>
        <w:footnoteRef/>
      </w:r>
      <w:r>
        <w:t xml:space="preserve"> 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80175"/>
      <w:docPartObj>
        <w:docPartGallery w:val="Page Numbers (Top of Page)"/>
        <w:docPartUnique/>
      </w:docPartObj>
    </w:sdtPr>
    <w:sdtEndPr/>
    <w:sdtContent>
      <w:p w:rsidR="00E27894" w:rsidRDefault="008304BC">
        <w:pPr>
          <w:pStyle w:val="ab"/>
          <w:jc w:val="right"/>
        </w:pPr>
        <w:r>
          <w:fldChar w:fldCharType="begin"/>
        </w:r>
        <w:r>
          <w:instrText xml:space="preserve"> PAGE   \* MERGEFORMAT </w:instrText>
        </w:r>
        <w:r>
          <w:fldChar w:fldCharType="separate"/>
        </w:r>
        <w:r w:rsidR="0068376A">
          <w:rPr>
            <w:noProof/>
          </w:rPr>
          <w:t>73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15A12"/>
    <w:multiLevelType w:val="hybridMultilevel"/>
    <w:tmpl w:val="790C269A"/>
    <w:lvl w:ilvl="0" w:tplc="36F00E42">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B4680D"/>
    <w:multiLevelType w:val="hybridMultilevel"/>
    <w:tmpl w:val="09C657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B07F8D"/>
    <w:multiLevelType w:val="hybridMultilevel"/>
    <w:tmpl w:val="3DFE8F1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4B06E8"/>
    <w:multiLevelType w:val="multilevel"/>
    <w:tmpl w:val="4A645442"/>
    <w:lvl w:ilvl="0">
      <w:start w:val="1"/>
      <w:numFmt w:val="decimal"/>
      <w:lvlText w:val="%1."/>
      <w:lvlJc w:val="left"/>
      <w:pPr>
        <w:tabs>
          <w:tab w:val="num" w:pos="720"/>
        </w:tabs>
        <w:ind w:left="720" w:hanging="360"/>
      </w:pPr>
      <w:rPr>
        <w:rFonts w:cs="Times New Roman"/>
      </w:rPr>
    </w:lvl>
    <w:lvl w:ilvl="1">
      <w:numFmt w:val="bullet"/>
      <w:lvlText w:val=""/>
      <w:lvlJc w:val="left"/>
      <w:pPr>
        <w:ind w:left="2190" w:hanging="111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63D1B2C"/>
    <w:multiLevelType w:val="hybridMultilevel"/>
    <w:tmpl w:val="65C0F9B4"/>
    <w:lvl w:ilvl="0" w:tplc="9A02CAEC">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06173A"/>
    <w:multiLevelType w:val="multilevel"/>
    <w:tmpl w:val="39804BDA"/>
    <w:lvl w:ilvl="0">
      <w:start w:val="1"/>
      <w:numFmt w:val="decimal"/>
      <w:lvlText w:val="%1."/>
      <w:lvlJc w:val="left"/>
      <w:pPr>
        <w:ind w:left="360" w:hanging="360"/>
      </w:pPr>
      <w:rPr>
        <w:rFonts w:cs="Times New Roman"/>
      </w:rPr>
    </w:lvl>
    <w:lvl w:ilvl="1">
      <w:start w:val="2"/>
      <w:numFmt w:val="decimal"/>
      <w:isLgl/>
      <w:lvlText w:val="%1.%2."/>
      <w:lvlJc w:val="left"/>
      <w:pPr>
        <w:ind w:left="720" w:hanging="72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1080" w:hanging="108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440" w:hanging="1440"/>
      </w:pPr>
      <w:rPr>
        <w:rFonts w:cs="Times New Roman"/>
      </w:rPr>
    </w:lvl>
    <w:lvl w:ilvl="6">
      <w:start w:val="1"/>
      <w:numFmt w:val="decimal"/>
      <w:isLgl/>
      <w:lvlText w:val="%1.%2.%3.%4.%5.%6.%7."/>
      <w:lvlJc w:val="left"/>
      <w:pPr>
        <w:ind w:left="1800" w:hanging="1800"/>
      </w:pPr>
      <w:rPr>
        <w:rFonts w:cs="Times New Roman"/>
      </w:rPr>
    </w:lvl>
    <w:lvl w:ilvl="7">
      <w:start w:val="1"/>
      <w:numFmt w:val="decimal"/>
      <w:isLgl/>
      <w:lvlText w:val="%1.%2.%3.%4.%5.%6.%7.%8."/>
      <w:lvlJc w:val="left"/>
      <w:pPr>
        <w:ind w:left="1800" w:hanging="1800"/>
      </w:pPr>
      <w:rPr>
        <w:rFonts w:cs="Times New Roman"/>
      </w:rPr>
    </w:lvl>
    <w:lvl w:ilvl="8">
      <w:start w:val="1"/>
      <w:numFmt w:val="decimal"/>
      <w:isLgl/>
      <w:lvlText w:val="%1.%2.%3.%4.%5.%6.%7.%8.%9."/>
      <w:lvlJc w:val="left"/>
      <w:pPr>
        <w:ind w:left="2160" w:hanging="2160"/>
      </w:pPr>
      <w:rPr>
        <w:rFonts w:cs="Times New Roman"/>
      </w:rPr>
    </w:lvl>
  </w:abstractNum>
  <w:abstractNum w:abstractNumId="6">
    <w:nsid w:val="2D431169"/>
    <w:multiLevelType w:val="hybridMultilevel"/>
    <w:tmpl w:val="48DA2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30067A"/>
    <w:multiLevelType w:val="hybridMultilevel"/>
    <w:tmpl w:val="A76C533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nsid w:val="3BA9746A"/>
    <w:multiLevelType w:val="multilevel"/>
    <w:tmpl w:val="B1F231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4B772BE"/>
    <w:multiLevelType w:val="hybridMultilevel"/>
    <w:tmpl w:val="4A5E7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CD290A"/>
    <w:multiLevelType w:val="hybridMultilevel"/>
    <w:tmpl w:val="4C0A88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964407B"/>
    <w:multiLevelType w:val="multilevel"/>
    <w:tmpl w:val="D81E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156179E"/>
    <w:multiLevelType w:val="hybridMultilevel"/>
    <w:tmpl w:val="F520920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18E02AB"/>
    <w:multiLevelType w:val="multilevel"/>
    <w:tmpl w:val="247ADC2C"/>
    <w:lvl w:ilvl="0">
      <w:start w:val="1"/>
      <w:numFmt w:val="decimal"/>
      <w:lvlText w:val="%1."/>
      <w:lvlJc w:val="left"/>
      <w:pPr>
        <w:tabs>
          <w:tab w:val="num" w:pos="1429"/>
        </w:tabs>
        <w:ind w:left="1429" w:hanging="360"/>
      </w:pPr>
      <w:rPr>
        <w:rFonts w:cs="Times New Roman"/>
      </w:rPr>
    </w:lvl>
    <w:lvl w:ilvl="1">
      <w:start w:val="2"/>
      <w:numFmt w:val="decimal"/>
      <w:isLgl/>
      <w:lvlText w:val="%1.%2."/>
      <w:lvlJc w:val="left"/>
      <w:pPr>
        <w:ind w:left="1789" w:hanging="720"/>
      </w:pPr>
      <w:rPr>
        <w:rFonts w:cs="Times New Roman"/>
      </w:rPr>
    </w:lvl>
    <w:lvl w:ilvl="2">
      <w:start w:val="1"/>
      <w:numFmt w:val="decimal"/>
      <w:isLgl/>
      <w:lvlText w:val="%1.%2.%3."/>
      <w:lvlJc w:val="left"/>
      <w:pPr>
        <w:ind w:left="1789" w:hanging="720"/>
      </w:pPr>
      <w:rPr>
        <w:rFonts w:cs="Times New Roman"/>
      </w:rPr>
    </w:lvl>
    <w:lvl w:ilvl="3">
      <w:start w:val="1"/>
      <w:numFmt w:val="decimal"/>
      <w:isLgl/>
      <w:lvlText w:val="%1.%2.%3.%4."/>
      <w:lvlJc w:val="left"/>
      <w:pPr>
        <w:ind w:left="2149" w:hanging="1080"/>
      </w:pPr>
      <w:rPr>
        <w:rFonts w:cs="Times New Roman"/>
      </w:rPr>
    </w:lvl>
    <w:lvl w:ilvl="4">
      <w:start w:val="1"/>
      <w:numFmt w:val="decimal"/>
      <w:isLgl/>
      <w:lvlText w:val="%1.%2.%3.%4.%5."/>
      <w:lvlJc w:val="left"/>
      <w:pPr>
        <w:ind w:left="2149" w:hanging="1080"/>
      </w:pPr>
      <w:rPr>
        <w:rFonts w:cs="Times New Roman"/>
      </w:rPr>
    </w:lvl>
    <w:lvl w:ilvl="5">
      <w:start w:val="1"/>
      <w:numFmt w:val="decimal"/>
      <w:isLgl/>
      <w:lvlText w:val="%1.%2.%3.%4.%5.%6."/>
      <w:lvlJc w:val="left"/>
      <w:pPr>
        <w:ind w:left="2509" w:hanging="1440"/>
      </w:pPr>
      <w:rPr>
        <w:rFonts w:cs="Times New Roman"/>
      </w:rPr>
    </w:lvl>
    <w:lvl w:ilvl="6">
      <w:start w:val="1"/>
      <w:numFmt w:val="decimal"/>
      <w:isLgl/>
      <w:lvlText w:val="%1.%2.%3.%4.%5.%6.%7."/>
      <w:lvlJc w:val="left"/>
      <w:pPr>
        <w:ind w:left="2869" w:hanging="1800"/>
      </w:pPr>
      <w:rPr>
        <w:rFonts w:cs="Times New Roman"/>
      </w:rPr>
    </w:lvl>
    <w:lvl w:ilvl="7">
      <w:start w:val="1"/>
      <w:numFmt w:val="decimal"/>
      <w:isLgl/>
      <w:lvlText w:val="%1.%2.%3.%4.%5.%6.%7.%8."/>
      <w:lvlJc w:val="left"/>
      <w:pPr>
        <w:ind w:left="2869" w:hanging="1800"/>
      </w:pPr>
      <w:rPr>
        <w:rFonts w:cs="Times New Roman"/>
      </w:rPr>
    </w:lvl>
    <w:lvl w:ilvl="8">
      <w:start w:val="1"/>
      <w:numFmt w:val="decimal"/>
      <w:isLgl/>
      <w:lvlText w:val="%1.%2.%3.%4.%5.%6.%7.%8.%9."/>
      <w:lvlJc w:val="left"/>
      <w:pPr>
        <w:ind w:left="3229" w:hanging="2160"/>
      </w:pPr>
      <w:rPr>
        <w:rFonts w:cs="Times New Roman"/>
      </w:rPr>
    </w:lvl>
  </w:abstractNum>
  <w:abstractNum w:abstractNumId="14">
    <w:nsid w:val="538F6534"/>
    <w:multiLevelType w:val="hybridMultilevel"/>
    <w:tmpl w:val="78BEB06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754035E"/>
    <w:multiLevelType w:val="hybridMultilevel"/>
    <w:tmpl w:val="D79050B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928124E"/>
    <w:multiLevelType w:val="hybridMultilevel"/>
    <w:tmpl w:val="E44E4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C9283A"/>
    <w:multiLevelType w:val="multilevel"/>
    <w:tmpl w:val="D1C4EF2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
  </w:num>
  <w:num w:numId="3">
    <w:abstractNumId w:val="7"/>
  </w:num>
  <w:num w:numId="4">
    <w:abstractNumId w:val="6"/>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16"/>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D7"/>
    <w:rsid w:val="00007889"/>
    <w:rsid w:val="00011BC5"/>
    <w:rsid w:val="000223A3"/>
    <w:rsid w:val="00035D86"/>
    <w:rsid w:val="00036DED"/>
    <w:rsid w:val="00056C38"/>
    <w:rsid w:val="00057BB9"/>
    <w:rsid w:val="00065EF8"/>
    <w:rsid w:val="00070C64"/>
    <w:rsid w:val="00074149"/>
    <w:rsid w:val="00077A7E"/>
    <w:rsid w:val="00084EB3"/>
    <w:rsid w:val="00085FF5"/>
    <w:rsid w:val="00093FEA"/>
    <w:rsid w:val="000A2B11"/>
    <w:rsid w:val="000B43D3"/>
    <w:rsid w:val="000C6C85"/>
    <w:rsid w:val="000D0733"/>
    <w:rsid w:val="000D0E44"/>
    <w:rsid w:val="000D7721"/>
    <w:rsid w:val="00117314"/>
    <w:rsid w:val="00160327"/>
    <w:rsid w:val="00165544"/>
    <w:rsid w:val="001820C7"/>
    <w:rsid w:val="00186A13"/>
    <w:rsid w:val="00190962"/>
    <w:rsid w:val="001A7068"/>
    <w:rsid w:val="001B129F"/>
    <w:rsid w:val="001B1557"/>
    <w:rsid w:val="001D5864"/>
    <w:rsid w:val="002124A7"/>
    <w:rsid w:val="00213E51"/>
    <w:rsid w:val="00223CC7"/>
    <w:rsid w:val="00226C45"/>
    <w:rsid w:val="00241BC3"/>
    <w:rsid w:val="0025589A"/>
    <w:rsid w:val="00284D30"/>
    <w:rsid w:val="00290441"/>
    <w:rsid w:val="00297971"/>
    <w:rsid w:val="002A4C4A"/>
    <w:rsid w:val="002C09CA"/>
    <w:rsid w:val="002D5126"/>
    <w:rsid w:val="002D5FE3"/>
    <w:rsid w:val="002D718F"/>
    <w:rsid w:val="002E4969"/>
    <w:rsid w:val="002E77CD"/>
    <w:rsid w:val="0031079A"/>
    <w:rsid w:val="00310E96"/>
    <w:rsid w:val="00357B4E"/>
    <w:rsid w:val="00364C01"/>
    <w:rsid w:val="00365F7D"/>
    <w:rsid w:val="003725DB"/>
    <w:rsid w:val="00372F0E"/>
    <w:rsid w:val="003836D4"/>
    <w:rsid w:val="003A316C"/>
    <w:rsid w:val="003A3FB0"/>
    <w:rsid w:val="003B1CFB"/>
    <w:rsid w:val="003C4A17"/>
    <w:rsid w:val="003D5D3F"/>
    <w:rsid w:val="003D7482"/>
    <w:rsid w:val="003F13BD"/>
    <w:rsid w:val="00402BDA"/>
    <w:rsid w:val="00414828"/>
    <w:rsid w:val="00443813"/>
    <w:rsid w:val="00444C4C"/>
    <w:rsid w:val="00452CBA"/>
    <w:rsid w:val="00471F39"/>
    <w:rsid w:val="004732E5"/>
    <w:rsid w:val="0048472B"/>
    <w:rsid w:val="00485543"/>
    <w:rsid w:val="004A7058"/>
    <w:rsid w:val="004A7627"/>
    <w:rsid w:val="004B62FC"/>
    <w:rsid w:val="004D15DC"/>
    <w:rsid w:val="004D5692"/>
    <w:rsid w:val="00503A12"/>
    <w:rsid w:val="0050409D"/>
    <w:rsid w:val="00507FA2"/>
    <w:rsid w:val="005203B8"/>
    <w:rsid w:val="00523FC7"/>
    <w:rsid w:val="00525621"/>
    <w:rsid w:val="005274D6"/>
    <w:rsid w:val="00534472"/>
    <w:rsid w:val="00542029"/>
    <w:rsid w:val="00545F04"/>
    <w:rsid w:val="00556B3A"/>
    <w:rsid w:val="00560D23"/>
    <w:rsid w:val="005812E6"/>
    <w:rsid w:val="00587D55"/>
    <w:rsid w:val="005B0A84"/>
    <w:rsid w:val="005B2444"/>
    <w:rsid w:val="005C50F6"/>
    <w:rsid w:val="005C7834"/>
    <w:rsid w:val="005E3A5B"/>
    <w:rsid w:val="005E67AE"/>
    <w:rsid w:val="005F012D"/>
    <w:rsid w:val="005F6F8A"/>
    <w:rsid w:val="00611C29"/>
    <w:rsid w:val="00614919"/>
    <w:rsid w:val="00624A90"/>
    <w:rsid w:val="00652B65"/>
    <w:rsid w:val="00664D17"/>
    <w:rsid w:val="00667176"/>
    <w:rsid w:val="00680D0C"/>
    <w:rsid w:val="0068376A"/>
    <w:rsid w:val="006A63A1"/>
    <w:rsid w:val="006B2882"/>
    <w:rsid w:val="006C527E"/>
    <w:rsid w:val="006F3189"/>
    <w:rsid w:val="007017DB"/>
    <w:rsid w:val="007022A8"/>
    <w:rsid w:val="00703A71"/>
    <w:rsid w:val="007056CC"/>
    <w:rsid w:val="00711F02"/>
    <w:rsid w:val="00730C7B"/>
    <w:rsid w:val="007325E8"/>
    <w:rsid w:val="0073309A"/>
    <w:rsid w:val="0074576C"/>
    <w:rsid w:val="007566AE"/>
    <w:rsid w:val="00761565"/>
    <w:rsid w:val="00766B20"/>
    <w:rsid w:val="00770C2B"/>
    <w:rsid w:val="00771347"/>
    <w:rsid w:val="007A2EC3"/>
    <w:rsid w:val="007B1B81"/>
    <w:rsid w:val="007B78C0"/>
    <w:rsid w:val="007D06F0"/>
    <w:rsid w:val="007D0DAF"/>
    <w:rsid w:val="007E58C1"/>
    <w:rsid w:val="007F0C06"/>
    <w:rsid w:val="007F5FB7"/>
    <w:rsid w:val="008052CB"/>
    <w:rsid w:val="008125D4"/>
    <w:rsid w:val="008304BC"/>
    <w:rsid w:val="008329E3"/>
    <w:rsid w:val="008337AB"/>
    <w:rsid w:val="00841F36"/>
    <w:rsid w:val="00856418"/>
    <w:rsid w:val="008573B0"/>
    <w:rsid w:val="00864071"/>
    <w:rsid w:val="00867369"/>
    <w:rsid w:val="00870EFB"/>
    <w:rsid w:val="008768D4"/>
    <w:rsid w:val="00877543"/>
    <w:rsid w:val="00890902"/>
    <w:rsid w:val="008A09BB"/>
    <w:rsid w:val="008A3BD1"/>
    <w:rsid w:val="008A4D6A"/>
    <w:rsid w:val="008B2ABD"/>
    <w:rsid w:val="008B745B"/>
    <w:rsid w:val="008C14AF"/>
    <w:rsid w:val="008D1F3F"/>
    <w:rsid w:val="008D63A1"/>
    <w:rsid w:val="008E4DBF"/>
    <w:rsid w:val="008F38D1"/>
    <w:rsid w:val="008F6FC4"/>
    <w:rsid w:val="008F7339"/>
    <w:rsid w:val="008F73E3"/>
    <w:rsid w:val="00902ED5"/>
    <w:rsid w:val="0092600B"/>
    <w:rsid w:val="009266DA"/>
    <w:rsid w:val="00927CAF"/>
    <w:rsid w:val="0093457A"/>
    <w:rsid w:val="00935A40"/>
    <w:rsid w:val="00942A92"/>
    <w:rsid w:val="00946F22"/>
    <w:rsid w:val="0094737F"/>
    <w:rsid w:val="00967B9F"/>
    <w:rsid w:val="009906FE"/>
    <w:rsid w:val="00997102"/>
    <w:rsid w:val="00997D96"/>
    <w:rsid w:val="009C4234"/>
    <w:rsid w:val="009C7CF1"/>
    <w:rsid w:val="009C7E3D"/>
    <w:rsid w:val="009D39E6"/>
    <w:rsid w:val="009D6F5E"/>
    <w:rsid w:val="009E0DCE"/>
    <w:rsid w:val="009E0EE3"/>
    <w:rsid w:val="009E478C"/>
    <w:rsid w:val="009F3C92"/>
    <w:rsid w:val="00A03FC8"/>
    <w:rsid w:val="00A14E09"/>
    <w:rsid w:val="00A15EAD"/>
    <w:rsid w:val="00A16855"/>
    <w:rsid w:val="00A17123"/>
    <w:rsid w:val="00A21350"/>
    <w:rsid w:val="00A248B5"/>
    <w:rsid w:val="00A437A2"/>
    <w:rsid w:val="00A45AB6"/>
    <w:rsid w:val="00A45D4F"/>
    <w:rsid w:val="00A478DC"/>
    <w:rsid w:val="00A70F82"/>
    <w:rsid w:val="00A72B49"/>
    <w:rsid w:val="00AB28CB"/>
    <w:rsid w:val="00AB42EC"/>
    <w:rsid w:val="00AC487D"/>
    <w:rsid w:val="00AD3E6A"/>
    <w:rsid w:val="00AD4B53"/>
    <w:rsid w:val="00AD699E"/>
    <w:rsid w:val="00AD75C1"/>
    <w:rsid w:val="00AE4E59"/>
    <w:rsid w:val="00B04A9E"/>
    <w:rsid w:val="00B04AC3"/>
    <w:rsid w:val="00B21F3E"/>
    <w:rsid w:val="00B352AA"/>
    <w:rsid w:val="00B35EFE"/>
    <w:rsid w:val="00B464B3"/>
    <w:rsid w:val="00B52376"/>
    <w:rsid w:val="00B5519F"/>
    <w:rsid w:val="00B708BE"/>
    <w:rsid w:val="00B7430F"/>
    <w:rsid w:val="00B92634"/>
    <w:rsid w:val="00BA0971"/>
    <w:rsid w:val="00BA6166"/>
    <w:rsid w:val="00BB11E7"/>
    <w:rsid w:val="00BB3EBC"/>
    <w:rsid w:val="00BC04BB"/>
    <w:rsid w:val="00BF3751"/>
    <w:rsid w:val="00BF4AD1"/>
    <w:rsid w:val="00BF60C5"/>
    <w:rsid w:val="00C134EE"/>
    <w:rsid w:val="00C21271"/>
    <w:rsid w:val="00C63F15"/>
    <w:rsid w:val="00C655E9"/>
    <w:rsid w:val="00C831D7"/>
    <w:rsid w:val="00C87463"/>
    <w:rsid w:val="00C87861"/>
    <w:rsid w:val="00CB54DC"/>
    <w:rsid w:val="00CC16D3"/>
    <w:rsid w:val="00CC70B7"/>
    <w:rsid w:val="00CD0268"/>
    <w:rsid w:val="00CD38CC"/>
    <w:rsid w:val="00CD72AE"/>
    <w:rsid w:val="00CE10B8"/>
    <w:rsid w:val="00CE1D95"/>
    <w:rsid w:val="00CE55E1"/>
    <w:rsid w:val="00CF3790"/>
    <w:rsid w:val="00D030AE"/>
    <w:rsid w:val="00D12A64"/>
    <w:rsid w:val="00D31F30"/>
    <w:rsid w:val="00D3241D"/>
    <w:rsid w:val="00D340D3"/>
    <w:rsid w:val="00D359ED"/>
    <w:rsid w:val="00D37B4A"/>
    <w:rsid w:val="00D42E0E"/>
    <w:rsid w:val="00D63195"/>
    <w:rsid w:val="00D64823"/>
    <w:rsid w:val="00D7582A"/>
    <w:rsid w:val="00D762BD"/>
    <w:rsid w:val="00D80768"/>
    <w:rsid w:val="00D9422C"/>
    <w:rsid w:val="00DA5DA2"/>
    <w:rsid w:val="00DA7164"/>
    <w:rsid w:val="00DB1CF2"/>
    <w:rsid w:val="00DB3D1D"/>
    <w:rsid w:val="00DC1920"/>
    <w:rsid w:val="00DC544A"/>
    <w:rsid w:val="00DD0FB0"/>
    <w:rsid w:val="00DD5036"/>
    <w:rsid w:val="00DE061A"/>
    <w:rsid w:val="00DE3170"/>
    <w:rsid w:val="00E04C3C"/>
    <w:rsid w:val="00E074E6"/>
    <w:rsid w:val="00E10051"/>
    <w:rsid w:val="00E153A3"/>
    <w:rsid w:val="00E257DF"/>
    <w:rsid w:val="00E27894"/>
    <w:rsid w:val="00E3730B"/>
    <w:rsid w:val="00E42F58"/>
    <w:rsid w:val="00E571D5"/>
    <w:rsid w:val="00E66102"/>
    <w:rsid w:val="00E66B10"/>
    <w:rsid w:val="00E8314D"/>
    <w:rsid w:val="00E8379B"/>
    <w:rsid w:val="00EA025F"/>
    <w:rsid w:val="00EA07E8"/>
    <w:rsid w:val="00EB130C"/>
    <w:rsid w:val="00EC088B"/>
    <w:rsid w:val="00EC1DC1"/>
    <w:rsid w:val="00EC5FB1"/>
    <w:rsid w:val="00EC6FDC"/>
    <w:rsid w:val="00ED2F99"/>
    <w:rsid w:val="00ED387A"/>
    <w:rsid w:val="00EF4B2B"/>
    <w:rsid w:val="00F03D49"/>
    <w:rsid w:val="00F10112"/>
    <w:rsid w:val="00F22C1C"/>
    <w:rsid w:val="00F23176"/>
    <w:rsid w:val="00F23BC8"/>
    <w:rsid w:val="00F2436A"/>
    <w:rsid w:val="00F53BB0"/>
    <w:rsid w:val="00F57601"/>
    <w:rsid w:val="00F614CA"/>
    <w:rsid w:val="00F61BD9"/>
    <w:rsid w:val="00F67B26"/>
    <w:rsid w:val="00F74FE8"/>
    <w:rsid w:val="00F84D63"/>
    <w:rsid w:val="00F95E13"/>
    <w:rsid w:val="00F96A05"/>
    <w:rsid w:val="00FA0CB8"/>
    <w:rsid w:val="00FA3ABA"/>
    <w:rsid w:val="00FA4FF1"/>
    <w:rsid w:val="00FA5BF6"/>
    <w:rsid w:val="00FA7271"/>
    <w:rsid w:val="00FA73E9"/>
    <w:rsid w:val="00FB3243"/>
    <w:rsid w:val="00FC2D4A"/>
    <w:rsid w:val="00FD0A40"/>
    <w:rsid w:val="00FD0CEB"/>
    <w:rsid w:val="00FD195D"/>
    <w:rsid w:val="00FE1494"/>
    <w:rsid w:val="00FF7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44A"/>
    <w:pPr>
      <w:spacing w:after="200" w:line="276" w:lineRule="auto"/>
    </w:pPr>
    <w:rPr>
      <w:sz w:val="22"/>
      <w:szCs w:val="22"/>
      <w:lang w:eastAsia="en-US"/>
    </w:rPr>
  </w:style>
  <w:style w:type="paragraph" w:styleId="1">
    <w:name w:val="heading 1"/>
    <w:aliases w:val="Заголовок  глава"/>
    <w:basedOn w:val="a"/>
    <w:next w:val="a"/>
    <w:link w:val="10"/>
    <w:uiPriority w:val="9"/>
    <w:qFormat/>
    <w:rsid w:val="003A316C"/>
    <w:pPr>
      <w:keepNext/>
      <w:spacing w:before="240" w:after="60"/>
      <w:jc w:val="center"/>
      <w:outlineLvl w:val="0"/>
    </w:pPr>
    <w:rPr>
      <w:rFonts w:ascii="Times New Roman" w:hAnsi="Times New Roman"/>
      <w:b/>
      <w:bCs/>
      <w:caps/>
      <w:kern w:val="32"/>
      <w:sz w:val="28"/>
      <w:szCs w:val="32"/>
    </w:rPr>
  </w:style>
  <w:style w:type="paragraph" w:styleId="2">
    <w:name w:val="heading 2"/>
    <w:basedOn w:val="a"/>
    <w:next w:val="a"/>
    <w:link w:val="20"/>
    <w:uiPriority w:val="9"/>
    <w:semiHidden/>
    <w:unhideWhenUsed/>
    <w:qFormat/>
    <w:rsid w:val="00A168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B3D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глава Знак"/>
    <w:basedOn w:val="a0"/>
    <w:link w:val="1"/>
    <w:uiPriority w:val="9"/>
    <w:locked/>
    <w:rsid w:val="003A316C"/>
    <w:rPr>
      <w:rFonts w:ascii="Times New Roman" w:hAnsi="Times New Roman"/>
      <w:b/>
      <w:bCs/>
      <w:caps/>
      <w:kern w:val="32"/>
      <w:sz w:val="28"/>
      <w:szCs w:val="32"/>
      <w:lang w:eastAsia="en-US"/>
    </w:rPr>
  </w:style>
  <w:style w:type="paragraph" w:styleId="a3">
    <w:name w:val="No Spacing"/>
    <w:uiPriority w:val="1"/>
    <w:qFormat/>
    <w:rsid w:val="00C831D7"/>
    <w:rPr>
      <w:sz w:val="22"/>
      <w:szCs w:val="22"/>
      <w:lang w:eastAsia="en-US"/>
    </w:rPr>
  </w:style>
  <w:style w:type="paragraph" w:styleId="a4">
    <w:name w:val="List Paragraph"/>
    <w:basedOn w:val="a"/>
    <w:uiPriority w:val="34"/>
    <w:qFormat/>
    <w:rsid w:val="00C831D7"/>
    <w:pPr>
      <w:ind w:left="720"/>
      <w:contextualSpacing/>
    </w:pPr>
  </w:style>
  <w:style w:type="paragraph" w:styleId="a5">
    <w:name w:val="footnote text"/>
    <w:basedOn w:val="a"/>
    <w:link w:val="a6"/>
    <w:uiPriority w:val="99"/>
    <w:semiHidden/>
    <w:unhideWhenUsed/>
    <w:rsid w:val="00C831D7"/>
    <w:pPr>
      <w:spacing w:after="0" w:line="240" w:lineRule="auto"/>
    </w:pPr>
    <w:rPr>
      <w:sz w:val="20"/>
      <w:szCs w:val="20"/>
    </w:rPr>
  </w:style>
  <w:style w:type="character" w:customStyle="1" w:styleId="a6">
    <w:name w:val="Текст сноски Знак"/>
    <w:basedOn w:val="a0"/>
    <w:link w:val="a5"/>
    <w:uiPriority w:val="99"/>
    <w:semiHidden/>
    <w:locked/>
    <w:rsid w:val="00C831D7"/>
    <w:rPr>
      <w:sz w:val="20"/>
    </w:rPr>
  </w:style>
  <w:style w:type="character" w:styleId="a7">
    <w:name w:val="footnote reference"/>
    <w:basedOn w:val="a0"/>
    <w:uiPriority w:val="99"/>
    <w:semiHidden/>
    <w:unhideWhenUsed/>
    <w:rsid w:val="00C831D7"/>
    <w:rPr>
      <w:vertAlign w:val="superscript"/>
    </w:rPr>
  </w:style>
  <w:style w:type="paragraph" w:styleId="a8">
    <w:name w:val="caption"/>
    <w:basedOn w:val="a"/>
    <w:next w:val="a"/>
    <w:uiPriority w:val="35"/>
    <w:qFormat/>
    <w:rsid w:val="00C831D7"/>
    <w:pPr>
      <w:spacing w:line="240" w:lineRule="auto"/>
    </w:pPr>
    <w:rPr>
      <w:b/>
      <w:bCs/>
      <w:color w:val="4F81BD"/>
      <w:sz w:val="18"/>
      <w:szCs w:val="18"/>
    </w:rPr>
  </w:style>
  <w:style w:type="paragraph" w:styleId="a9">
    <w:name w:val="Balloon Text"/>
    <w:basedOn w:val="a"/>
    <w:link w:val="aa"/>
    <w:uiPriority w:val="99"/>
    <w:semiHidden/>
    <w:unhideWhenUsed/>
    <w:rsid w:val="00DC544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DC544A"/>
    <w:rPr>
      <w:rFonts w:ascii="Tahoma" w:hAnsi="Tahoma"/>
      <w:sz w:val="16"/>
    </w:rPr>
  </w:style>
  <w:style w:type="paragraph" w:styleId="ab">
    <w:name w:val="header"/>
    <w:basedOn w:val="a"/>
    <w:link w:val="ac"/>
    <w:uiPriority w:val="99"/>
    <w:unhideWhenUsed/>
    <w:rsid w:val="00DC544A"/>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DC544A"/>
    <w:rPr>
      <w:rFonts w:cs="Times New Roman"/>
    </w:rPr>
  </w:style>
  <w:style w:type="paragraph" w:styleId="ad">
    <w:name w:val="footer"/>
    <w:basedOn w:val="a"/>
    <w:link w:val="ae"/>
    <w:uiPriority w:val="99"/>
    <w:unhideWhenUsed/>
    <w:rsid w:val="00DC544A"/>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C544A"/>
    <w:rPr>
      <w:rFonts w:cs="Times New Roman"/>
    </w:rPr>
  </w:style>
  <w:style w:type="character" w:styleId="af">
    <w:name w:val="Hyperlink"/>
    <w:basedOn w:val="a0"/>
    <w:uiPriority w:val="99"/>
    <w:unhideWhenUsed/>
    <w:rsid w:val="00F84D63"/>
    <w:rPr>
      <w:color w:val="0000FF"/>
      <w:u w:val="single"/>
    </w:rPr>
  </w:style>
  <w:style w:type="character" w:styleId="af0">
    <w:name w:val="FollowedHyperlink"/>
    <w:basedOn w:val="a0"/>
    <w:uiPriority w:val="99"/>
    <w:semiHidden/>
    <w:unhideWhenUsed/>
    <w:rsid w:val="00CD72AE"/>
    <w:rPr>
      <w:color w:val="800080"/>
      <w:u w:val="single"/>
    </w:rPr>
  </w:style>
  <w:style w:type="paragraph" w:styleId="af1">
    <w:name w:val="Normal (Web)"/>
    <w:basedOn w:val="a"/>
    <w:uiPriority w:val="99"/>
    <w:semiHidden/>
    <w:unhideWhenUsed/>
    <w:rsid w:val="00443813"/>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59"/>
    <w:rsid w:val="00934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0051"/>
    <w:rPr>
      <w:rFonts w:cs="Times New Roman"/>
    </w:rPr>
  </w:style>
  <w:style w:type="paragraph" w:customStyle="1" w:styleId="cont">
    <w:name w:val="cont"/>
    <w:basedOn w:val="a"/>
    <w:rsid w:val="00523FC7"/>
    <w:pPr>
      <w:spacing w:before="100" w:beforeAutospacing="1" w:after="100" w:afterAutospacing="1" w:line="240" w:lineRule="auto"/>
    </w:pPr>
    <w:rPr>
      <w:rFonts w:ascii="Times New Roman" w:hAnsi="Times New Roman"/>
      <w:sz w:val="24"/>
      <w:szCs w:val="24"/>
      <w:lang w:eastAsia="ru-RU"/>
    </w:rPr>
  </w:style>
  <w:style w:type="paragraph" w:styleId="11">
    <w:name w:val="toc 1"/>
    <w:basedOn w:val="a"/>
    <w:next w:val="a"/>
    <w:autoRedefine/>
    <w:uiPriority w:val="39"/>
    <w:unhideWhenUsed/>
    <w:qFormat/>
    <w:rsid w:val="000A2B11"/>
    <w:pPr>
      <w:spacing w:before="360" w:after="0"/>
    </w:pPr>
    <w:rPr>
      <w:rFonts w:ascii="Cambria" w:hAnsi="Cambria"/>
      <w:b/>
      <w:bCs/>
      <w:caps/>
      <w:sz w:val="24"/>
      <w:szCs w:val="24"/>
    </w:rPr>
  </w:style>
  <w:style w:type="paragraph" w:styleId="21">
    <w:name w:val="toc 2"/>
    <w:basedOn w:val="a"/>
    <w:next w:val="a"/>
    <w:autoRedefine/>
    <w:uiPriority w:val="39"/>
    <w:unhideWhenUsed/>
    <w:qFormat/>
    <w:rsid w:val="000A2B11"/>
    <w:pPr>
      <w:spacing w:before="240" w:after="0"/>
    </w:pPr>
    <w:rPr>
      <w:b/>
      <w:bCs/>
      <w:sz w:val="20"/>
      <w:szCs w:val="20"/>
    </w:rPr>
  </w:style>
  <w:style w:type="paragraph" w:styleId="31">
    <w:name w:val="toc 3"/>
    <w:basedOn w:val="a"/>
    <w:next w:val="a"/>
    <w:autoRedefine/>
    <w:uiPriority w:val="39"/>
    <w:unhideWhenUsed/>
    <w:qFormat/>
    <w:rsid w:val="000A2B11"/>
    <w:pPr>
      <w:spacing w:after="0"/>
      <w:ind w:left="220"/>
    </w:pPr>
    <w:rPr>
      <w:sz w:val="20"/>
      <w:szCs w:val="20"/>
    </w:rPr>
  </w:style>
  <w:style w:type="paragraph" w:styleId="4">
    <w:name w:val="toc 4"/>
    <w:basedOn w:val="a"/>
    <w:next w:val="a"/>
    <w:autoRedefine/>
    <w:uiPriority w:val="39"/>
    <w:unhideWhenUsed/>
    <w:rsid w:val="000A2B11"/>
    <w:pPr>
      <w:spacing w:after="0"/>
      <w:ind w:left="440"/>
    </w:pPr>
    <w:rPr>
      <w:sz w:val="20"/>
      <w:szCs w:val="20"/>
    </w:rPr>
  </w:style>
  <w:style w:type="paragraph" w:styleId="5">
    <w:name w:val="toc 5"/>
    <w:basedOn w:val="a"/>
    <w:next w:val="a"/>
    <w:autoRedefine/>
    <w:uiPriority w:val="39"/>
    <w:unhideWhenUsed/>
    <w:rsid w:val="000A2B11"/>
    <w:pPr>
      <w:spacing w:after="0"/>
      <w:ind w:left="660"/>
    </w:pPr>
    <w:rPr>
      <w:sz w:val="20"/>
      <w:szCs w:val="20"/>
    </w:rPr>
  </w:style>
  <w:style w:type="paragraph" w:styleId="6">
    <w:name w:val="toc 6"/>
    <w:basedOn w:val="a"/>
    <w:next w:val="a"/>
    <w:autoRedefine/>
    <w:uiPriority w:val="39"/>
    <w:unhideWhenUsed/>
    <w:rsid w:val="000A2B11"/>
    <w:pPr>
      <w:spacing w:after="0"/>
      <w:ind w:left="880"/>
    </w:pPr>
    <w:rPr>
      <w:sz w:val="20"/>
      <w:szCs w:val="20"/>
    </w:rPr>
  </w:style>
  <w:style w:type="paragraph" w:styleId="7">
    <w:name w:val="toc 7"/>
    <w:basedOn w:val="a"/>
    <w:next w:val="a"/>
    <w:autoRedefine/>
    <w:uiPriority w:val="39"/>
    <w:unhideWhenUsed/>
    <w:rsid w:val="000A2B11"/>
    <w:pPr>
      <w:spacing w:after="0"/>
      <w:ind w:left="1100"/>
    </w:pPr>
    <w:rPr>
      <w:sz w:val="20"/>
      <w:szCs w:val="20"/>
    </w:rPr>
  </w:style>
  <w:style w:type="paragraph" w:styleId="8">
    <w:name w:val="toc 8"/>
    <w:basedOn w:val="a"/>
    <w:next w:val="a"/>
    <w:autoRedefine/>
    <w:uiPriority w:val="39"/>
    <w:unhideWhenUsed/>
    <w:rsid w:val="000A2B11"/>
    <w:pPr>
      <w:spacing w:after="0"/>
      <w:ind w:left="1320"/>
    </w:pPr>
    <w:rPr>
      <w:sz w:val="20"/>
      <w:szCs w:val="20"/>
    </w:rPr>
  </w:style>
  <w:style w:type="paragraph" w:styleId="9">
    <w:name w:val="toc 9"/>
    <w:basedOn w:val="a"/>
    <w:next w:val="a"/>
    <w:autoRedefine/>
    <w:uiPriority w:val="39"/>
    <w:unhideWhenUsed/>
    <w:rsid w:val="000A2B11"/>
    <w:pPr>
      <w:spacing w:after="0"/>
      <w:ind w:left="1540"/>
    </w:pPr>
    <w:rPr>
      <w:sz w:val="20"/>
      <w:szCs w:val="20"/>
    </w:rPr>
  </w:style>
  <w:style w:type="character" w:styleId="af3">
    <w:name w:val="Placeholder Text"/>
    <w:basedOn w:val="a0"/>
    <w:uiPriority w:val="99"/>
    <w:semiHidden/>
    <w:rsid w:val="005E3A5B"/>
    <w:rPr>
      <w:rFonts w:cs="Times New Roman"/>
      <w:color w:val="808080"/>
    </w:rPr>
  </w:style>
  <w:style w:type="paragraph" w:styleId="af4">
    <w:name w:val="endnote text"/>
    <w:basedOn w:val="a"/>
    <w:link w:val="af5"/>
    <w:uiPriority w:val="99"/>
    <w:semiHidden/>
    <w:unhideWhenUsed/>
    <w:rsid w:val="00E66B10"/>
    <w:pPr>
      <w:spacing w:after="0" w:line="240" w:lineRule="auto"/>
    </w:pPr>
    <w:rPr>
      <w:sz w:val="20"/>
      <w:szCs w:val="20"/>
    </w:rPr>
  </w:style>
  <w:style w:type="character" w:customStyle="1" w:styleId="af5">
    <w:name w:val="Текст концевой сноски Знак"/>
    <w:basedOn w:val="a0"/>
    <w:link w:val="af4"/>
    <w:uiPriority w:val="99"/>
    <w:semiHidden/>
    <w:rsid w:val="00E66B10"/>
    <w:rPr>
      <w:lang w:eastAsia="en-US"/>
    </w:rPr>
  </w:style>
  <w:style w:type="character" w:styleId="af6">
    <w:name w:val="endnote reference"/>
    <w:basedOn w:val="a0"/>
    <w:uiPriority w:val="99"/>
    <w:semiHidden/>
    <w:unhideWhenUsed/>
    <w:rsid w:val="00E66B10"/>
    <w:rPr>
      <w:vertAlign w:val="superscript"/>
    </w:rPr>
  </w:style>
  <w:style w:type="character" w:customStyle="1" w:styleId="20">
    <w:name w:val="Заголовок 2 Знак"/>
    <w:basedOn w:val="a0"/>
    <w:link w:val="2"/>
    <w:uiPriority w:val="9"/>
    <w:semiHidden/>
    <w:rsid w:val="00A16855"/>
    <w:rPr>
      <w:rFonts w:asciiTheme="majorHAnsi" w:eastAsiaTheme="majorEastAsia" w:hAnsiTheme="majorHAnsi" w:cstheme="majorBidi"/>
      <w:b/>
      <w:bCs/>
      <w:color w:val="4F81BD" w:themeColor="accent1"/>
      <w:sz w:val="26"/>
      <w:szCs w:val="26"/>
      <w:lang w:eastAsia="en-US"/>
    </w:rPr>
  </w:style>
  <w:style w:type="character" w:styleId="af7">
    <w:name w:val="Emphasis"/>
    <w:basedOn w:val="a0"/>
    <w:uiPriority w:val="20"/>
    <w:qFormat/>
    <w:rsid w:val="00A16855"/>
    <w:rPr>
      <w:i/>
      <w:iCs/>
    </w:rPr>
  </w:style>
  <w:style w:type="paragraph" w:customStyle="1" w:styleId="farther">
    <w:name w:val="farther"/>
    <w:basedOn w:val="a"/>
    <w:rsid w:val="00864071"/>
    <w:pPr>
      <w:spacing w:before="100" w:beforeAutospacing="1" w:after="100" w:afterAutospacing="1" w:line="240" w:lineRule="auto"/>
    </w:pPr>
    <w:rPr>
      <w:rFonts w:ascii="Times New Roman" w:hAnsi="Times New Roman"/>
      <w:sz w:val="24"/>
      <w:szCs w:val="24"/>
      <w:lang w:eastAsia="ru-RU"/>
    </w:rPr>
  </w:style>
  <w:style w:type="character" w:styleId="af8">
    <w:name w:val="Strong"/>
    <w:basedOn w:val="a0"/>
    <w:uiPriority w:val="22"/>
    <w:qFormat/>
    <w:rsid w:val="00864071"/>
    <w:rPr>
      <w:b/>
      <w:bCs/>
    </w:rPr>
  </w:style>
  <w:style w:type="paragraph" w:styleId="af9">
    <w:name w:val="TOC Heading"/>
    <w:basedOn w:val="1"/>
    <w:next w:val="a"/>
    <w:uiPriority w:val="39"/>
    <w:semiHidden/>
    <w:unhideWhenUsed/>
    <w:qFormat/>
    <w:rsid w:val="00FD195D"/>
    <w:pPr>
      <w:keepLines/>
      <w:spacing w:before="480" w:after="0"/>
      <w:outlineLvl w:val="9"/>
    </w:pPr>
    <w:rPr>
      <w:rFonts w:asciiTheme="majorHAnsi" w:eastAsiaTheme="majorEastAsia" w:hAnsiTheme="majorHAnsi" w:cstheme="majorBidi"/>
      <w:color w:val="365F91" w:themeColor="accent1" w:themeShade="BF"/>
      <w:kern w:val="0"/>
      <w:szCs w:val="28"/>
    </w:rPr>
  </w:style>
  <w:style w:type="character" w:customStyle="1" w:styleId="30">
    <w:name w:val="Заголовок 3 Знак"/>
    <w:basedOn w:val="a0"/>
    <w:link w:val="3"/>
    <w:uiPriority w:val="9"/>
    <w:semiHidden/>
    <w:rsid w:val="00DB3D1D"/>
    <w:rPr>
      <w:rFonts w:asciiTheme="majorHAnsi" w:eastAsiaTheme="majorEastAsia" w:hAnsiTheme="majorHAnsi" w:cstheme="majorBidi"/>
      <w:b/>
      <w:bCs/>
      <w:color w:val="4F81BD" w:themeColor="accent1"/>
      <w:sz w:val="22"/>
      <w:szCs w:val="22"/>
      <w:lang w:eastAsia="en-US"/>
    </w:rPr>
  </w:style>
  <w:style w:type="paragraph" w:customStyle="1" w:styleId="cutting">
    <w:name w:val="cutting"/>
    <w:basedOn w:val="a"/>
    <w:rsid w:val="00DB3D1D"/>
    <w:pPr>
      <w:spacing w:before="100" w:beforeAutospacing="1" w:after="100" w:afterAutospacing="1" w:line="240" w:lineRule="auto"/>
    </w:pPr>
    <w:rPr>
      <w:rFonts w:ascii="Times New Roman" w:hAnsi="Times New Roman"/>
      <w:sz w:val="24"/>
      <w:szCs w:val="24"/>
      <w:lang w:eastAsia="ru-RU"/>
    </w:rPr>
  </w:style>
  <w:style w:type="character" w:customStyle="1" w:styleId="cutline">
    <w:name w:val="cutline"/>
    <w:basedOn w:val="a0"/>
    <w:rsid w:val="00DB3D1D"/>
  </w:style>
  <w:style w:type="paragraph" w:customStyle="1" w:styleId="afa">
    <w:name w:val="Выделение раздела"/>
    <w:basedOn w:val="1"/>
    <w:link w:val="afb"/>
    <w:autoRedefine/>
    <w:qFormat/>
    <w:rsid w:val="003A316C"/>
    <w:pPr>
      <w:spacing w:before="120" w:after="120" w:line="360" w:lineRule="auto"/>
      <w:ind w:left="851"/>
      <w:jc w:val="left"/>
    </w:pPr>
    <w:rPr>
      <w:caps w:val="0"/>
    </w:rPr>
  </w:style>
  <w:style w:type="character" w:customStyle="1" w:styleId="afb">
    <w:name w:val="Выделение раздела Знак"/>
    <w:basedOn w:val="10"/>
    <w:link w:val="afa"/>
    <w:rsid w:val="003A316C"/>
    <w:rPr>
      <w:rFonts w:ascii="Times New Roman" w:hAnsi="Times New Roman"/>
      <w:b/>
      <w:bCs/>
      <w:caps/>
      <w:kern w:val="32"/>
      <w:sz w:val="28"/>
      <w:szCs w:val="32"/>
      <w:lang w:eastAsia="en-US"/>
    </w:rPr>
  </w:style>
  <w:style w:type="paragraph" w:customStyle="1" w:styleId="psection">
    <w:name w:val="psection"/>
    <w:basedOn w:val="a"/>
    <w:rsid w:val="009E478C"/>
    <w:pPr>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rsid w:val="0048472B"/>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44A"/>
    <w:pPr>
      <w:spacing w:after="200" w:line="276" w:lineRule="auto"/>
    </w:pPr>
    <w:rPr>
      <w:sz w:val="22"/>
      <w:szCs w:val="22"/>
      <w:lang w:eastAsia="en-US"/>
    </w:rPr>
  </w:style>
  <w:style w:type="paragraph" w:styleId="1">
    <w:name w:val="heading 1"/>
    <w:aliases w:val="Заголовок  глава"/>
    <w:basedOn w:val="a"/>
    <w:next w:val="a"/>
    <w:link w:val="10"/>
    <w:uiPriority w:val="9"/>
    <w:qFormat/>
    <w:rsid w:val="003A316C"/>
    <w:pPr>
      <w:keepNext/>
      <w:spacing w:before="240" w:after="60"/>
      <w:jc w:val="center"/>
      <w:outlineLvl w:val="0"/>
    </w:pPr>
    <w:rPr>
      <w:rFonts w:ascii="Times New Roman" w:hAnsi="Times New Roman"/>
      <w:b/>
      <w:bCs/>
      <w:caps/>
      <w:kern w:val="32"/>
      <w:sz w:val="28"/>
      <w:szCs w:val="32"/>
    </w:rPr>
  </w:style>
  <w:style w:type="paragraph" w:styleId="2">
    <w:name w:val="heading 2"/>
    <w:basedOn w:val="a"/>
    <w:next w:val="a"/>
    <w:link w:val="20"/>
    <w:uiPriority w:val="9"/>
    <w:semiHidden/>
    <w:unhideWhenUsed/>
    <w:qFormat/>
    <w:rsid w:val="00A168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B3D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глава Знак"/>
    <w:basedOn w:val="a0"/>
    <w:link w:val="1"/>
    <w:uiPriority w:val="9"/>
    <w:locked/>
    <w:rsid w:val="003A316C"/>
    <w:rPr>
      <w:rFonts w:ascii="Times New Roman" w:hAnsi="Times New Roman"/>
      <w:b/>
      <w:bCs/>
      <w:caps/>
      <w:kern w:val="32"/>
      <w:sz w:val="28"/>
      <w:szCs w:val="32"/>
      <w:lang w:eastAsia="en-US"/>
    </w:rPr>
  </w:style>
  <w:style w:type="paragraph" w:styleId="a3">
    <w:name w:val="No Spacing"/>
    <w:uiPriority w:val="1"/>
    <w:qFormat/>
    <w:rsid w:val="00C831D7"/>
    <w:rPr>
      <w:sz w:val="22"/>
      <w:szCs w:val="22"/>
      <w:lang w:eastAsia="en-US"/>
    </w:rPr>
  </w:style>
  <w:style w:type="paragraph" w:styleId="a4">
    <w:name w:val="List Paragraph"/>
    <w:basedOn w:val="a"/>
    <w:uiPriority w:val="34"/>
    <w:qFormat/>
    <w:rsid w:val="00C831D7"/>
    <w:pPr>
      <w:ind w:left="720"/>
      <w:contextualSpacing/>
    </w:pPr>
  </w:style>
  <w:style w:type="paragraph" w:styleId="a5">
    <w:name w:val="footnote text"/>
    <w:basedOn w:val="a"/>
    <w:link w:val="a6"/>
    <w:uiPriority w:val="99"/>
    <w:semiHidden/>
    <w:unhideWhenUsed/>
    <w:rsid w:val="00C831D7"/>
    <w:pPr>
      <w:spacing w:after="0" w:line="240" w:lineRule="auto"/>
    </w:pPr>
    <w:rPr>
      <w:sz w:val="20"/>
      <w:szCs w:val="20"/>
    </w:rPr>
  </w:style>
  <w:style w:type="character" w:customStyle="1" w:styleId="a6">
    <w:name w:val="Текст сноски Знак"/>
    <w:basedOn w:val="a0"/>
    <w:link w:val="a5"/>
    <w:uiPriority w:val="99"/>
    <w:semiHidden/>
    <w:locked/>
    <w:rsid w:val="00C831D7"/>
    <w:rPr>
      <w:sz w:val="20"/>
    </w:rPr>
  </w:style>
  <w:style w:type="character" w:styleId="a7">
    <w:name w:val="footnote reference"/>
    <w:basedOn w:val="a0"/>
    <w:uiPriority w:val="99"/>
    <w:semiHidden/>
    <w:unhideWhenUsed/>
    <w:rsid w:val="00C831D7"/>
    <w:rPr>
      <w:vertAlign w:val="superscript"/>
    </w:rPr>
  </w:style>
  <w:style w:type="paragraph" w:styleId="a8">
    <w:name w:val="caption"/>
    <w:basedOn w:val="a"/>
    <w:next w:val="a"/>
    <w:uiPriority w:val="35"/>
    <w:qFormat/>
    <w:rsid w:val="00C831D7"/>
    <w:pPr>
      <w:spacing w:line="240" w:lineRule="auto"/>
    </w:pPr>
    <w:rPr>
      <w:b/>
      <w:bCs/>
      <w:color w:val="4F81BD"/>
      <w:sz w:val="18"/>
      <w:szCs w:val="18"/>
    </w:rPr>
  </w:style>
  <w:style w:type="paragraph" w:styleId="a9">
    <w:name w:val="Balloon Text"/>
    <w:basedOn w:val="a"/>
    <w:link w:val="aa"/>
    <w:uiPriority w:val="99"/>
    <w:semiHidden/>
    <w:unhideWhenUsed/>
    <w:rsid w:val="00DC544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DC544A"/>
    <w:rPr>
      <w:rFonts w:ascii="Tahoma" w:hAnsi="Tahoma"/>
      <w:sz w:val="16"/>
    </w:rPr>
  </w:style>
  <w:style w:type="paragraph" w:styleId="ab">
    <w:name w:val="header"/>
    <w:basedOn w:val="a"/>
    <w:link w:val="ac"/>
    <w:uiPriority w:val="99"/>
    <w:unhideWhenUsed/>
    <w:rsid w:val="00DC544A"/>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DC544A"/>
    <w:rPr>
      <w:rFonts w:cs="Times New Roman"/>
    </w:rPr>
  </w:style>
  <w:style w:type="paragraph" w:styleId="ad">
    <w:name w:val="footer"/>
    <w:basedOn w:val="a"/>
    <w:link w:val="ae"/>
    <w:uiPriority w:val="99"/>
    <w:unhideWhenUsed/>
    <w:rsid w:val="00DC544A"/>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C544A"/>
    <w:rPr>
      <w:rFonts w:cs="Times New Roman"/>
    </w:rPr>
  </w:style>
  <w:style w:type="character" w:styleId="af">
    <w:name w:val="Hyperlink"/>
    <w:basedOn w:val="a0"/>
    <w:uiPriority w:val="99"/>
    <w:unhideWhenUsed/>
    <w:rsid w:val="00F84D63"/>
    <w:rPr>
      <w:color w:val="0000FF"/>
      <w:u w:val="single"/>
    </w:rPr>
  </w:style>
  <w:style w:type="character" w:styleId="af0">
    <w:name w:val="FollowedHyperlink"/>
    <w:basedOn w:val="a0"/>
    <w:uiPriority w:val="99"/>
    <w:semiHidden/>
    <w:unhideWhenUsed/>
    <w:rsid w:val="00CD72AE"/>
    <w:rPr>
      <w:color w:val="800080"/>
      <w:u w:val="single"/>
    </w:rPr>
  </w:style>
  <w:style w:type="paragraph" w:styleId="af1">
    <w:name w:val="Normal (Web)"/>
    <w:basedOn w:val="a"/>
    <w:uiPriority w:val="99"/>
    <w:semiHidden/>
    <w:unhideWhenUsed/>
    <w:rsid w:val="00443813"/>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59"/>
    <w:rsid w:val="00934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0051"/>
    <w:rPr>
      <w:rFonts w:cs="Times New Roman"/>
    </w:rPr>
  </w:style>
  <w:style w:type="paragraph" w:customStyle="1" w:styleId="cont">
    <w:name w:val="cont"/>
    <w:basedOn w:val="a"/>
    <w:rsid w:val="00523FC7"/>
    <w:pPr>
      <w:spacing w:before="100" w:beforeAutospacing="1" w:after="100" w:afterAutospacing="1" w:line="240" w:lineRule="auto"/>
    </w:pPr>
    <w:rPr>
      <w:rFonts w:ascii="Times New Roman" w:hAnsi="Times New Roman"/>
      <w:sz w:val="24"/>
      <w:szCs w:val="24"/>
      <w:lang w:eastAsia="ru-RU"/>
    </w:rPr>
  </w:style>
  <w:style w:type="paragraph" w:styleId="11">
    <w:name w:val="toc 1"/>
    <w:basedOn w:val="a"/>
    <w:next w:val="a"/>
    <w:autoRedefine/>
    <w:uiPriority w:val="39"/>
    <w:unhideWhenUsed/>
    <w:qFormat/>
    <w:rsid w:val="000A2B11"/>
    <w:pPr>
      <w:spacing w:before="360" w:after="0"/>
    </w:pPr>
    <w:rPr>
      <w:rFonts w:ascii="Cambria" w:hAnsi="Cambria"/>
      <w:b/>
      <w:bCs/>
      <w:caps/>
      <w:sz w:val="24"/>
      <w:szCs w:val="24"/>
    </w:rPr>
  </w:style>
  <w:style w:type="paragraph" w:styleId="21">
    <w:name w:val="toc 2"/>
    <w:basedOn w:val="a"/>
    <w:next w:val="a"/>
    <w:autoRedefine/>
    <w:uiPriority w:val="39"/>
    <w:unhideWhenUsed/>
    <w:qFormat/>
    <w:rsid w:val="000A2B11"/>
    <w:pPr>
      <w:spacing w:before="240" w:after="0"/>
    </w:pPr>
    <w:rPr>
      <w:b/>
      <w:bCs/>
      <w:sz w:val="20"/>
      <w:szCs w:val="20"/>
    </w:rPr>
  </w:style>
  <w:style w:type="paragraph" w:styleId="31">
    <w:name w:val="toc 3"/>
    <w:basedOn w:val="a"/>
    <w:next w:val="a"/>
    <w:autoRedefine/>
    <w:uiPriority w:val="39"/>
    <w:unhideWhenUsed/>
    <w:qFormat/>
    <w:rsid w:val="000A2B11"/>
    <w:pPr>
      <w:spacing w:after="0"/>
      <w:ind w:left="220"/>
    </w:pPr>
    <w:rPr>
      <w:sz w:val="20"/>
      <w:szCs w:val="20"/>
    </w:rPr>
  </w:style>
  <w:style w:type="paragraph" w:styleId="4">
    <w:name w:val="toc 4"/>
    <w:basedOn w:val="a"/>
    <w:next w:val="a"/>
    <w:autoRedefine/>
    <w:uiPriority w:val="39"/>
    <w:unhideWhenUsed/>
    <w:rsid w:val="000A2B11"/>
    <w:pPr>
      <w:spacing w:after="0"/>
      <w:ind w:left="440"/>
    </w:pPr>
    <w:rPr>
      <w:sz w:val="20"/>
      <w:szCs w:val="20"/>
    </w:rPr>
  </w:style>
  <w:style w:type="paragraph" w:styleId="5">
    <w:name w:val="toc 5"/>
    <w:basedOn w:val="a"/>
    <w:next w:val="a"/>
    <w:autoRedefine/>
    <w:uiPriority w:val="39"/>
    <w:unhideWhenUsed/>
    <w:rsid w:val="000A2B11"/>
    <w:pPr>
      <w:spacing w:after="0"/>
      <w:ind w:left="660"/>
    </w:pPr>
    <w:rPr>
      <w:sz w:val="20"/>
      <w:szCs w:val="20"/>
    </w:rPr>
  </w:style>
  <w:style w:type="paragraph" w:styleId="6">
    <w:name w:val="toc 6"/>
    <w:basedOn w:val="a"/>
    <w:next w:val="a"/>
    <w:autoRedefine/>
    <w:uiPriority w:val="39"/>
    <w:unhideWhenUsed/>
    <w:rsid w:val="000A2B11"/>
    <w:pPr>
      <w:spacing w:after="0"/>
      <w:ind w:left="880"/>
    </w:pPr>
    <w:rPr>
      <w:sz w:val="20"/>
      <w:szCs w:val="20"/>
    </w:rPr>
  </w:style>
  <w:style w:type="paragraph" w:styleId="7">
    <w:name w:val="toc 7"/>
    <w:basedOn w:val="a"/>
    <w:next w:val="a"/>
    <w:autoRedefine/>
    <w:uiPriority w:val="39"/>
    <w:unhideWhenUsed/>
    <w:rsid w:val="000A2B11"/>
    <w:pPr>
      <w:spacing w:after="0"/>
      <w:ind w:left="1100"/>
    </w:pPr>
    <w:rPr>
      <w:sz w:val="20"/>
      <w:szCs w:val="20"/>
    </w:rPr>
  </w:style>
  <w:style w:type="paragraph" w:styleId="8">
    <w:name w:val="toc 8"/>
    <w:basedOn w:val="a"/>
    <w:next w:val="a"/>
    <w:autoRedefine/>
    <w:uiPriority w:val="39"/>
    <w:unhideWhenUsed/>
    <w:rsid w:val="000A2B11"/>
    <w:pPr>
      <w:spacing w:after="0"/>
      <w:ind w:left="1320"/>
    </w:pPr>
    <w:rPr>
      <w:sz w:val="20"/>
      <w:szCs w:val="20"/>
    </w:rPr>
  </w:style>
  <w:style w:type="paragraph" w:styleId="9">
    <w:name w:val="toc 9"/>
    <w:basedOn w:val="a"/>
    <w:next w:val="a"/>
    <w:autoRedefine/>
    <w:uiPriority w:val="39"/>
    <w:unhideWhenUsed/>
    <w:rsid w:val="000A2B11"/>
    <w:pPr>
      <w:spacing w:after="0"/>
      <w:ind w:left="1540"/>
    </w:pPr>
    <w:rPr>
      <w:sz w:val="20"/>
      <w:szCs w:val="20"/>
    </w:rPr>
  </w:style>
  <w:style w:type="character" w:styleId="af3">
    <w:name w:val="Placeholder Text"/>
    <w:basedOn w:val="a0"/>
    <w:uiPriority w:val="99"/>
    <w:semiHidden/>
    <w:rsid w:val="005E3A5B"/>
    <w:rPr>
      <w:rFonts w:cs="Times New Roman"/>
      <w:color w:val="808080"/>
    </w:rPr>
  </w:style>
  <w:style w:type="paragraph" w:styleId="af4">
    <w:name w:val="endnote text"/>
    <w:basedOn w:val="a"/>
    <w:link w:val="af5"/>
    <w:uiPriority w:val="99"/>
    <w:semiHidden/>
    <w:unhideWhenUsed/>
    <w:rsid w:val="00E66B10"/>
    <w:pPr>
      <w:spacing w:after="0" w:line="240" w:lineRule="auto"/>
    </w:pPr>
    <w:rPr>
      <w:sz w:val="20"/>
      <w:szCs w:val="20"/>
    </w:rPr>
  </w:style>
  <w:style w:type="character" w:customStyle="1" w:styleId="af5">
    <w:name w:val="Текст концевой сноски Знак"/>
    <w:basedOn w:val="a0"/>
    <w:link w:val="af4"/>
    <w:uiPriority w:val="99"/>
    <w:semiHidden/>
    <w:rsid w:val="00E66B10"/>
    <w:rPr>
      <w:lang w:eastAsia="en-US"/>
    </w:rPr>
  </w:style>
  <w:style w:type="character" w:styleId="af6">
    <w:name w:val="endnote reference"/>
    <w:basedOn w:val="a0"/>
    <w:uiPriority w:val="99"/>
    <w:semiHidden/>
    <w:unhideWhenUsed/>
    <w:rsid w:val="00E66B10"/>
    <w:rPr>
      <w:vertAlign w:val="superscript"/>
    </w:rPr>
  </w:style>
  <w:style w:type="character" w:customStyle="1" w:styleId="20">
    <w:name w:val="Заголовок 2 Знак"/>
    <w:basedOn w:val="a0"/>
    <w:link w:val="2"/>
    <w:uiPriority w:val="9"/>
    <w:semiHidden/>
    <w:rsid w:val="00A16855"/>
    <w:rPr>
      <w:rFonts w:asciiTheme="majorHAnsi" w:eastAsiaTheme="majorEastAsia" w:hAnsiTheme="majorHAnsi" w:cstheme="majorBidi"/>
      <w:b/>
      <w:bCs/>
      <w:color w:val="4F81BD" w:themeColor="accent1"/>
      <w:sz w:val="26"/>
      <w:szCs w:val="26"/>
      <w:lang w:eastAsia="en-US"/>
    </w:rPr>
  </w:style>
  <w:style w:type="character" w:styleId="af7">
    <w:name w:val="Emphasis"/>
    <w:basedOn w:val="a0"/>
    <w:uiPriority w:val="20"/>
    <w:qFormat/>
    <w:rsid w:val="00A16855"/>
    <w:rPr>
      <w:i/>
      <w:iCs/>
    </w:rPr>
  </w:style>
  <w:style w:type="paragraph" w:customStyle="1" w:styleId="farther">
    <w:name w:val="farther"/>
    <w:basedOn w:val="a"/>
    <w:rsid w:val="00864071"/>
    <w:pPr>
      <w:spacing w:before="100" w:beforeAutospacing="1" w:after="100" w:afterAutospacing="1" w:line="240" w:lineRule="auto"/>
    </w:pPr>
    <w:rPr>
      <w:rFonts w:ascii="Times New Roman" w:hAnsi="Times New Roman"/>
      <w:sz w:val="24"/>
      <w:szCs w:val="24"/>
      <w:lang w:eastAsia="ru-RU"/>
    </w:rPr>
  </w:style>
  <w:style w:type="character" w:styleId="af8">
    <w:name w:val="Strong"/>
    <w:basedOn w:val="a0"/>
    <w:uiPriority w:val="22"/>
    <w:qFormat/>
    <w:rsid w:val="00864071"/>
    <w:rPr>
      <w:b/>
      <w:bCs/>
    </w:rPr>
  </w:style>
  <w:style w:type="paragraph" w:styleId="af9">
    <w:name w:val="TOC Heading"/>
    <w:basedOn w:val="1"/>
    <w:next w:val="a"/>
    <w:uiPriority w:val="39"/>
    <w:semiHidden/>
    <w:unhideWhenUsed/>
    <w:qFormat/>
    <w:rsid w:val="00FD195D"/>
    <w:pPr>
      <w:keepLines/>
      <w:spacing w:before="480" w:after="0"/>
      <w:outlineLvl w:val="9"/>
    </w:pPr>
    <w:rPr>
      <w:rFonts w:asciiTheme="majorHAnsi" w:eastAsiaTheme="majorEastAsia" w:hAnsiTheme="majorHAnsi" w:cstheme="majorBidi"/>
      <w:color w:val="365F91" w:themeColor="accent1" w:themeShade="BF"/>
      <w:kern w:val="0"/>
      <w:szCs w:val="28"/>
    </w:rPr>
  </w:style>
  <w:style w:type="character" w:customStyle="1" w:styleId="30">
    <w:name w:val="Заголовок 3 Знак"/>
    <w:basedOn w:val="a0"/>
    <w:link w:val="3"/>
    <w:uiPriority w:val="9"/>
    <w:semiHidden/>
    <w:rsid w:val="00DB3D1D"/>
    <w:rPr>
      <w:rFonts w:asciiTheme="majorHAnsi" w:eastAsiaTheme="majorEastAsia" w:hAnsiTheme="majorHAnsi" w:cstheme="majorBidi"/>
      <w:b/>
      <w:bCs/>
      <w:color w:val="4F81BD" w:themeColor="accent1"/>
      <w:sz w:val="22"/>
      <w:szCs w:val="22"/>
      <w:lang w:eastAsia="en-US"/>
    </w:rPr>
  </w:style>
  <w:style w:type="paragraph" w:customStyle="1" w:styleId="cutting">
    <w:name w:val="cutting"/>
    <w:basedOn w:val="a"/>
    <w:rsid w:val="00DB3D1D"/>
    <w:pPr>
      <w:spacing w:before="100" w:beforeAutospacing="1" w:after="100" w:afterAutospacing="1" w:line="240" w:lineRule="auto"/>
    </w:pPr>
    <w:rPr>
      <w:rFonts w:ascii="Times New Roman" w:hAnsi="Times New Roman"/>
      <w:sz w:val="24"/>
      <w:szCs w:val="24"/>
      <w:lang w:eastAsia="ru-RU"/>
    </w:rPr>
  </w:style>
  <w:style w:type="character" w:customStyle="1" w:styleId="cutline">
    <w:name w:val="cutline"/>
    <w:basedOn w:val="a0"/>
    <w:rsid w:val="00DB3D1D"/>
  </w:style>
  <w:style w:type="paragraph" w:customStyle="1" w:styleId="afa">
    <w:name w:val="Выделение раздела"/>
    <w:basedOn w:val="1"/>
    <w:link w:val="afb"/>
    <w:autoRedefine/>
    <w:qFormat/>
    <w:rsid w:val="003A316C"/>
    <w:pPr>
      <w:spacing w:before="120" w:after="120" w:line="360" w:lineRule="auto"/>
      <w:ind w:left="851"/>
      <w:jc w:val="left"/>
    </w:pPr>
    <w:rPr>
      <w:caps w:val="0"/>
    </w:rPr>
  </w:style>
  <w:style w:type="character" w:customStyle="1" w:styleId="afb">
    <w:name w:val="Выделение раздела Знак"/>
    <w:basedOn w:val="10"/>
    <w:link w:val="afa"/>
    <w:rsid w:val="003A316C"/>
    <w:rPr>
      <w:rFonts w:ascii="Times New Roman" w:hAnsi="Times New Roman"/>
      <w:b/>
      <w:bCs/>
      <w:caps/>
      <w:kern w:val="32"/>
      <w:sz w:val="28"/>
      <w:szCs w:val="32"/>
      <w:lang w:eastAsia="en-US"/>
    </w:rPr>
  </w:style>
  <w:style w:type="paragraph" w:customStyle="1" w:styleId="psection">
    <w:name w:val="psection"/>
    <w:basedOn w:val="a"/>
    <w:rsid w:val="009E478C"/>
    <w:pPr>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rsid w:val="0048472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52633">
      <w:bodyDiv w:val="1"/>
      <w:marLeft w:val="0"/>
      <w:marRight w:val="0"/>
      <w:marTop w:val="0"/>
      <w:marBottom w:val="0"/>
      <w:divBdr>
        <w:top w:val="none" w:sz="0" w:space="0" w:color="auto"/>
        <w:left w:val="none" w:sz="0" w:space="0" w:color="auto"/>
        <w:bottom w:val="none" w:sz="0" w:space="0" w:color="auto"/>
        <w:right w:val="none" w:sz="0" w:space="0" w:color="auto"/>
      </w:divBdr>
    </w:div>
    <w:div w:id="272396600">
      <w:bodyDiv w:val="1"/>
      <w:marLeft w:val="0"/>
      <w:marRight w:val="0"/>
      <w:marTop w:val="0"/>
      <w:marBottom w:val="0"/>
      <w:divBdr>
        <w:top w:val="none" w:sz="0" w:space="0" w:color="auto"/>
        <w:left w:val="none" w:sz="0" w:space="0" w:color="auto"/>
        <w:bottom w:val="none" w:sz="0" w:space="0" w:color="auto"/>
        <w:right w:val="none" w:sz="0" w:space="0" w:color="auto"/>
      </w:divBdr>
    </w:div>
    <w:div w:id="283852498">
      <w:bodyDiv w:val="1"/>
      <w:marLeft w:val="0"/>
      <w:marRight w:val="0"/>
      <w:marTop w:val="0"/>
      <w:marBottom w:val="0"/>
      <w:divBdr>
        <w:top w:val="none" w:sz="0" w:space="0" w:color="auto"/>
        <w:left w:val="none" w:sz="0" w:space="0" w:color="auto"/>
        <w:bottom w:val="none" w:sz="0" w:space="0" w:color="auto"/>
        <w:right w:val="none" w:sz="0" w:space="0" w:color="auto"/>
      </w:divBdr>
    </w:div>
    <w:div w:id="336733627">
      <w:bodyDiv w:val="1"/>
      <w:marLeft w:val="0"/>
      <w:marRight w:val="0"/>
      <w:marTop w:val="0"/>
      <w:marBottom w:val="0"/>
      <w:divBdr>
        <w:top w:val="none" w:sz="0" w:space="0" w:color="auto"/>
        <w:left w:val="none" w:sz="0" w:space="0" w:color="auto"/>
        <w:bottom w:val="none" w:sz="0" w:space="0" w:color="auto"/>
        <w:right w:val="none" w:sz="0" w:space="0" w:color="auto"/>
      </w:divBdr>
    </w:div>
    <w:div w:id="476385999">
      <w:bodyDiv w:val="1"/>
      <w:marLeft w:val="0"/>
      <w:marRight w:val="0"/>
      <w:marTop w:val="0"/>
      <w:marBottom w:val="0"/>
      <w:divBdr>
        <w:top w:val="none" w:sz="0" w:space="0" w:color="auto"/>
        <w:left w:val="none" w:sz="0" w:space="0" w:color="auto"/>
        <w:bottom w:val="none" w:sz="0" w:space="0" w:color="auto"/>
        <w:right w:val="none" w:sz="0" w:space="0" w:color="auto"/>
      </w:divBdr>
    </w:div>
    <w:div w:id="531919426">
      <w:bodyDiv w:val="1"/>
      <w:marLeft w:val="0"/>
      <w:marRight w:val="0"/>
      <w:marTop w:val="0"/>
      <w:marBottom w:val="0"/>
      <w:divBdr>
        <w:top w:val="none" w:sz="0" w:space="0" w:color="auto"/>
        <w:left w:val="none" w:sz="0" w:space="0" w:color="auto"/>
        <w:bottom w:val="none" w:sz="0" w:space="0" w:color="auto"/>
        <w:right w:val="none" w:sz="0" w:space="0" w:color="auto"/>
      </w:divBdr>
    </w:div>
    <w:div w:id="645083332">
      <w:bodyDiv w:val="1"/>
      <w:marLeft w:val="0"/>
      <w:marRight w:val="0"/>
      <w:marTop w:val="0"/>
      <w:marBottom w:val="0"/>
      <w:divBdr>
        <w:top w:val="none" w:sz="0" w:space="0" w:color="auto"/>
        <w:left w:val="none" w:sz="0" w:space="0" w:color="auto"/>
        <w:bottom w:val="none" w:sz="0" w:space="0" w:color="auto"/>
        <w:right w:val="none" w:sz="0" w:space="0" w:color="auto"/>
      </w:divBdr>
    </w:div>
    <w:div w:id="671761394">
      <w:bodyDiv w:val="1"/>
      <w:marLeft w:val="0"/>
      <w:marRight w:val="0"/>
      <w:marTop w:val="0"/>
      <w:marBottom w:val="0"/>
      <w:divBdr>
        <w:top w:val="none" w:sz="0" w:space="0" w:color="auto"/>
        <w:left w:val="none" w:sz="0" w:space="0" w:color="auto"/>
        <w:bottom w:val="none" w:sz="0" w:space="0" w:color="auto"/>
        <w:right w:val="none" w:sz="0" w:space="0" w:color="auto"/>
      </w:divBdr>
    </w:div>
    <w:div w:id="682364621">
      <w:bodyDiv w:val="1"/>
      <w:marLeft w:val="0"/>
      <w:marRight w:val="0"/>
      <w:marTop w:val="0"/>
      <w:marBottom w:val="0"/>
      <w:divBdr>
        <w:top w:val="none" w:sz="0" w:space="0" w:color="auto"/>
        <w:left w:val="none" w:sz="0" w:space="0" w:color="auto"/>
        <w:bottom w:val="none" w:sz="0" w:space="0" w:color="auto"/>
        <w:right w:val="none" w:sz="0" w:space="0" w:color="auto"/>
      </w:divBdr>
    </w:div>
    <w:div w:id="719593044">
      <w:bodyDiv w:val="1"/>
      <w:marLeft w:val="0"/>
      <w:marRight w:val="0"/>
      <w:marTop w:val="0"/>
      <w:marBottom w:val="0"/>
      <w:divBdr>
        <w:top w:val="none" w:sz="0" w:space="0" w:color="auto"/>
        <w:left w:val="none" w:sz="0" w:space="0" w:color="auto"/>
        <w:bottom w:val="none" w:sz="0" w:space="0" w:color="auto"/>
        <w:right w:val="none" w:sz="0" w:space="0" w:color="auto"/>
      </w:divBdr>
    </w:div>
    <w:div w:id="722020696">
      <w:bodyDiv w:val="1"/>
      <w:marLeft w:val="0"/>
      <w:marRight w:val="0"/>
      <w:marTop w:val="0"/>
      <w:marBottom w:val="0"/>
      <w:divBdr>
        <w:top w:val="none" w:sz="0" w:space="0" w:color="auto"/>
        <w:left w:val="none" w:sz="0" w:space="0" w:color="auto"/>
        <w:bottom w:val="none" w:sz="0" w:space="0" w:color="auto"/>
        <w:right w:val="none" w:sz="0" w:space="0" w:color="auto"/>
      </w:divBdr>
    </w:div>
    <w:div w:id="756437497">
      <w:bodyDiv w:val="1"/>
      <w:marLeft w:val="0"/>
      <w:marRight w:val="0"/>
      <w:marTop w:val="0"/>
      <w:marBottom w:val="0"/>
      <w:divBdr>
        <w:top w:val="none" w:sz="0" w:space="0" w:color="auto"/>
        <w:left w:val="none" w:sz="0" w:space="0" w:color="auto"/>
        <w:bottom w:val="none" w:sz="0" w:space="0" w:color="auto"/>
        <w:right w:val="none" w:sz="0" w:space="0" w:color="auto"/>
      </w:divBdr>
    </w:div>
    <w:div w:id="1052003382">
      <w:bodyDiv w:val="1"/>
      <w:marLeft w:val="0"/>
      <w:marRight w:val="0"/>
      <w:marTop w:val="0"/>
      <w:marBottom w:val="0"/>
      <w:divBdr>
        <w:top w:val="none" w:sz="0" w:space="0" w:color="auto"/>
        <w:left w:val="none" w:sz="0" w:space="0" w:color="auto"/>
        <w:bottom w:val="none" w:sz="0" w:space="0" w:color="auto"/>
        <w:right w:val="none" w:sz="0" w:space="0" w:color="auto"/>
      </w:divBdr>
    </w:div>
    <w:div w:id="1063062772">
      <w:bodyDiv w:val="1"/>
      <w:marLeft w:val="0"/>
      <w:marRight w:val="0"/>
      <w:marTop w:val="0"/>
      <w:marBottom w:val="0"/>
      <w:divBdr>
        <w:top w:val="none" w:sz="0" w:space="0" w:color="auto"/>
        <w:left w:val="none" w:sz="0" w:space="0" w:color="auto"/>
        <w:bottom w:val="none" w:sz="0" w:space="0" w:color="auto"/>
        <w:right w:val="none" w:sz="0" w:space="0" w:color="auto"/>
      </w:divBdr>
    </w:div>
    <w:div w:id="1111625176">
      <w:bodyDiv w:val="1"/>
      <w:marLeft w:val="0"/>
      <w:marRight w:val="0"/>
      <w:marTop w:val="0"/>
      <w:marBottom w:val="0"/>
      <w:divBdr>
        <w:top w:val="none" w:sz="0" w:space="0" w:color="auto"/>
        <w:left w:val="none" w:sz="0" w:space="0" w:color="auto"/>
        <w:bottom w:val="none" w:sz="0" w:space="0" w:color="auto"/>
        <w:right w:val="none" w:sz="0" w:space="0" w:color="auto"/>
      </w:divBdr>
    </w:div>
    <w:div w:id="1163473450">
      <w:bodyDiv w:val="1"/>
      <w:marLeft w:val="0"/>
      <w:marRight w:val="0"/>
      <w:marTop w:val="0"/>
      <w:marBottom w:val="0"/>
      <w:divBdr>
        <w:top w:val="none" w:sz="0" w:space="0" w:color="auto"/>
        <w:left w:val="none" w:sz="0" w:space="0" w:color="auto"/>
        <w:bottom w:val="none" w:sz="0" w:space="0" w:color="auto"/>
        <w:right w:val="none" w:sz="0" w:space="0" w:color="auto"/>
      </w:divBdr>
      <w:divsChild>
        <w:div w:id="189728727">
          <w:marLeft w:val="0"/>
          <w:marRight w:val="0"/>
          <w:marTop w:val="0"/>
          <w:marBottom w:val="0"/>
          <w:divBdr>
            <w:top w:val="none" w:sz="0" w:space="0" w:color="auto"/>
            <w:left w:val="none" w:sz="0" w:space="0" w:color="auto"/>
            <w:bottom w:val="none" w:sz="0" w:space="0" w:color="auto"/>
            <w:right w:val="none" w:sz="0" w:space="0" w:color="auto"/>
          </w:divBdr>
          <w:divsChild>
            <w:div w:id="511727672">
              <w:marLeft w:val="0"/>
              <w:marRight w:val="0"/>
              <w:marTop w:val="0"/>
              <w:marBottom w:val="0"/>
              <w:divBdr>
                <w:top w:val="single" w:sz="6" w:space="11" w:color="EEEEEE"/>
                <w:left w:val="none" w:sz="0" w:space="0" w:color="auto"/>
                <w:bottom w:val="single" w:sz="6" w:space="0" w:color="EEEEEE"/>
                <w:right w:val="none" w:sz="0" w:space="0" w:color="auto"/>
              </w:divBdr>
            </w:div>
            <w:div w:id="1982032605">
              <w:marLeft w:val="0"/>
              <w:marRight w:val="0"/>
              <w:marTop w:val="0"/>
              <w:marBottom w:val="0"/>
              <w:divBdr>
                <w:top w:val="none" w:sz="0" w:space="0" w:color="auto"/>
                <w:left w:val="none" w:sz="0" w:space="0" w:color="auto"/>
                <w:bottom w:val="none" w:sz="0" w:space="0" w:color="auto"/>
                <w:right w:val="none" w:sz="0" w:space="0" w:color="auto"/>
              </w:divBdr>
            </w:div>
            <w:div w:id="1451975432">
              <w:marLeft w:val="0"/>
              <w:marRight w:val="0"/>
              <w:marTop w:val="0"/>
              <w:marBottom w:val="0"/>
              <w:divBdr>
                <w:top w:val="single" w:sz="6" w:space="11" w:color="EEEEEE"/>
                <w:left w:val="none" w:sz="0" w:space="0" w:color="auto"/>
                <w:bottom w:val="single" w:sz="6" w:space="0" w:color="EEEEEE"/>
                <w:right w:val="none" w:sz="0" w:space="0" w:color="auto"/>
              </w:divBdr>
            </w:div>
            <w:div w:id="1092167038">
              <w:marLeft w:val="0"/>
              <w:marRight w:val="0"/>
              <w:marTop w:val="0"/>
              <w:marBottom w:val="0"/>
              <w:divBdr>
                <w:top w:val="single" w:sz="6" w:space="11" w:color="EEEEEE"/>
                <w:left w:val="none" w:sz="0" w:space="0" w:color="auto"/>
                <w:bottom w:val="single" w:sz="6" w:space="0" w:color="EEEEEE"/>
                <w:right w:val="none" w:sz="0" w:space="0" w:color="auto"/>
              </w:divBdr>
            </w:div>
            <w:div w:id="1961840726">
              <w:marLeft w:val="0"/>
              <w:marRight w:val="0"/>
              <w:marTop w:val="0"/>
              <w:marBottom w:val="0"/>
              <w:divBdr>
                <w:top w:val="single" w:sz="6" w:space="11" w:color="EEEEEE"/>
                <w:left w:val="none" w:sz="0" w:space="0" w:color="auto"/>
                <w:bottom w:val="single" w:sz="6" w:space="0" w:color="EEEEEE"/>
                <w:right w:val="none" w:sz="0" w:space="0" w:color="auto"/>
              </w:divBdr>
            </w:div>
            <w:div w:id="578442146">
              <w:marLeft w:val="0"/>
              <w:marRight w:val="0"/>
              <w:marTop w:val="0"/>
              <w:marBottom w:val="0"/>
              <w:divBdr>
                <w:top w:val="single" w:sz="6" w:space="11" w:color="EEEEEE"/>
                <w:left w:val="none" w:sz="0" w:space="0" w:color="auto"/>
                <w:bottom w:val="single" w:sz="6" w:space="0" w:color="EEEEEE"/>
                <w:right w:val="none" w:sz="0" w:space="0" w:color="auto"/>
              </w:divBdr>
            </w:div>
            <w:div w:id="241717778">
              <w:marLeft w:val="0"/>
              <w:marRight w:val="0"/>
              <w:marTop w:val="0"/>
              <w:marBottom w:val="0"/>
              <w:divBdr>
                <w:top w:val="single" w:sz="6" w:space="11" w:color="EEEEEE"/>
                <w:left w:val="none" w:sz="0" w:space="0" w:color="auto"/>
                <w:bottom w:val="single" w:sz="6" w:space="0" w:color="EEEEEE"/>
                <w:right w:val="none" w:sz="0" w:space="0" w:color="auto"/>
              </w:divBdr>
            </w:div>
          </w:divsChild>
        </w:div>
      </w:divsChild>
    </w:div>
    <w:div w:id="1256019401">
      <w:bodyDiv w:val="1"/>
      <w:marLeft w:val="0"/>
      <w:marRight w:val="0"/>
      <w:marTop w:val="0"/>
      <w:marBottom w:val="0"/>
      <w:divBdr>
        <w:top w:val="none" w:sz="0" w:space="0" w:color="auto"/>
        <w:left w:val="none" w:sz="0" w:space="0" w:color="auto"/>
        <w:bottom w:val="none" w:sz="0" w:space="0" w:color="auto"/>
        <w:right w:val="none" w:sz="0" w:space="0" w:color="auto"/>
      </w:divBdr>
      <w:divsChild>
        <w:div w:id="1544514496">
          <w:marLeft w:val="0"/>
          <w:marRight w:val="0"/>
          <w:marTop w:val="0"/>
          <w:marBottom w:val="0"/>
          <w:divBdr>
            <w:top w:val="none" w:sz="0" w:space="0" w:color="auto"/>
            <w:left w:val="none" w:sz="0" w:space="0" w:color="auto"/>
            <w:bottom w:val="none" w:sz="0" w:space="0" w:color="auto"/>
            <w:right w:val="none" w:sz="0" w:space="0" w:color="auto"/>
          </w:divBdr>
        </w:div>
      </w:divsChild>
    </w:div>
    <w:div w:id="1263028380">
      <w:bodyDiv w:val="1"/>
      <w:marLeft w:val="0"/>
      <w:marRight w:val="0"/>
      <w:marTop w:val="0"/>
      <w:marBottom w:val="0"/>
      <w:divBdr>
        <w:top w:val="none" w:sz="0" w:space="0" w:color="auto"/>
        <w:left w:val="none" w:sz="0" w:space="0" w:color="auto"/>
        <w:bottom w:val="none" w:sz="0" w:space="0" w:color="auto"/>
        <w:right w:val="none" w:sz="0" w:space="0" w:color="auto"/>
      </w:divBdr>
    </w:div>
    <w:div w:id="1281649502">
      <w:bodyDiv w:val="1"/>
      <w:marLeft w:val="0"/>
      <w:marRight w:val="0"/>
      <w:marTop w:val="0"/>
      <w:marBottom w:val="0"/>
      <w:divBdr>
        <w:top w:val="none" w:sz="0" w:space="0" w:color="auto"/>
        <w:left w:val="none" w:sz="0" w:space="0" w:color="auto"/>
        <w:bottom w:val="none" w:sz="0" w:space="0" w:color="auto"/>
        <w:right w:val="none" w:sz="0" w:space="0" w:color="auto"/>
      </w:divBdr>
    </w:div>
    <w:div w:id="1335454808">
      <w:bodyDiv w:val="1"/>
      <w:marLeft w:val="0"/>
      <w:marRight w:val="0"/>
      <w:marTop w:val="0"/>
      <w:marBottom w:val="0"/>
      <w:divBdr>
        <w:top w:val="none" w:sz="0" w:space="0" w:color="auto"/>
        <w:left w:val="none" w:sz="0" w:space="0" w:color="auto"/>
        <w:bottom w:val="none" w:sz="0" w:space="0" w:color="auto"/>
        <w:right w:val="none" w:sz="0" w:space="0" w:color="auto"/>
      </w:divBdr>
    </w:div>
    <w:div w:id="1419247821">
      <w:marLeft w:val="0"/>
      <w:marRight w:val="0"/>
      <w:marTop w:val="0"/>
      <w:marBottom w:val="0"/>
      <w:divBdr>
        <w:top w:val="none" w:sz="0" w:space="0" w:color="auto"/>
        <w:left w:val="none" w:sz="0" w:space="0" w:color="auto"/>
        <w:bottom w:val="none" w:sz="0" w:space="0" w:color="auto"/>
        <w:right w:val="none" w:sz="0" w:space="0" w:color="auto"/>
      </w:divBdr>
    </w:div>
    <w:div w:id="1419247823">
      <w:marLeft w:val="0"/>
      <w:marRight w:val="0"/>
      <w:marTop w:val="0"/>
      <w:marBottom w:val="0"/>
      <w:divBdr>
        <w:top w:val="none" w:sz="0" w:space="0" w:color="auto"/>
        <w:left w:val="none" w:sz="0" w:space="0" w:color="auto"/>
        <w:bottom w:val="none" w:sz="0" w:space="0" w:color="auto"/>
        <w:right w:val="none" w:sz="0" w:space="0" w:color="auto"/>
      </w:divBdr>
    </w:div>
    <w:div w:id="1419247824">
      <w:marLeft w:val="0"/>
      <w:marRight w:val="0"/>
      <w:marTop w:val="0"/>
      <w:marBottom w:val="0"/>
      <w:divBdr>
        <w:top w:val="none" w:sz="0" w:space="0" w:color="auto"/>
        <w:left w:val="none" w:sz="0" w:space="0" w:color="auto"/>
        <w:bottom w:val="none" w:sz="0" w:space="0" w:color="auto"/>
        <w:right w:val="none" w:sz="0" w:space="0" w:color="auto"/>
      </w:divBdr>
    </w:div>
    <w:div w:id="1419247826">
      <w:marLeft w:val="0"/>
      <w:marRight w:val="0"/>
      <w:marTop w:val="0"/>
      <w:marBottom w:val="0"/>
      <w:divBdr>
        <w:top w:val="none" w:sz="0" w:space="0" w:color="auto"/>
        <w:left w:val="none" w:sz="0" w:space="0" w:color="auto"/>
        <w:bottom w:val="none" w:sz="0" w:space="0" w:color="auto"/>
        <w:right w:val="none" w:sz="0" w:space="0" w:color="auto"/>
      </w:divBdr>
    </w:div>
    <w:div w:id="1419247829">
      <w:marLeft w:val="0"/>
      <w:marRight w:val="0"/>
      <w:marTop w:val="0"/>
      <w:marBottom w:val="0"/>
      <w:divBdr>
        <w:top w:val="none" w:sz="0" w:space="0" w:color="auto"/>
        <w:left w:val="none" w:sz="0" w:space="0" w:color="auto"/>
        <w:bottom w:val="none" w:sz="0" w:space="0" w:color="auto"/>
        <w:right w:val="none" w:sz="0" w:space="0" w:color="auto"/>
      </w:divBdr>
    </w:div>
    <w:div w:id="1419247830">
      <w:marLeft w:val="0"/>
      <w:marRight w:val="0"/>
      <w:marTop w:val="0"/>
      <w:marBottom w:val="0"/>
      <w:divBdr>
        <w:top w:val="none" w:sz="0" w:space="0" w:color="auto"/>
        <w:left w:val="none" w:sz="0" w:space="0" w:color="auto"/>
        <w:bottom w:val="none" w:sz="0" w:space="0" w:color="auto"/>
        <w:right w:val="none" w:sz="0" w:space="0" w:color="auto"/>
      </w:divBdr>
    </w:div>
    <w:div w:id="1419247831">
      <w:marLeft w:val="0"/>
      <w:marRight w:val="0"/>
      <w:marTop w:val="0"/>
      <w:marBottom w:val="0"/>
      <w:divBdr>
        <w:top w:val="none" w:sz="0" w:space="0" w:color="auto"/>
        <w:left w:val="none" w:sz="0" w:space="0" w:color="auto"/>
        <w:bottom w:val="none" w:sz="0" w:space="0" w:color="auto"/>
        <w:right w:val="none" w:sz="0" w:space="0" w:color="auto"/>
      </w:divBdr>
    </w:div>
    <w:div w:id="1419247832">
      <w:marLeft w:val="0"/>
      <w:marRight w:val="0"/>
      <w:marTop w:val="0"/>
      <w:marBottom w:val="0"/>
      <w:divBdr>
        <w:top w:val="none" w:sz="0" w:space="0" w:color="auto"/>
        <w:left w:val="none" w:sz="0" w:space="0" w:color="auto"/>
        <w:bottom w:val="none" w:sz="0" w:space="0" w:color="auto"/>
        <w:right w:val="none" w:sz="0" w:space="0" w:color="auto"/>
      </w:divBdr>
    </w:div>
    <w:div w:id="1419247833">
      <w:marLeft w:val="0"/>
      <w:marRight w:val="0"/>
      <w:marTop w:val="0"/>
      <w:marBottom w:val="0"/>
      <w:divBdr>
        <w:top w:val="none" w:sz="0" w:space="0" w:color="auto"/>
        <w:left w:val="none" w:sz="0" w:space="0" w:color="auto"/>
        <w:bottom w:val="none" w:sz="0" w:space="0" w:color="auto"/>
        <w:right w:val="none" w:sz="0" w:space="0" w:color="auto"/>
      </w:divBdr>
    </w:div>
    <w:div w:id="1419247834">
      <w:marLeft w:val="0"/>
      <w:marRight w:val="0"/>
      <w:marTop w:val="0"/>
      <w:marBottom w:val="0"/>
      <w:divBdr>
        <w:top w:val="none" w:sz="0" w:space="0" w:color="auto"/>
        <w:left w:val="none" w:sz="0" w:space="0" w:color="auto"/>
        <w:bottom w:val="none" w:sz="0" w:space="0" w:color="auto"/>
        <w:right w:val="none" w:sz="0" w:space="0" w:color="auto"/>
      </w:divBdr>
      <w:divsChild>
        <w:div w:id="1419247822">
          <w:marLeft w:val="0"/>
          <w:marRight w:val="0"/>
          <w:marTop w:val="0"/>
          <w:marBottom w:val="0"/>
          <w:divBdr>
            <w:top w:val="none" w:sz="0" w:space="0" w:color="auto"/>
            <w:left w:val="none" w:sz="0" w:space="0" w:color="auto"/>
            <w:bottom w:val="none" w:sz="0" w:space="0" w:color="auto"/>
            <w:right w:val="none" w:sz="0" w:space="0" w:color="auto"/>
          </w:divBdr>
          <w:divsChild>
            <w:div w:id="1419247825">
              <w:marLeft w:val="0"/>
              <w:marRight w:val="0"/>
              <w:marTop w:val="0"/>
              <w:marBottom w:val="0"/>
              <w:divBdr>
                <w:top w:val="none" w:sz="0" w:space="0" w:color="auto"/>
                <w:left w:val="none" w:sz="0" w:space="0" w:color="auto"/>
                <w:bottom w:val="none" w:sz="0" w:space="0" w:color="auto"/>
                <w:right w:val="none" w:sz="0" w:space="0" w:color="auto"/>
              </w:divBdr>
            </w:div>
          </w:divsChild>
        </w:div>
        <w:div w:id="1419247828">
          <w:marLeft w:val="0"/>
          <w:marRight w:val="0"/>
          <w:marTop w:val="0"/>
          <w:marBottom w:val="0"/>
          <w:divBdr>
            <w:top w:val="none" w:sz="0" w:space="0" w:color="auto"/>
            <w:left w:val="none" w:sz="0" w:space="0" w:color="auto"/>
            <w:bottom w:val="none" w:sz="0" w:space="0" w:color="auto"/>
            <w:right w:val="none" w:sz="0" w:space="0" w:color="auto"/>
          </w:divBdr>
        </w:div>
      </w:divsChild>
    </w:div>
    <w:div w:id="1419247835">
      <w:marLeft w:val="0"/>
      <w:marRight w:val="0"/>
      <w:marTop w:val="0"/>
      <w:marBottom w:val="0"/>
      <w:divBdr>
        <w:top w:val="none" w:sz="0" w:space="0" w:color="auto"/>
        <w:left w:val="none" w:sz="0" w:space="0" w:color="auto"/>
        <w:bottom w:val="none" w:sz="0" w:space="0" w:color="auto"/>
        <w:right w:val="none" w:sz="0" w:space="0" w:color="auto"/>
      </w:divBdr>
    </w:div>
    <w:div w:id="1419247836">
      <w:marLeft w:val="0"/>
      <w:marRight w:val="0"/>
      <w:marTop w:val="0"/>
      <w:marBottom w:val="0"/>
      <w:divBdr>
        <w:top w:val="none" w:sz="0" w:space="0" w:color="auto"/>
        <w:left w:val="none" w:sz="0" w:space="0" w:color="auto"/>
        <w:bottom w:val="none" w:sz="0" w:space="0" w:color="auto"/>
        <w:right w:val="none" w:sz="0" w:space="0" w:color="auto"/>
      </w:divBdr>
    </w:div>
    <w:div w:id="1419247837">
      <w:marLeft w:val="0"/>
      <w:marRight w:val="0"/>
      <w:marTop w:val="0"/>
      <w:marBottom w:val="0"/>
      <w:divBdr>
        <w:top w:val="none" w:sz="0" w:space="0" w:color="auto"/>
        <w:left w:val="none" w:sz="0" w:space="0" w:color="auto"/>
        <w:bottom w:val="none" w:sz="0" w:space="0" w:color="auto"/>
        <w:right w:val="none" w:sz="0" w:space="0" w:color="auto"/>
      </w:divBdr>
    </w:div>
    <w:div w:id="1419247838">
      <w:marLeft w:val="0"/>
      <w:marRight w:val="0"/>
      <w:marTop w:val="0"/>
      <w:marBottom w:val="0"/>
      <w:divBdr>
        <w:top w:val="none" w:sz="0" w:space="0" w:color="auto"/>
        <w:left w:val="none" w:sz="0" w:space="0" w:color="auto"/>
        <w:bottom w:val="none" w:sz="0" w:space="0" w:color="auto"/>
        <w:right w:val="none" w:sz="0" w:space="0" w:color="auto"/>
      </w:divBdr>
    </w:div>
    <w:div w:id="1419247839">
      <w:marLeft w:val="0"/>
      <w:marRight w:val="0"/>
      <w:marTop w:val="0"/>
      <w:marBottom w:val="0"/>
      <w:divBdr>
        <w:top w:val="none" w:sz="0" w:space="0" w:color="auto"/>
        <w:left w:val="none" w:sz="0" w:space="0" w:color="auto"/>
        <w:bottom w:val="none" w:sz="0" w:space="0" w:color="auto"/>
        <w:right w:val="none" w:sz="0" w:space="0" w:color="auto"/>
      </w:divBdr>
      <w:divsChild>
        <w:div w:id="1419247827">
          <w:marLeft w:val="0"/>
          <w:marRight w:val="0"/>
          <w:marTop w:val="0"/>
          <w:marBottom w:val="0"/>
          <w:divBdr>
            <w:top w:val="none" w:sz="0" w:space="0" w:color="auto"/>
            <w:left w:val="none" w:sz="0" w:space="0" w:color="auto"/>
            <w:bottom w:val="none" w:sz="0" w:space="0" w:color="auto"/>
            <w:right w:val="none" w:sz="0" w:space="0" w:color="auto"/>
          </w:divBdr>
        </w:div>
      </w:divsChild>
    </w:div>
    <w:div w:id="1419247840">
      <w:marLeft w:val="0"/>
      <w:marRight w:val="0"/>
      <w:marTop w:val="0"/>
      <w:marBottom w:val="0"/>
      <w:divBdr>
        <w:top w:val="none" w:sz="0" w:space="0" w:color="auto"/>
        <w:left w:val="none" w:sz="0" w:space="0" w:color="auto"/>
        <w:bottom w:val="none" w:sz="0" w:space="0" w:color="auto"/>
        <w:right w:val="none" w:sz="0" w:space="0" w:color="auto"/>
      </w:divBdr>
    </w:div>
    <w:div w:id="1786188544">
      <w:bodyDiv w:val="1"/>
      <w:marLeft w:val="0"/>
      <w:marRight w:val="0"/>
      <w:marTop w:val="0"/>
      <w:marBottom w:val="0"/>
      <w:divBdr>
        <w:top w:val="none" w:sz="0" w:space="0" w:color="auto"/>
        <w:left w:val="none" w:sz="0" w:space="0" w:color="auto"/>
        <w:bottom w:val="none" w:sz="0" w:space="0" w:color="auto"/>
        <w:right w:val="none" w:sz="0" w:space="0" w:color="auto"/>
      </w:divBdr>
    </w:div>
    <w:div w:id="2025789123">
      <w:bodyDiv w:val="1"/>
      <w:marLeft w:val="0"/>
      <w:marRight w:val="0"/>
      <w:marTop w:val="0"/>
      <w:marBottom w:val="0"/>
      <w:divBdr>
        <w:top w:val="none" w:sz="0" w:space="0" w:color="auto"/>
        <w:left w:val="none" w:sz="0" w:space="0" w:color="auto"/>
        <w:bottom w:val="none" w:sz="0" w:space="0" w:color="auto"/>
        <w:right w:val="none" w:sz="0" w:space="0" w:color="auto"/>
      </w:divBdr>
      <w:divsChild>
        <w:div w:id="13307534">
          <w:blockQuote w:val="1"/>
          <w:marLeft w:val="720"/>
          <w:marRight w:val="0"/>
          <w:marTop w:val="0"/>
          <w:marBottom w:val="720"/>
          <w:divBdr>
            <w:top w:val="none" w:sz="0" w:space="0" w:color="auto"/>
            <w:left w:val="none" w:sz="0" w:space="0" w:color="auto"/>
            <w:bottom w:val="none" w:sz="0" w:space="0" w:color="auto"/>
            <w:right w:val="none" w:sz="0" w:space="0" w:color="auto"/>
          </w:divBdr>
        </w:div>
      </w:divsChild>
    </w:div>
    <w:div w:id="2123571670">
      <w:bodyDiv w:val="1"/>
      <w:marLeft w:val="0"/>
      <w:marRight w:val="0"/>
      <w:marTop w:val="0"/>
      <w:marBottom w:val="0"/>
      <w:divBdr>
        <w:top w:val="none" w:sz="0" w:space="0" w:color="auto"/>
        <w:left w:val="none" w:sz="0" w:space="0" w:color="auto"/>
        <w:bottom w:val="none" w:sz="0" w:space="0" w:color="auto"/>
        <w:right w:val="none" w:sz="0" w:space="0" w:color="auto"/>
      </w:divBdr>
    </w:div>
    <w:div w:id="212769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D%D0%BE%D1%80%D0%BC%D0%B0_%D0%BE%D0%B1%D1%8F%D0%B7%D0%B0%D1%82%D0%B5%D0%BB%D1%8C%D0%BD%D1%8B%D1%85_%D1%80%D0%B5%D0%B7%D0%B5%D1%80%D0%B2%D0%BE%D0%B2" TargetMode="External"/><Relationship Id="rId18" Type="http://schemas.openxmlformats.org/officeDocument/2006/relationships/hyperlink" Target="http://base.garant.ru/584458/6/" TargetMode="External"/><Relationship Id="rId26" Type="http://schemas.openxmlformats.org/officeDocument/2006/relationships/image" Target="media/image8.gif"/><Relationship Id="rId39" Type="http://schemas.openxmlformats.org/officeDocument/2006/relationships/hyperlink" Target="http://cityadspix.com/tsclick-DQCGSXI5-KHEBQKKP?&amp;sa=&amp;sa1=&amp;sa2=&amp;sa3=&amp;sa4=&amp;sa5=&amp;bt=20&amp;pt=9&amp;lt=2&amp;tl=1&amp;sa=&amp;sa1=&amp;sa2=&amp;sa3=&amp;sa4=&amp;sa5=&amp;sa=&amp;sa1=&amp;sa2=&amp;sa3=&amp;sa4=&amp;sa5=&amp;sa=&amp;sa1=&amp;sa2=&amp;sa3=&amp;sa4=&amp;sa5=&amp;im=NDA1NS0wLTE0NDkzMTM2MTktMTY1ODgzMjc%3D&amp;fid=NDQ1NzUyNzg1&amp;kw=%D0%BA%D1%80%D0%B5%D0%B4%D0%B8%D1%82%D0%BD%D0%BE%D0%B9" TargetMode="External"/><Relationship Id="rId21" Type="http://schemas.openxmlformats.org/officeDocument/2006/relationships/image" Target="media/image3.jpeg"/><Relationship Id="rId34" Type="http://schemas.openxmlformats.org/officeDocument/2006/relationships/hyperlink" Target="http://www.cbr.ru/hd_base/repo.asp"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D%D0%BE%D1%80%D0%BC%D0%B0_%D0%BE%D0%B1%D1%8F%D0%B7%D0%B0%D1%82%D0%B5%D0%BB%D1%8C%D0%BD%D1%8B%D1%85_%D1%80%D0%B5%D0%B7%D0%B5%D1%80%D0%B2%D0%BE%D0%B2" TargetMode="External"/><Relationship Id="rId20" Type="http://schemas.openxmlformats.org/officeDocument/2006/relationships/image" Target="media/image2.png"/><Relationship Id="rId29" Type="http://schemas.openxmlformats.org/officeDocument/2006/relationships/hyperlink" Target="http://www.cbr.ru/DKP/print.aspx?file=standart_system/dkp_DOFR_repo_dop.htm&amp;pid=dkp_itm&amp;sid=ITM_27417"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D%D0%BE%D1%80%D0%BC%D0%B0_%D0%BE%D0%B1%D1%8F%D0%B7%D0%B0%D1%82%D0%B5%D0%BB%D1%8C%D0%BD%D1%8B%D1%85_%D1%80%D0%B5%D0%B7%D0%B5%D1%80%D0%B2%D0%BE%D0%B2" TargetMode="External"/><Relationship Id="rId24" Type="http://schemas.openxmlformats.org/officeDocument/2006/relationships/image" Target="media/image6.gif"/><Relationship Id="rId32" Type="http://schemas.openxmlformats.org/officeDocument/2006/relationships/hyperlink" Target="http://www.cbr.ru/hd_base/REPO_proc.asp" TargetMode="External"/><Relationship Id="rId37" Type="http://schemas.openxmlformats.org/officeDocument/2006/relationships/hyperlink" Target="http://www.cbr.ru/overn_base/main.asp?date_req1=new" TargetMode="External"/><Relationship Id="rId40" Type="http://schemas.openxmlformats.org/officeDocument/2006/relationships/hyperlink" Target="http://www.cbr.ru/dkp/print.aspx?file=standart_system/ref_7.htm" TargetMode="External"/><Relationship Id="rId5" Type="http://schemas.openxmlformats.org/officeDocument/2006/relationships/settings" Target="settings.xml"/><Relationship Id="rId15" Type="http://schemas.openxmlformats.org/officeDocument/2006/relationships/hyperlink" Target="https://ru.wikipedia.org/wiki/%D0%9D%D0%BE%D1%80%D0%BC%D0%B0_%D0%BE%D0%B1%D1%8F%D0%B7%D0%B0%D1%82%D0%B5%D0%BB%D1%8C%D0%BD%D1%8B%D1%85_%D1%80%D0%B5%D0%B7%D0%B5%D1%80%D0%B2%D0%BE%D0%B2"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hyperlink" Target="http://www.cbr.ru/analytics/Plugins/LombardList.aspx" TargetMode="External"/><Relationship Id="rId10" Type="http://schemas.openxmlformats.org/officeDocument/2006/relationships/hyperlink" Target="https://ru.wikipedia.org/wiki/%D0%A6%D0%B5%D0%BD%D1%82%D1%80%D0%B0%D0%BB%D1%8C%D0%BD%D1%8B%D0%B9_%D0%B1%D0%B0%D0%BD%D0%BA" TargetMode="External"/><Relationship Id="rId19" Type="http://schemas.openxmlformats.org/officeDocument/2006/relationships/image" Target="media/image1.png"/><Relationship Id="rId31" Type="http://schemas.openxmlformats.org/officeDocument/2006/relationships/hyperlink" Target="http://www.cbr.ru/hd_base/InfoBeyondMicexRepo.asp" TargetMode="External"/><Relationship Id="rId4" Type="http://schemas.microsoft.com/office/2007/relationships/stylesWithEffects" Target="stylesWithEffects.xml"/><Relationship Id="rId9" Type="http://schemas.openxmlformats.org/officeDocument/2006/relationships/hyperlink" Target="https://ru.wikipedia.org/wiki/%D0%9F%D0%B0%D1%81%D1%81%D0%B8%D0%B2_(%D0%B1%D1%83%D1%85%D0%B3%D0%B0%D0%BB%D1%82%D0%B5%D1%80%D0%B8%D1%8F)" TargetMode="External"/><Relationship Id="rId14" Type="http://schemas.openxmlformats.org/officeDocument/2006/relationships/hyperlink" Target="https://ru.wikipedia.org/wiki/%D0%9D%D0%BE%D1%80%D0%BC%D0%B0_%D0%BE%D0%B1%D1%8F%D0%B7%D0%B0%D1%82%D0%B5%D0%BB%D1%8C%D0%BD%D1%8B%D1%85_%D1%80%D0%B5%D0%B7%D0%B5%D1%80%D0%B2%D0%BE%D0%B2" TargetMode="External"/><Relationship Id="rId22" Type="http://schemas.openxmlformats.org/officeDocument/2006/relationships/image" Target="media/image4.jpeg"/><Relationship Id="rId27" Type="http://schemas.openxmlformats.org/officeDocument/2006/relationships/image" Target="media/image9.gif"/><Relationship Id="rId30" Type="http://schemas.openxmlformats.org/officeDocument/2006/relationships/hyperlink" Target="http://www.cbr.ru/analytics/Plugins/LombardList.aspx" TargetMode="External"/><Relationship Id="rId35" Type="http://schemas.openxmlformats.org/officeDocument/2006/relationships/hyperlink" Target="http://www.cbr.ru/hd_base/default.aspx?prtid=repo_session"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ru.wikipedia.org/wiki/%D0%9D%D0%BE%D1%80%D0%BC%D0%B0_%D0%BE%D0%B1%D1%8F%D0%B7%D0%B0%D1%82%D0%B5%D0%BB%D1%8C%D0%BD%D1%8B%D1%85_%D1%80%D0%B5%D0%B7%D0%B5%D1%80%D0%B2%D0%BE%D0%B2" TargetMode="External"/><Relationship Id="rId17" Type="http://schemas.openxmlformats.org/officeDocument/2006/relationships/hyperlink" Target="http://cityadspix.com/tsclick-DQCGSXI5-KHEBQKKP?&amp;sa=&amp;sa1=&amp;sa2=&amp;sa3=&amp;sa4=&amp;sa5=&amp;bt=20&amp;pt=9&amp;lt=2&amp;tl=1&amp;sa=&amp;sa1=&amp;sa2=&amp;sa3=&amp;sa4=&amp;sa5=&amp;sa=&amp;sa1=&amp;sa2=&amp;sa3=&amp;sa4=&amp;sa5=&amp;sa=&amp;sa1=&amp;sa2=&amp;sa3=&amp;sa4=&amp;sa5=&amp;im=NDA1NS0wLTE0NDk2NTg4MTctMTUzMjkzMzQ%3D&amp;fid=NDQ1NzUyNzg1&amp;kw=%D0%BA%D1%80%D0%B5%D0%B4%D0%B8%D1%82%D0%BD%D0%BE%D0%B9" TargetMode="External"/><Relationship Id="rId25" Type="http://schemas.openxmlformats.org/officeDocument/2006/relationships/image" Target="media/image7.gif"/><Relationship Id="rId33" Type="http://schemas.openxmlformats.org/officeDocument/2006/relationships/hyperlink" Target="http://www.cbr.ru/hd_base/default.aspx?prtid=dirrepoauctionparam" TargetMode="External"/><Relationship Id="rId38"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54474-3FB8-4996-97C7-4F7501FA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18312</Words>
  <Characters>104379</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Анна</cp:lastModifiedBy>
  <cp:revision>2</cp:revision>
  <cp:lastPrinted>2015-12-07T11:29:00Z</cp:lastPrinted>
  <dcterms:created xsi:type="dcterms:W3CDTF">2016-11-25T05:00:00Z</dcterms:created>
  <dcterms:modified xsi:type="dcterms:W3CDTF">2016-11-25T05:00:00Z</dcterms:modified>
</cp:coreProperties>
</file>