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numbering.xml" ContentType="application/vnd.openxmlformats-officedocument.wordprocessingml.numbering+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Style26"/>
        <w:keepNext/>
        <w:rPr>
          <w:b/>
          <w:b/>
          <w:bCs/>
          <w:caps/>
          <w:sz w:val="24"/>
          <w:szCs w:val="24"/>
        </w:rPr>
      </w:pPr>
      <w:r>
        <w:rPr>
          <w:b/>
          <w:bCs/>
          <w:caps/>
          <w:sz w:val="24"/>
          <w:szCs w:val="24"/>
        </w:rPr>
      </w:r>
    </w:p>
    <w:p>
      <w:pPr>
        <w:pStyle w:val="Style26"/>
        <w:rPr>
          <w:b/>
          <w:b/>
          <w:bCs/>
          <w:caps/>
          <w:sz w:val="24"/>
          <w:szCs w:val="24"/>
        </w:rPr>
      </w:pPr>
      <w:r>
        <w:rPr>
          <w:b/>
          <w:bCs/>
          <w:caps/>
          <w:sz w:val="24"/>
          <w:szCs w:val="24"/>
        </w:rPr>
        <w:t>Министерство образования и науке российской федерации</w:t>
      </w:r>
    </w:p>
    <w:p>
      <w:pPr>
        <w:pStyle w:val="Normal"/>
        <w:keepNext/>
        <w:jc w:val="center"/>
        <w:rPr>
          <w:rFonts w:ascii="Times New Roman" w:hAnsi="Times New Roman" w:cs="Times New Roman"/>
        </w:rPr>
      </w:pPr>
      <w:r>
        <w:rPr>
          <w:rFonts w:cs="Times New Roman" w:ascii="Times New Roman" w:hAnsi="Times New Roman"/>
        </w:rPr>
        <w:t>ЮГОРСКИЙ ГОСУДАРСТВЕННЫЙ УНИВЕРСИТЕТ</w:t>
      </w:r>
    </w:p>
    <w:p>
      <w:pPr>
        <w:pStyle w:val="Normal"/>
        <w:keepNext/>
        <w:jc w:val="center"/>
        <w:rPr>
          <w:rFonts w:ascii="Times New Roman" w:hAnsi="Times New Roman" w:cs="Times New Roman"/>
        </w:rPr>
      </w:pPr>
      <w:r>
        <w:rPr>
          <w:rFonts w:cs="Times New Roman" w:ascii="Times New Roman" w:hAnsi="Times New Roman"/>
        </w:rPr>
        <w:t>ИНСТИТУТ МЕНЕДЖМЕНТА  И  ЭКОНОМИКИ</w:t>
      </w:r>
    </w:p>
    <w:p>
      <w:pPr>
        <w:pStyle w:val="Normal"/>
        <w:keepNext/>
        <w:jc w:val="center"/>
        <w:rPr>
          <w:rFonts w:ascii="Times New Roman" w:hAnsi="Times New Roman" w:cs="Times New Roman"/>
          <w:sz w:val="28"/>
          <w:szCs w:val="28"/>
        </w:rPr>
      </w:pPr>
      <w:r>
        <w:rPr>
          <w:rFonts w:cs="Times New Roman" w:ascii="Times New Roman" w:hAnsi="Times New Roman"/>
          <w:sz w:val="28"/>
          <w:szCs w:val="28"/>
        </w:rPr>
        <w:t>Кафедра «Финансы и банковское дело»»</w:t>
      </w:r>
    </w:p>
    <w:p>
      <w:pPr>
        <w:pStyle w:val="Normal"/>
        <w:keepNext/>
        <w:jc w:val="center"/>
        <w:rPr>
          <w:rFonts w:ascii="Times New Roman" w:hAnsi="Times New Roman" w:cs="Times New Roman"/>
        </w:rPr>
      </w:pPr>
      <w:r>
        <w:rPr>
          <w:rFonts w:cs="Times New Roman" w:ascii="Times New Roman" w:hAnsi="Times New Roman"/>
        </w:rPr>
      </w:r>
    </w:p>
    <w:p>
      <w:pPr>
        <w:pStyle w:val="Normal"/>
        <w:keepNext/>
        <w:jc w:val="center"/>
        <w:rPr>
          <w:rFonts w:ascii="Times New Roman" w:hAnsi="Times New Roman" w:cs="Times New Roman"/>
        </w:rPr>
      </w:pPr>
      <w:r>
        <w:rPr>
          <w:rFonts w:cs="Times New Roman" w:ascii="Times New Roman" w:hAnsi="Times New Roman"/>
        </w:rPr>
      </w:r>
    </w:p>
    <w:p>
      <w:pPr>
        <w:pStyle w:val="Normal"/>
        <w:keepNext/>
        <w:jc w:val="center"/>
        <w:rPr>
          <w:rFonts w:ascii="Times New Roman" w:hAnsi="Times New Roman" w:cs="Times New Roman"/>
        </w:rPr>
      </w:pPr>
      <w:r>
        <w:rPr>
          <w:rFonts w:cs="Times New Roman" w:ascii="Times New Roman" w:hAnsi="Times New Roman"/>
        </w:rPr>
      </w:r>
    </w:p>
    <w:p>
      <w:pPr>
        <w:pStyle w:val="Normal"/>
        <w:keepNext/>
        <w:jc w:val="center"/>
        <w:rPr>
          <w:rFonts w:ascii="Times New Roman" w:hAnsi="Times New Roman" w:cs="Times New Roman"/>
        </w:rPr>
      </w:pPr>
      <w:r>
        <w:rPr>
          <w:rFonts w:cs="Times New Roman" w:ascii="Times New Roman" w:hAnsi="Times New Roman"/>
        </w:rPr>
      </w:r>
    </w:p>
    <w:p>
      <w:pPr>
        <w:pStyle w:val="Normal"/>
        <w:keepNext/>
        <w:jc w:val="center"/>
        <w:rPr>
          <w:rFonts w:ascii="Times New Roman" w:hAnsi="Times New Roman" w:cs="Times New Roman"/>
          <w:b/>
          <w:b/>
          <w:bCs/>
          <w:color w:val="000000"/>
          <w:sz w:val="28"/>
          <w:szCs w:val="28"/>
        </w:rPr>
      </w:pPr>
      <w:r>
        <w:rPr>
          <w:rFonts w:cs="Times New Roman" w:ascii="Times New Roman" w:hAnsi="Times New Roman"/>
          <w:b/>
          <w:bCs/>
          <w:color w:val="000000"/>
          <w:sz w:val="28"/>
          <w:szCs w:val="28"/>
        </w:rPr>
        <w:t xml:space="preserve">Отчет по производственной учетно-финансовой </w:t>
      </w:r>
    </w:p>
    <w:p>
      <w:pPr>
        <w:pStyle w:val="Normal"/>
        <w:keepNext/>
        <w:jc w:val="center"/>
        <w:rPr>
          <w:rFonts w:ascii="Times New Roman" w:hAnsi="Times New Roman" w:cs="Times New Roman"/>
          <w:b/>
          <w:b/>
          <w:bCs/>
          <w:color w:val="000000"/>
          <w:sz w:val="28"/>
          <w:szCs w:val="28"/>
        </w:rPr>
      </w:pPr>
      <w:r>
        <w:rPr>
          <w:rFonts w:cs="Times New Roman" w:ascii="Times New Roman" w:hAnsi="Times New Roman"/>
          <w:b/>
          <w:bCs/>
          <w:color w:val="000000"/>
          <w:sz w:val="28"/>
          <w:szCs w:val="28"/>
        </w:rPr>
        <w:t>практике</w:t>
      </w:r>
    </w:p>
    <w:p>
      <w:pPr>
        <w:pStyle w:val="Normal"/>
        <w:keepNext/>
        <w:jc w:val="center"/>
        <w:rPr>
          <w:rFonts w:ascii="Times New Roman" w:hAnsi="Times New Roman" w:cs="Times New Roman"/>
          <w:color w:val="000000"/>
          <w:spacing w:val="0"/>
          <w:sz w:val="28"/>
          <w:szCs w:val="28"/>
        </w:rPr>
      </w:pPr>
      <w:r>
        <w:rPr>
          <w:rFonts w:cs="Times New Roman" w:ascii="Times New Roman" w:hAnsi="Times New Roman"/>
          <w:color w:val="000000"/>
          <w:spacing w:val="0"/>
          <w:sz w:val="28"/>
          <w:szCs w:val="28"/>
        </w:rPr>
        <w:t>Место прохождения практики</w:t>
      </w:r>
    </w:p>
    <w:p>
      <w:pPr>
        <w:pStyle w:val="Normal"/>
        <w:keepNext/>
        <w:pBdr>
          <w:bottom w:val="single" w:sz="12" w:space="1" w:color="00000A"/>
        </w:pBdr>
        <w:jc w:val="center"/>
        <w:rPr>
          <w:rFonts w:ascii="Times New Roman" w:hAnsi="Times New Roman" w:cs="Times New Roman"/>
          <w:sz w:val="28"/>
          <w:szCs w:val="28"/>
        </w:rPr>
      </w:pPr>
      <w:r>
        <w:rPr>
          <w:rFonts w:cs="Times New Roman" w:ascii="Times New Roman" w:hAnsi="Times New Roman"/>
          <w:sz w:val="28"/>
          <w:szCs w:val="28"/>
        </w:rPr>
        <w:t xml:space="preserve">ООО «Газпром Энерго» Сургутский филиал </w:t>
      </w:r>
    </w:p>
    <w:p>
      <w:pPr>
        <w:pStyle w:val="Normal"/>
        <w:keepNext/>
        <w:shd w:val="clear" w:fill="FFFFFF"/>
        <w:spacing w:lineRule="auto" w:line="360" w:before="0" w:after="0"/>
        <w:jc w:val="both"/>
        <w:rPr/>
      </w:pPr>
      <w:r>
        <w:rPr>
          <w:rFonts w:cs="Times New Roman" w:ascii="Times New Roman" w:hAnsi="Times New Roman"/>
          <w:sz w:val="28"/>
          <w:szCs w:val="28"/>
        </w:rPr>
        <w:t>Выполнил: студент ___</w:t>
      </w:r>
      <w:r>
        <w:rPr>
          <w:rFonts w:cs="Times New Roman" w:ascii="Times New Roman" w:hAnsi="Times New Roman"/>
          <w:sz w:val="28"/>
          <w:szCs w:val="28"/>
          <w:u w:val="single"/>
        </w:rPr>
        <w:t>3</w:t>
      </w:r>
      <w:r>
        <w:rPr>
          <w:rFonts w:cs="Times New Roman" w:ascii="Times New Roman" w:hAnsi="Times New Roman"/>
          <w:sz w:val="28"/>
          <w:szCs w:val="28"/>
        </w:rPr>
        <w:t>__курса___</w:t>
      </w:r>
      <w:r>
        <w:rPr>
          <w:rFonts w:cs="Times New Roman" w:ascii="Times New Roman" w:hAnsi="Times New Roman"/>
          <w:sz w:val="28"/>
          <w:szCs w:val="28"/>
          <w:u w:val="single"/>
        </w:rPr>
        <w:t>4э31</w:t>
      </w:r>
      <w:r>
        <w:rPr>
          <w:rFonts w:cs="Times New Roman" w:ascii="Times New Roman" w:hAnsi="Times New Roman"/>
          <w:sz w:val="28"/>
          <w:szCs w:val="28"/>
        </w:rPr>
        <w:t>__группы</w:t>
      </w:r>
    </w:p>
    <w:p>
      <w:pPr>
        <w:pStyle w:val="Normal"/>
        <w:keepNext/>
        <w:shd w:val="clear" w:fill="FFFFFF"/>
        <w:spacing w:lineRule="auto" w:line="360" w:before="0" w:after="0"/>
        <w:jc w:val="both"/>
        <w:rPr/>
      </w:pPr>
      <w:r>
        <w:rPr>
          <w:rFonts w:cs="Times New Roman" w:ascii="Times New Roman" w:hAnsi="Times New Roman"/>
          <w:sz w:val="28"/>
          <w:szCs w:val="28"/>
          <w:u w:val="single"/>
        </w:rPr>
        <w:t>Кузнецов Сергей Андреевич</w:t>
      </w:r>
      <w:r>
        <w:rPr>
          <w:rFonts w:cs="Times New Roman" w:ascii="Times New Roman" w:hAnsi="Times New Roman"/>
          <w:sz w:val="28"/>
          <w:szCs w:val="28"/>
        </w:rPr>
        <w:t xml:space="preserve">         _______________________</w:t>
      </w:r>
    </w:p>
    <w:p>
      <w:pPr>
        <w:pStyle w:val="Normal"/>
        <w:keepNext/>
        <w:shd w:val="clear" w:fill="FFFFFF"/>
        <w:spacing w:lineRule="auto" w:line="360" w:before="0" w:after="0"/>
        <w:jc w:val="both"/>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(Ф.И.О.)                                         (подпись)</w:t>
      </w:r>
    </w:p>
    <w:p>
      <w:pPr>
        <w:pStyle w:val="Normal"/>
        <w:keepNext/>
        <w:shd w:val="clear" w:fill="FFFFFF"/>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Руководитель практики от университета    </w:t>
      </w:r>
    </w:p>
    <w:p>
      <w:pPr>
        <w:pStyle w:val="Normal"/>
        <w:keepNext/>
        <w:shd w:val="clear" w:fill="FFFFFF"/>
        <w:spacing w:lineRule="auto" w:line="360" w:before="0" w:after="0"/>
        <w:jc w:val="both"/>
        <w:rPr/>
      </w:pPr>
      <w:r>
        <w:rPr>
          <w:rFonts w:cs="Times New Roman" w:ascii="Times New Roman" w:hAnsi="Times New Roman"/>
          <w:sz w:val="28"/>
          <w:szCs w:val="28"/>
        </w:rPr>
        <w:t xml:space="preserve">К.э.н., доцент </w:t>
      </w:r>
      <w:r>
        <w:rPr>
          <w:rFonts w:cs="Times New Roman" w:ascii="Times New Roman" w:hAnsi="Times New Roman"/>
          <w:sz w:val="28"/>
          <w:szCs w:val="28"/>
          <w:u w:val="single"/>
        </w:rPr>
        <w:t>Слободян Малика Лутаевна</w:t>
      </w:r>
      <w:r>
        <w:rPr>
          <w:rFonts w:cs="Times New Roman" w:ascii="Times New Roman" w:hAnsi="Times New Roman"/>
          <w:sz w:val="28"/>
          <w:szCs w:val="28"/>
        </w:rPr>
        <w:t>___________________</w:t>
      </w:r>
    </w:p>
    <w:p>
      <w:pPr>
        <w:pStyle w:val="Normal"/>
        <w:keepNext/>
        <w:shd w:val="clear" w:fill="FFFFFF"/>
        <w:spacing w:lineRule="auto" w:line="360" w:before="0" w:after="0"/>
        <w:jc w:val="both"/>
        <w:rPr/>
      </w:pPr>
      <w:r>
        <w:rPr>
          <w:rFonts w:cs="Times New Roman" w:ascii="Times New Roman" w:hAnsi="Times New Roman"/>
          <w:sz w:val="20"/>
          <w:szCs w:val="20"/>
        </w:rPr>
        <w:t xml:space="preserve">                                                                           </w:t>
      </w:r>
      <w:r>
        <w:rPr>
          <w:rFonts w:cs="Times New Roman" w:ascii="Times New Roman" w:hAnsi="Times New Roman"/>
          <w:sz w:val="20"/>
          <w:szCs w:val="20"/>
        </w:rPr>
        <w:t>(Ф.И.О.)</w:t>
      </w:r>
      <w:r>
        <w:rPr>
          <w:rFonts w:cs="Times New Roman" w:ascii="Times New Roman" w:hAnsi="Times New Roman"/>
        </w:rPr>
        <w:t>( подпись)</w:t>
      </w:r>
    </w:p>
    <w:p>
      <w:pPr>
        <w:pStyle w:val="Normal"/>
        <w:keepNext/>
        <w:shd w:val="clear" w:fill="FFFFFF"/>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Руководитель практики от предприятия</w:t>
      </w:r>
    </w:p>
    <w:p>
      <w:pPr>
        <w:pStyle w:val="Normal"/>
        <w:keepNext/>
        <w:shd w:val="clear" w:fill="FFFFFF"/>
        <w:spacing w:lineRule="exact" w:line="322"/>
        <w:ind w:left="0" w:right="0" w:hanging="0"/>
        <w:rPr/>
      </w:pPr>
      <w:r>
        <w:rPr>
          <w:rFonts w:cs="Times New Roman" w:ascii="Times New Roman" w:hAnsi="Times New Roman"/>
          <w:sz w:val="24"/>
          <w:szCs w:val="24"/>
          <w:u w:val="single"/>
        </w:rPr>
        <w:t>Медведев Александр Николаевич,</w:t>
      </w:r>
      <w:r>
        <w:rPr>
          <w:rFonts w:cs="Times New Roman" w:ascii="Times New Roman" w:hAnsi="Times New Roman"/>
          <w:sz w:val="24"/>
          <w:szCs w:val="24"/>
        </w:rPr>
        <w:t>____________________________</w:t>
      </w:r>
    </w:p>
    <w:p>
      <w:pPr>
        <w:pStyle w:val="Normal"/>
        <w:keepNext/>
        <w:shd w:val="clear" w:fill="FFFFFF"/>
        <w:spacing w:lineRule="exact" w:line="322"/>
        <w:ind w:left="0" w:right="0" w:hanging="0"/>
        <w:rPr>
          <w:rFonts w:ascii="Times New Roman" w:hAnsi="Times New Roman" w:cs="Times New Roman"/>
          <w:sz w:val="24"/>
          <w:szCs w:val="24"/>
          <w:u w:val="single"/>
        </w:rPr>
      </w:pPr>
      <w:r>
        <w:rPr>
          <w:rFonts w:cs="Times New Roman" w:ascii="Times New Roman" w:hAnsi="Times New Roman"/>
          <w:sz w:val="24"/>
          <w:szCs w:val="24"/>
          <w:u w:val="single"/>
        </w:rPr>
        <w:t>Ведущий специалист по корпоративной  ( подпись)</w:t>
      </w:r>
    </w:p>
    <w:p>
      <w:pPr>
        <w:pStyle w:val="Normal"/>
        <w:keepNext/>
        <w:shd w:val="clear" w:fill="FFFFFF"/>
        <w:spacing w:lineRule="exact" w:line="322"/>
        <w:ind w:left="0" w:right="0" w:hanging="0"/>
        <w:rPr>
          <w:rFonts w:ascii="Times New Roman" w:hAnsi="Times New Roman" w:cs="Times New Roman"/>
          <w:sz w:val="24"/>
          <w:szCs w:val="24"/>
          <w:u w:val="single"/>
        </w:rPr>
      </w:pPr>
      <w:r>
        <w:rPr>
          <w:rFonts w:cs="Times New Roman" w:ascii="Times New Roman" w:hAnsi="Times New Roman"/>
          <w:sz w:val="24"/>
          <w:szCs w:val="24"/>
          <w:u w:val="single"/>
        </w:rPr>
        <w:t>защите</w:t>
      </w:r>
    </w:p>
    <w:p>
      <w:pPr>
        <w:pStyle w:val="Normal"/>
        <w:keepNext/>
        <w:shd w:val="clear" w:fill="FFFFFF"/>
        <w:spacing w:lineRule="exact" w:line="322"/>
        <w:ind w:left="0" w:right="0" w:hanging="0"/>
        <w:rPr>
          <w:rFonts w:ascii="Times New Roman" w:hAnsi="Times New Roman" w:cs="Times New Roman"/>
          <w:sz w:val="24"/>
          <w:szCs w:val="24"/>
        </w:rPr>
      </w:pPr>
      <w:r>
        <w:rPr>
          <w:rFonts w:cs="Times New Roman" w:ascii="Times New Roman" w:hAnsi="Times New Roman"/>
          <w:sz w:val="24"/>
          <w:szCs w:val="24"/>
        </w:rPr>
        <w:t xml:space="preserve">(  Ф.И.О. , должность)               </w:t>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pStyle w:val="Normal"/>
        <w:keepNext/>
        <w:shd w:val="clear" w:fill="FFFFFF"/>
        <w:spacing w:lineRule="exact" w:line="322"/>
        <w:ind w:left="0" w:right="0" w:hanging="0"/>
        <w:jc w:val="center"/>
        <w:rPr>
          <w:rFonts w:ascii="Times New Roman" w:hAnsi="Times New Roman" w:cs="Times New Roman"/>
          <w:sz w:val="16"/>
          <w:szCs w:val="16"/>
        </w:rPr>
      </w:pPr>
      <w:r>
        <w:rPr>
          <w:rFonts w:cs="Times New Roman" w:ascii="Times New Roman" w:hAnsi="Times New Roman"/>
          <w:sz w:val="16"/>
          <w:szCs w:val="16"/>
        </w:rPr>
      </w:r>
    </w:p>
    <w:p>
      <w:pPr>
        <w:sectPr>
          <w:type w:val="nextPage"/>
          <w:pgSz w:w="11906" w:h="16838"/>
          <w:pgMar w:left="1418" w:right="567" w:header="0" w:top="567" w:footer="0" w:bottom="828" w:gutter="0"/>
          <w:pgNumType w:start="12" w:fmt="decimal"/>
          <w:formProt w:val="false"/>
          <w:textDirection w:val="lrTb"/>
          <w:docGrid w:type="default" w:linePitch="240" w:charSpace="4294965247"/>
        </w:sectPr>
        <w:pStyle w:val="Normal"/>
        <w:keepNext/>
        <w:shd w:val="clear" w:fill="FFFFFF"/>
        <w:spacing w:lineRule="exact" w:line="322"/>
        <w:ind w:left="0" w:right="0" w:hanging="0"/>
        <w:jc w:val="center"/>
        <w:rPr>
          <w:rFonts w:ascii="Times New Roman" w:hAnsi="Times New Roman" w:cs="Times New Roman"/>
          <w:color w:val="000000"/>
          <w:sz w:val="28"/>
          <w:szCs w:val="28"/>
        </w:rPr>
      </w:pPr>
      <w:r>
        <w:rPr>
          <w:rFonts w:cs="Times New Roman" w:ascii="Times New Roman" w:hAnsi="Times New Roman"/>
          <w:color w:val="000000"/>
          <w:sz w:val="28"/>
          <w:szCs w:val="28"/>
        </w:rPr>
        <w:t>Ханты-Мансийск  – 2016</w:t>
      </w:r>
    </w:p>
    <w:p>
      <w:pPr>
        <w:pStyle w:val="Normal"/>
        <w:spacing w:lineRule="auto" w:line="360" w:before="0" w:after="0"/>
        <w:jc w:val="center"/>
        <w:rPr/>
      </w:pPr>
      <w:r>
        <w:rPr>
          <w:rFonts w:cs="Times New Roman" w:ascii="Times New Roman" w:hAnsi="Times New Roman"/>
          <w:sz w:val="28"/>
          <w:szCs w:val="28"/>
        </w:rPr>
        <w:t xml:space="preserve">Содержание </w:t>
      </w:r>
    </w:p>
    <w:p>
      <w:pPr>
        <w:pStyle w:val="Normal"/>
        <w:spacing w:lineRule="auto" w:line="360" w:before="0" w:after="0"/>
        <w:jc w:val="center"/>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360" w:before="0" w:after="0"/>
        <w:rPr>
          <w:rFonts w:ascii="Times New Roman" w:hAnsi="Times New Roman" w:cs="Times New Roman"/>
          <w:sz w:val="28"/>
          <w:szCs w:val="28"/>
        </w:rPr>
      </w:pPr>
      <w:r>
        <w:rPr/>
      </w:r>
    </w:p>
    <w:p>
      <w:pPr>
        <w:pStyle w:val="Normal"/>
        <w:spacing w:lineRule="auto" w:line="360" w:before="0" w:after="0"/>
        <w:rPr/>
      </w:pPr>
      <w:r>
        <w:rPr>
          <w:rFonts w:cs="Times New Roman" w:ascii="Times New Roman" w:hAnsi="Times New Roman"/>
          <w:sz w:val="28"/>
          <w:szCs w:val="28"/>
        </w:rPr>
        <w:t>Введение……………………………………………………….……………………….</w:t>
      </w:r>
      <w:r>
        <w:rPr>
          <w:rFonts w:cs="Times New Roman" w:ascii="Times New Roman" w:hAnsi="Times New Roman"/>
          <w:sz w:val="28"/>
          <w:szCs w:val="28"/>
        </w:rPr>
        <w:t>3</w:t>
      </w:r>
    </w:p>
    <w:p>
      <w:pPr>
        <w:pStyle w:val="Normal"/>
        <w:spacing w:lineRule="auto" w:line="360" w:before="0" w:after="0"/>
        <w:rPr/>
      </w:pPr>
      <w:r>
        <w:rPr>
          <w:rFonts w:cs="Times New Roman" w:ascii="Times New Roman" w:hAnsi="Times New Roman"/>
          <w:sz w:val="28"/>
          <w:szCs w:val="28"/>
          <w:highlight w:val="white"/>
        </w:rPr>
        <w:t>Глава 1. Общие сведения о месте практики………………………………………….</w:t>
      </w:r>
      <w:r>
        <w:rPr>
          <w:rFonts w:cs="Times New Roman" w:ascii="Times New Roman" w:hAnsi="Times New Roman"/>
          <w:sz w:val="28"/>
          <w:szCs w:val="28"/>
          <w:highlight w:val="white"/>
        </w:rPr>
        <w:t>4</w:t>
      </w:r>
    </w:p>
    <w:p>
      <w:pPr>
        <w:pStyle w:val="ListParagraph"/>
        <w:numPr>
          <w:ilvl w:val="1"/>
          <w:numId w:val="1"/>
        </w:numPr>
        <w:spacing w:lineRule="auto" w:line="360" w:before="0" w:after="0"/>
        <w:rPr/>
      </w:pPr>
      <w:r>
        <w:rPr>
          <w:rFonts w:cs="Times New Roman" w:ascii="Times New Roman" w:hAnsi="Times New Roman"/>
          <w:sz w:val="28"/>
          <w:szCs w:val="28"/>
          <w:highlight w:val="white"/>
        </w:rPr>
        <w:t>Общая характеристика предприятия ООО «Газпром энерго» ……….…………</w:t>
      </w:r>
      <w:r>
        <w:rPr>
          <w:rFonts w:cs="Times New Roman" w:ascii="Times New Roman" w:hAnsi="Times New Roman"/>
          <w:sz w:val="28"/>
          <w:szCs w:val="28"/>
          <w:highlight w:val="white"/>
        </w:rPr>
        <w:t>4</w:t>
      </w:r>
    </w:p>
    <w:p>
      <w:pPr>
        <w:pStyle w:val="ListParagraph"/>
        <w:numPr>
          <w:ilvl w:val="1"/>
          <w:numId w:val="1"/>
        </w:numPr>
        <w:spacing w:lineRule="auto" w:line="360" w:before="0" w:after="0"/>
        <w:rPr/>
      </w:pPr>
      <w:r>
        <w:rPr>
          <w:rFonts w:cs="Times New Roman" w:ascii="Times New Roman" w:hAnsi="Times New Roman"/>
          <w:sz w:val="28"/>
          <w:szCs w:val="28"/>
          <w:highlight w:val="white"/>
        </w:rPr>
        <w:t>Организационная структура предприятия ………………………………...……..</w:t>
      </w:r>
      <w:r>
        <w:rPr>
          <w:rFonts w:cs="Times New Roman" w:ascii="Times New Roman" w:hAnsi="Times New Roman"/>
          <w:sz w:val="28"/>
          <w:szCs w:val="28"/>
          <w:highlight w:val="white"/>
        </w:rPr>
        <w:t>6</w:t>
      </w:r>
    </w:p>
    <w:p>
      <w:pPr>
        <w:pStyle w:val="ListParagraph"/>
        <w:numPr>
          <w:ilvl w:val="1"/>
          <w:numId w:val="1"/>
        </w:numPr>
        <w:spacing w:lineRule="auto" w:line="360" w:before="0" w:after="0"/>
        <w:rPr/>
      </w:pPr>
      <w:r>
        <w:rPr>
          <w:rFonts w:cs="Times New Roman" w:ascii="Times New Roman" w:hAnsi="Times New Roman"/>
          <w:sz w:val="28"/>
          <w:szCs w:val="28"/>
          <w:highlight w:val="white"/>
        </w:rPr>
        <w:t>Учетная политика ООО «Газпром энерго» в целях бухгалтерского учета ….....</w:t>
      </w:r>
      <w:r>
        <w:rPr>
          <w:rFonts w:cs="Times New Roman" w:ascii="Times New Roman" w:hAnsi="Times New Roman"/>
          <w:sz w:val="28"/>
          <w:szCs w:val="28"/>
          <w:highlight w:val="white"/>
        </w:rPr>
        <w:t>9</w:t>
      </w:r>
    </w:p>
    <w:p>
      <w:pPr>
        <w:pStyle w:val="Normal"/>
        <w:spacing w:lineRule="auto" w:line="360" w:before="0" w:after="0"/>
        <w:rPr/>
      </w:pPr>
      <w:r>
        <w:rPr>
          <w:rFonts w:cs="Times New Roman" w:ascii="Times New Roman" w:hAnsi="Times New Roman"/>
          <w:sz w:val="28"/>
          <w:szCs w:val="28"/>
          <w:highlight w:val="white"/>
        </w:rPr>
        <w:t>Глава. 2.  Экономическая характеристика………………………………………..….</w:t>
      </w:r>
      <w:r>
        <w:rPr>
          <w:rFonts w:cs="Times New Roman" w:ascii="Times New Roman" w:hAnsi="Times New Roman"/>
          <w:sz w:val="28"/>
          <w:szCs w:val="28"/>
          <w:highlight w:val="white"/>
        </w:rPr>
        <w:t>12</w:t>
      </w:r>
    </w:p>
    <w:p>
      <w:pPr>
        <w:pStyle w:val="Normal"/>
        <w:spacing w:lineRule="auto" w:line="360" w:before="0" w:after="0"/>
        <w:rPr/>
      </w:pPr>
      <w:r>
        <w:rPr>
          <w:rFonts w:cs="Times New Roman" w:ascii="Times New Roman" w:hAnsi="Times New Roman"/>
          <w:sz w:val="28"/>
          <w:szCs w:val="28"/>
          <w:highlight w:val="white"/>
        </w:rPr>
        <w:t>2.1 Исполнение бюджета доходов и расходов филиала на 2015 год……………….</w:t>
      </w:r>
      <w:r>
        <w:rPr>
          <w:rFonts w:cs="Times New Roman" w:ascii="Times New Roman" w:hAnsi="Times New Roman"/>
          <w:sz w:val="28"/>
          <w:szCs w:val="28"/>
          <w:highlight w:val="white"/>
        </w:rPr>
        <w:t>12</w:t>
      </w:r>
    </w:p>
    <w:p>
      <w:pPr>
        <w:pStyle w:val="Normal"/>
        <w:spacing w:lineRule="auto" w:line="360" w:before="0" w:after="0"/>
        <w:rPr/>
      </w:pPr>
      <w:r>
        <w:rPr>
          <w:rFonts w:cs="Times New Roman" w:ascii="Times New Roman" w:hAnsi="Times New Roman"/>
          <w:sz w:val="28"/>
          <w:szCs w:val="28"/>
          <w:highlight w:val="white"/>
        </w:rPr>
        <w:t>2.2  Отраслевые риски………………………………………………………………...</w:t>
      </w:r>
      <w:r>
        <w:rPr>
          <w:rFonts w:cs="Times New Roman" w:ascii="Times New Roman" w:hAnsi="Times New Roman"/>
          <w:sz w:val="28"/>
          <w:szCs w:val="28"/>
          <w:highlight w:val="white"/>
        </w:rPr>
        <w:t>15</w:t>
      </w:r>
    </w:p>
    <w:p>
      <w:pPr>
        <w:pStyle w:val="Normal"/>
        <w:spacing w:lineRule="auto" w:line="360" w:before="0" w:after="0"/>
        <w:rPr/>
      </w:pPr>
      <w:r>
        <w:rPr>
          <w:rFonts w:cs="Times New Roman" w:ascii="Times New Roman" w:hAnsi="Times New Roman"/>
          <w:sz w:val="28"/>
          <w:szCs w:val="28"/>
          <w:highlight w:val="white"/>
        </w:rPr>
        <w:t xml:space="preserve">2.3 </w:t>
      </w:r>
      <w:r>
        <w:rPr>
          <w:rFonts w:cs="Times New Roman" w:ascii="Times New Roman" w:hAnsi="Times New Roman"/>
          <w:color w:val="000000"/>
          <w:sz w:val="28"/>
          <w:szCs w:val="28"/>
          <w:highlight w:val="white"/>
        </w:rPr>
        <w:t>Страховые риски…………………………………………………………………..</w:t>
      </w:r>
      <w:r>
        <w:rPr>
          <w:rFonts w:cs="Times New Roman" w:ascii="Times New Roman" w:hAnsi="Times New Roman"/>
          <w:color w:val="000000"/>
          <w:sz w:val="28"/>
          <w:szCs w:val="28"/>
          <w:highlight w:val="white"/>
        </w:rPr>
        <w:t>16</w:t>
      </w:r>
    </w:p>
    <w:p>
      <w:pPr>
        <w:pStyle w:val="Normal"/>
        <w:spacing w:lineRule="auto" w:line="360" w:before="0" w:after="0"/>
        <w:rPr/>
      </w:pPr>
      <w:r>
        <w:rPr>
          <w:rFonts w:cs="Times New Roman" w:ascii="Times New Roman" w:hAnsi="Times New Roman"/>
          <w:color w:val="000000"/>
          <w:sz w:val="28"/>
          <w:szCs w:val="28"/>
          <w:highlight w:val="white"/>
        </w:rPr>
        <w:t>2.4 Рынки сбыта продукции (работ, услуг)………………………………………….</w:t>
      </w:r>
      <w:r>
        <w:rPr>
          <w:rFonts w:cs="Times New Roman" w:ascii="Times New Roman" w:hAnsi="Times New Roman"/>
          <w:color w:val="000000"/>
          <w:sz w:val="28"/>
          <w:szCs w:val="28"/>
          <w:highlight w:val="white"/>
        </w:rPr>
        <w:t>17</w:t>
      </w:r>
    </w:p>
    <w:p>
      <w:pPr>
        <w:pStyle w:val="Normal"/>
        <w:spacing w:lineRule="auto" w:line="360" w:before="0" w:after="0"/>
        <w:rPr/>
      </w:pPr>
      <w:r>
        <w:rPr>
          <w:rFonts w:cs="Times New Roman" w:ascii="Times New Roman" w:hAnsi="Times New Roman"/>
          <w:sz w:val="28"/>
          <w:szCs w:val="28"/>
          <w:highlight w:val="white"/>
        </w:rPr>
        <w:t xml:space="preserve">2.5 </w:t>
      </w:r>
      <w:r>
        <w:rPr>
          <w:rFonts w:cs="Times New Roman" w:ascii="Times New Roman" w:hAnsi="Times New Roman"/>
          <w:color w:val="000000"/>
          <w:sz w:val="28"/>
          <w:szCs w:val="28"/>
          <w:highlight w:val="white"/>
        </w:rPr>
        <w:t>Финансовые риски………………………………………….……………………..</w:t>
      </w:r>
      <w:r>
        <w:rPr>
          <w:rFonts w:cs="Times New Roman" w:ascii="Times New Roman" w:hAnsi="Times New Roman"/>
          <w:color w:val="000000"/>
          <w:sz w:val="28"/>
          <w:szCs w:val="28"/>
          <w:highlight w:val="white"/>
        </w:rPr>
        <w:t>20</w:t>
      </w:r>
    </w:p>
    <w:p>
      <w:pPr>
        <w:pStyle w:val="Normal"/>
        <w:spacing w:lineRule="auto" w:line="360" w:before="0" w:after="0"/>
        <w:rPr/>
      </w:pPr>
      <w:r>
        <w:rPr>
          <w:rFonts w:cs="Times New Roman" w:ascii="Times New Roman" w:hAnsi="Times New Roman"/>
          <w:color w:val="000000"/>
          <w:sz w:val="28"/>
          <w:szCs w:val="28"/>
          <w:highlight w:val="white"/>
        </w:rPr>
        <w:t>2.6 Анализ финансовых результатов…………….…………………………………...</w:t>
      </w:r>
      <w:r>
        <w:rPr>
          <w:rFonts w:cs="Times New Roman" w:ascii="Times New Roman" w:hAnsi="Times New Roman"/>
          <w:color w:val="000000"/>
          <w:sz w:val="28"/>
          <w:szCs w:val="28"/>
          <w:highlight w:val="white"/>
        </w:rPr>
        <w:t>22</w:t>
      </w:r>
    </w:p>
    <w:p>
      <w:pPr>
        <w:pStyle w:val="Normal"/>
        <w:spacing w:lineRule="auto" w:line="360" w:before="0" w:after="0"/>
        <w:rPr/>
      </w:pPr>
      <w:r>
        <w:rPr>
          <w:rFonts w:cs="Times New Roman" w:ascii="Times New Roman" w:hAnsi="Times New Roman"/>
          <w:sz w:val="28"/>
          <w:szCs w:val="28"/>
          <w:highlight w:val="white"/>
        </w:rPr>
        <w:t xml:space="preserve">Глава 3. </w:t>
      </w:r>
      <w:r>
        <w:rPr>
          <w:rFonts w:cs="Times New Roman" w:ascii="Times New Roman" w:hAnsi="Times New Roman"/>
          <w:color w:val="000000"/>
          <w:sz w:val="28"/>
          <w:szCs w:val="28"/>
          <w:highlight w:val="white"/>
        </w:rPr>
        <w:t>Индивидуальное задание……………………………………………………</w:t>
      </w:r>
      <w:r>
        <w:rPr>
          <w:rFonts w:cs="Times New Roman" w:ascii="Times New Roman" w:hAnsi="Times New Roman"/>
          <w:color w:val="000000"/>
          <w:sz w:val="28"/>
          <w:szCs w:val="28"/>
          <w:highlight w:val="white"/>
        </w:rPr>
        <w:t>27</w:t>
      </w:r>
    </w:p>
    <w:p>
      <w:pPr>
        <w:pStyle w:val="Normal"/>
        <w:spacing w:lineRule="auto" w:line="360" w:before="0" w:after="0"/>
        <w:rPr/>
      </w:pPr>
      <w:r>
        <w:rPr>
          <w:rFonts w:cs="Times New Roman" w:ascii="Times New Roman" w:hAnsi="Times New Roman"/>
          <w:color w:val="000000"/>
          <w:sz w:val="28"/>
          <w:szCs w:val="28"/>
          <w:highlight w:val="white"/>
        </w:rPr>
        <w:t>Заключение…………………………………………………………………………….</w:t>
      </w:r>
      <w:r>
        <w:rPr>
          <w:rFonts w:cs="Times New Roman" w:ascii="Times New Roman" w:hAnsi="Times New Roman"/>
          <w:color w:val="000000"/>
          <w:sz w:val="28"/>
          <w:szCs w:val="28"/>
          <w:highlight w:val="white"/>
        </w:rPr>
        <w:t>32</w:t>
      </w:r>
    </w:p>
    <w:p>
      <w:pPr>
        <w:pStyle w:val="Normal"/>
        <w:spacing w:lineRule="auto" w:line="360" w:before="0" w:after="0"/>
        <w:rPr/>
      </w:pPr>
      <w:bookmarkStart w:id="0" w:name="__DdeLink__1714_227398059"/>
      <w:bookmarkEnd w:id="0"/>
      <w:r>
        <w:rPr>
          <w:rFonts w:cs="Times New Roman" w:ascii="Times New Roman" w:hAnsi="Times New Roman"/>
          <w:sz w:val="28"/>
          <w:szCs w:val="28"/>
          <w:highlight w:val="white"/>
        </w:rPr>
        <w:t>Список используемой литературы…………………………………………………...</w:t>
      </w:r>
      <w:r>
        <w:rPr>
          <w:rFonts w:cs="Times New Roman" w:ascii="Times New Roman" w:hAnsi="Times New Roman"/>
          <w:sz w:val="28"/>
          <w:szCs w:val="28"/>
          <w:highlight w:val="white"/>
        </w:rPr>
        <w:t>34</w:t>
      </w:r>
    </w:p>
    <w:p>
      <w:pPr>
        <w:pStyle w:val="Normal"/>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tab/>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ind w:left="0" w:right="57" w:hanging="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ind w:left="0" w:right="57" w:hanging="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ind w:left="0" w:right="57" w:hanging="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ind w:left="0" w:right="57" w:hanging="0"/>
        <w:jc w:val="center"/>
        <w:rPr/>
      </w:pPr>
      <w:r>
        <w:rPr>
          <w:rFonts w:cs="Times New Roman" w:ascii="Times New Roman" w:hAnsi="Times New Roman"/>
          <w:sz w:val="28"/>
          <w:szCs w:val="28"/>
        </w:rPr>
        <w:t>Введение</w:t>
      </w:r>
    </w:p>
    <w:p>
      <w:pPr>
        <w:pStyle w:val="Normal"/>
        <w:tabs>
          <w:tab w:val="left" w:pos="2490" w:leader="none"/>
        </w:tabs>
        <w:ind w:left="0" w:right="57" w:hanging="0"/>
        <w:jc w:val="center"/>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ind w:left="113" w:right="57" w:firstLine="680"/>
        <w:jc w:val="both"/>
        <w:rPr/>
      </w:pPr>
      <w:r>
        <w:rPr>
          <w:rFonts w:cs="Times New Roman" w:ascii="Times New Roman" w:hAnsi="Times New Roman"/>
          <w:sz w:val="28"/>
          <w:szCs w:val="28"/>
        </w:rPr>
        <w:t xml:space="preserve">Целью производственной практики является закрепление, расширение, углубление и систематизация знаний, полученных в теоретическом курсе, и приобретение практических навыков применения нормативных материалов по организации  учета и методам ведения учета на предприятии с применением современных компьютерных программ. </w:t>
      </w:r>
    </w:p>
    <w:p>
      <w:pPr>
        <w:pStyle w:val="Normal"/>
        <w:tabs>
          <w:tab w:val="left" w:pos="2490" w:leader="none"/>
        </w:tabs>
        <w:spacing w:lineRule="auto" w:line="360" w:before="0" w:after="0"/>
        <w:ind w:left="113" w:right="57" w:firstLine="680"/>
        <w:jc w:val="both"/>
        <w:rPr/>
      </w:pPr>
      <w:r>
        <w:rPr>
          <w:rFonts w:cs="Times New Roman" w:ascii="Times New Roman" w:hAnsi="Times New Roman"/>
          <w:sz w:val="28"/>
          <w:szCs w:val="28"/>
        </w:rPr>
        <w:t>Задачами практики являются:</w:t>
      </w:r>
    </w:p>
    <w:p>
      <w:pPr>
        <w:pStyle w:val="Normal"/>
        <w:numPr>
          <w:ilvl w:val="0"/>
          <w:numId w:val="2"/>
        </w:numPr>
        <w:tabs>
          <w:tab w:val="left" w:pos="2490" w:leader="none"/>
        </w:tabs>
        <w:spacing w:lineRule="auto" w:line="360" w:before="0" w:after="0"/>
        <w:ind w:left="1080" w:right="57" w:hanging="360"/>
        <w:jc w:val="both"/>
        <w:rPr>
          <w:rFonts w:ascii="Times New Roman" w:hAnsi="Times New Roman" w:cs="Times New Roman"/>
          <w:sz w:val="28"/>
          <w:szCs w:val="28"/>
        </w:rPr>
      </w:pPr>
      <w:r>
        <w:rPr>
          <w:rFonts w:cs="Times New Roman" w:ascii="Times New Roman" w:hAnsi="Times New Roman"/>
          <w:sz w:val="28"/>
          <w:szCs w:val="28"/>
        </w:rPr>
        <w:t>расширение, систематизация и закрепление теоретических знаний по изученным экономическим и учетным дисциплинам;</w:t>
      </w:r>
    </w:p>
    <w:p>
      <w:pPr>
        <w:pStyle w:val="Normal"/>
        <w:numPr>
          <w:ilvl w:val="0"/>
          <w:numId w:val="2"/>
        </w:numPr>
        <w:tabs>
          <w:tab w:val="left" w:pos="2490" w:leader="none"/>
        </w:tabs>
        <w:spacing w:lineRule="auto" w:line="360" w:before="0" w:after="0"/>
        <w:ind w:left="1080" w:right="57" w:hanging="360"/>
        <w:jc w:val="both"/>
        <w:rPr>
          <w:rFonts w:ascii="Times New Roman" w:hAnsi="Times New Roman" w:cs="Times New Roman"/>
          <w:sz w:val="28"/>
          <w:szCs w:val="28"/>
        </w:rPr>
      </w:pPr>
      <w:r>
        <w:rPr>
          <w:rFonts w:cs="Times New Roman" w:ascii="Times New Roman" w:hAnsi="Times New Roman"/>
          <w:sz w:val="28"/>
          <w:szCs w:val="28"/>
        </w:rPr>
        <w:t>приобретение первичных навыков ведения учета (по объектам) в программных комплексах по бухгалтерскому учету;</w:t>
      </w:r>
    </w:p>
    <w:p>
      <w:pPr>
        <w:pStyle w:val="Normal"/>
        <w:numPr>
          <w:ilvl w:val="0"/>
          <w:numId w:val="2"/>
        </w:numPr>
        <w:tabs>
          <w:tab w:val="left" w:pos="2490" w:leader="none"/>
        </w:tabs>
        <w:spacing w:lineRule="auto" w:line="360" w:before="0" w:after="0"/>
        <w:ind w:left="1080" w:right="57" w:hanging="360"/>
        <w:jc w:val="both"/>
        <w:rPr>
          <w:rFonts w:ascii="Times New Roman" w:hAnsi="Times New Roman" w:cs="Times New Roman"/>
          <w:sz w:val="28"/>
          <w:szCs w:val="28"/>
        </w:rPr>
      </w:pPr>
      <w:r>
        <w:rPr>
          <w:rFonts w:cs="Times New Roman" w:ascii="Times New Roman" w:hAnsi="Times New Roman"/>
          <w:sz w:val="28"/>
          <w:szCs w:val="28"/>
        </w:rPr>
        <w:t>закрепление знаний по оформлению бухгалтерских первичных документов в конкретном предприятии и формированию сводных (накопительных) регистров;</w:t>
      </w:r>
    </w:p>
    <w:p>
      <w:pPr>
        <w:pStyle w:val="Normal"/>
        <w:numPr>
          <w:ilvl w:val="0"/>
          <w:numId w:val="2"/>
        </w:numPr>
        <w:tabs>
          <w:tab w:val="left" w:pos="2490" w:leader="none"/>
        </w:tabs>
        <w:spacing w:lineRule="auto" w:line="360" w:before="0" w:after="0"/>
        <w:ind w:left="1080" w:right="57" w:hanging="360"/>
        <w:jc w:val="both"/>
        <w:rPr>
          <w:rFonts w:ascii="Times New Roman" w:hAnsi="Times New Roman" w:cs="Times New Roman"/>
          <w:sz w:val="28"/>
          <w:szCs w:val="28"/>
        </w:rPr>
      </w:pPr>
      <w:r>
        <w:rPr>
          <w:rFonts w:cs="Times New Roman" w:ascii="Times New Roman" w:hAnsi="Times New Roman"/>
          <w:sz w:val="28"/>
          <w:szCs w:val="28"/>
        </w:rPr>
        <w:t>изучение деятельности конкретной организации, знакомство с его основными экономическими показателями и применение теоретических знаний по экономическому анализу при анализе данных показателей.</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Объектом исследования является предприятие ООО «Газпром энерго» Сургутский филиал.</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Информационной базой для проведения анализа является бухгалтерская отчетность и другие материалы, которой были собраны в результате прохождения практики.</w:t>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both"/>
        <w:rPr>
          <w:rFonts w:cs="Times New Roman"/>
        </w:rPr>
      </w:pPr>
      <w:r>
        <w:rPr>
          <w:rFonts w:cs="Times New Roman"/>
        </w:rPr>
      </w:r>
    </w:p>
    <w:p>
      <w:pPr>
        <w:pStyle w:val="Normal"/>
        <w:spacing w:lineRule="auto" w:line="360" w:before="0" w:after="0"/>
        <w:jc w:val="center"/>
        <w:rPr/>
      </w:pPr>
      <w:r>
        <w:rPr>
          <w:rFonts w:cs="Times New Roman" w:ascii="Times New Roman" w:hAnsi="Times New Roman"/>
          <w:sz w:val="28"/>
          <w:szCs w:val="28"/>
          <w:highlight w:val="white"/>
        </w:rPr>
        <w:t>Глава 1. Общие сведения о месте практики</w:t>
      </w:r>
    </w:p>
    <w:p>
      <w:pPr>
        <w:pStyle w:val="ListParagraph"/>
        <w:spacing w:lineRule="auto" w:line="360" w:before="0" w:after="0"/>
        <w:ind w:left="720" w:right="0" w:hanging="0"/>
        <w:jc w:val="center"/>
        <w:rPr>
          <w:rFonts w:ascii="Times New Roman" w:hAnsi="Times New Roman" w:cs="Times New Roman"/>
          <w:sz w:val="28"/>
          <w:szCs w:val="28"/>
        </w:rPr>
      </w:pPr>
      <w:r>
        <w:rPr>
          <w:rFonts w:cs="Times New Roman" w:ascii="Times New Roman" w:hAnsi="Times New Roman"/>
          <w:sz w:val="28"/>
          <w:szCs w:val="28"/>
        </w:rPr>
        <w:t>1.1 Общая характеристика предприятия ООО «Газпром энерго»</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highlight w:val="white"/>
        </w:rPr>
        <w:t xml:space="preserve">  </w:t>
      </w:r>
      <w:r>
        <w:rPr>
          <w:rFonts w:cs="Times New Roman" w:ascii="Times New Roman" w:hAnsi="Times New Roman"/>
          <w:sz w:val="28"/>
          <w:szCs w:val="28"/>
          <w:highlight w:val="white"/>
        </w:rPr>
        <w:t>ООО «Газпром энерго» создано в 1998 году с 20-процентной долей ПАО «Газпром» в уставном капитале. В то время основной задачей предприятия было формирование групп инвесторов, заинтересованных в развитии совместных с «Газпромом» энергетических проектов. В 2003 году ОАО «Газпром» полностью выкупило доли других участников, превратив «Газпром энерго» в 100-процентную дочернюю компанию. ООО «Газпром энерго» осуществляет свою деятельность в соответствии со «Стратегией ОАО „Газпром“ в электроэнергетике», принятой в 2007 году, и является единой электросетевой компанией, обеспечивающей передачу электрической энергии. В настоящее время ООО «Газпром энерго» эксплуатирует энергетическое оборудование объектов Единой системы газоснабжения и дочерних компаний ПАО «Газпром» и оказывает потребителям полный спектр услуг по энергоснабжению, включая передачу электрической энергии, производство, передачу и распределение тепловой энергии, водоснабжение и водоотведение.</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 xml:space="preserve">      </w:t>
      </w:r>
      <w:r>
        <w:rPr>
          <w:rFonts w:cs="Times New Roman" w:ascii="Times New Roman" w:hAnsi="Times New Roman"/>
          <w:sz w:val="28"/>
          <w:szCs w:val="28"/>
          <w:highlight w:val="white"/>
        </w:rPr>
        <w:t>ООО «Газпром энерго», как специализированная энергетическая дочерняя компания ПАО «Газпром», осуществляет свою деятельность силами 11 филиалов в 43 субъектах Российской Федерации. В компании работает более 5252 человек. Более 1,5 тыс. из них — молодые специалисты в возрасте до 35 лет.</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Территориальное местонахождение Филиала – г. Сургут Ханты-Мансийского автономного округа – Югра.</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 xml:space="preserve">       </w:t>
      </w:r>
      <w:r>
        <w:rPr>
          <w:rFonts w:cs="Times New Roman" w:ascii="Times New Roman" w:hAnsi="Times New Roman"/>
          <w:sz w:val="28"/>
          <w:szCs w:val="28"/>
          <w:highlight w:val="white"/>
        </w:rPr>
        <w:t>Структурные единицы Филиала располагаются в четырех субъектах Российской Федерации (ЯНАО, ХМАО, Тюменская и Свердловская области), отдалены от основного месторасположения Филиала и друг от друга.</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Место создания цехов и участков определялось географическим расположением энергетического оборудования, переданного Филиалу на обслуживание.</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Среднесписочная численность, доведенная Сургутскому филиалу на 2015 год – 486, сложившаяся на конец – года 477 человека.</w:t>
      </w:r>
    </w:p>
    <w:p>
      <w:pPr>
        <w:sectPr>
          <w:footerReference w:type="default" r:id="rId2"/>
          <w:type w:val="nextPage"/>
          <w:pgSz w:w="11906" w:h="16838"/>
          <w:pgMar w:left="1418" w:right="567" w:header="0" w:top="567" w:footer="828" w:bottom="1342" w:gutter="0"/>
          <w:pgNumType w:fmt="decimal"/>
          <w:formProt w:val="false"/>
          <w:textDirection w:val="lrTb"/>
          <w:docGrid w:type="default" w:linePitch="360" w:charSpace="4294965247"/>
        </w:sect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highlight w:val="white"/>
        </w:rPr>
        <w:t xml:space="preserve">     </w:t>
      </w:r>
      <w:r>
        <w:rPr>
          <w:rFonts w:cs="Times New Roman" w:ascii="Times New Roman" w:hAnsi="Times New Roman"/>
          <w:sz w:val="28"/>
          <w:szCs w:val="28"/>
          <w:highlight w:val="white"/>
        </w:rPr>
        <w:t>Штатная численность филиала на 31.12.2015 года составила 485 человек, из них 126 ИТР и 359 рабочих, при расчетной нормативной -490,7 человека, из них 121,65 ИТР и 369,05 рабочих.</w:t>
      </w:r>
    </w:p>
    <w:p>
      <w:pPr>
        <w:sectPr>
          <w:footerReference w:type="default" r:id="rId4"/>
          <w:type w:val="nextPage"/>
          <w:pgSz w:orient="landscape" w:w="16838" w:h="11906"/>
          <w:pgMar w:left="567" w:right="828" w:header="0" w:top="567" w:footer="0" w:bottom="1418" w:gutter="0"/>
          <w:pgNumType w:fmt="decimal"/>
          <w:formProt w:val="false"/>
          <w:textDirection w:val="lrTb"/>
          <w:docGrid w:type="default" w:linePitch="360" w:charSpace="4294965247"/>
        </w:sectPr>
        <w:pStyle w:val="Normal"/>
        <w:tabs>
          <w:tab w:val="left" w:pos="2490" w:leader="none"/>
        </w:tabs>
        <w:spacing w:lineRule="auto" w:line="360"/>
        <w:ind w:left="0" w:right="850" w:hanging="0"/>
        <w:jc w:val="center"/>
        <w:rPr/>
      </w:pPr>
      <w:r>
        <w:rPr>
          <w:rFonts w:cs="Times New Roman" w:ascii="Times New Roman" w:hAnsi="Times New Roman"/>
          <w:sz w:val="28"/>
          <w:szCs w:val="28"/>
        </w:rPr>
        <w:t>1.2 Организационн</w:t>
      </w:r>
      <w:r>
        <w:drawing>
          <wp:anchor behindDoc="1" distT="0" distB="0" distL="0" distR="0" simplePos="0" locked="0" layoutInCell="1" allowOverlap="1" relativeHeight="2">
            <wp:simplePos x="0" y="0"/>
            <wp:positionH relativeFrom="column">
              <wp:posOffset>63500</wp:posOffset>
            </wp:positionH>
            <wp:positionV relativeFrom="paragraph">
              <wp:posOffset>187325</wp:posOffset>
            </wp:positionV>
            <wp:extent cx="9349105" cy="6152515"/>
            <wp:effectExtent l="0" t="0" r="0" b="0"/>
            <wp:wrapNone/>
            <wp:docPr id="1" name="Рисунок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6" descr=""/>
                    <pic:cNvPicPr>
                      <a:picLocks noChangeAspect="1" noChangeArrowheads="1"/>
                    </pic:cNvPicPr>
                  </pic:nvPicPr>
                  <pic:blipFill>
                    <a:blip r:embed="rId3"/>
                    <a:stretch>
                      <a:fillRect/>
                    </a:stretch>
                  </pic:blipFill>
                  <pic:spPr bwMode="auto">
                    <a:xfrm>
                      <a:off x="0" y="0"/>
                      <a:ext cx="9349105" cy="6152515"/>
                    </a:xfrm>
                    <a:prstGeom prst="rect">
                      <a:avLst/>
                    </a:prstGeom>
                  </pic:spPr>
                </pic:pic>
              </a:graphicData>
            </a:graphic>
          </wp:anchor>
        </w:drawing>
      </w:r>
      <w:r>
        <w:rPr>
          <w:rFonts w:cs="Times New Roman" w:ascii="Times New Roman" w:hAnsi="Times New Roman"/>
          <w:sz w:val="28"/>
          <w:szCs w:val="28"/>
        </w:rPr>
        <w:t>а</w:t>
      </w:r>
      <w:r>
        <w:rPr>
          <w:rFonts w:cs="Times New Roman" w:ascii="Times New Roman" w:hAnsi="Times New Roman"/>
          <w:sz w:val="28"/>
          <w:szCs w:val="28"/>
        </w:rPr>
        <w:t>я структура управления предприятия</w:t>
      </w:r>
    </w:p>
    <w:p>
      <w:pPr>
        <w:pStyle w:val="Normal"/>
        <w:spacing w:lineRule="auto" w:line="360"/>
        <w:jc w:val="both"/>
        <w:rPr>
          <w:rFonts w:ascii="Times New Roman" w:hAnsi="Times New Roman"/>
          <w:b w:val="false"/>
          <w:b w:val="false"/>
          <w:i w:val="false"/>
          <w:i w:val="false"/>
          <w:color w:val="000000"/>
          <w:sz w:val="28"/>
          <w:szCs w:val="28"/>
          <w:highlight w:val="white"/>
        </w:rPr>
      </w:pPr>
      <w:r>
        <w:rPr>
          <w:rFonts w:ascii="Times New Roman" w:hAnsi="Times New Roman"/>
          <w:b w:val="false"/>
          <w:i w:val="false"/>
          <w:color w:val="000000"/>
          <w:sz w:val="28"/>
          <w:szCs w:val="28"/>
          <w:highlight w:val="white"/>
        </w:rPr>
        <w:t xml:space="preserve">Таблица 1. Структура и динамика численности персонала </w:t>
      </w:r>
    </w:p>
    <w:tbl>
      <w:tblPr>
        <w:tblW w:w="9929" w:type="dxa"/>
        <w:jc w:val="left"/>
        <w:tblInd w:w="21" w:type="dxa"/>
        <w:tblBorders>
          <w:top w:val="single" w:sz="2" w:space="0" w:color="000001"/>
          <w:left w:val="single" w:sz="2" w:space="0" w:color="000001"/>
          <w:bottom w:val="single" w:sz="2" w:space="0" w:color="000001"/>
          <w:insideH w:val="single" w:sz="2" w:space="0" w:color="000001"/>
        </w:tblBorders>
        <w:tblCellMar>
          <w:top w:w="28" w:type="dxa"/>
          <w:left w:w="18" w:type="dxa"/>
          <w:bottom w:w="28" w:type="dxa"/>
          <w:right w:w="28" w:type="dxa"/>
        </w:tblCellMar>
      </w:tblPr>
      <w:tblGrid>
        <w:gridCol w:w="2321"/>
        <w:gridCol w:w="1196"/>
        <w:gridCol w:w="964"/>
        <w:gridCol w:w="967"/>
        <w:gridCol w:w="1929"/>
        <w:gridCol w:w="2551"/>
      </w:tblGrid>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Категории персонала</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2012 г., чел.</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2013 г., чел.</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2014 г., чел.</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Структура, %</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Динамика%</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2012 год</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2013 год</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 Руководители</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562</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486</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482</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14,32</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14,0</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 Специалисты</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747</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727</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730</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19,03</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21,0</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3. Служащие</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250</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179</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167</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6,37</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5,17</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 Рабочие</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2366</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2070</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2065</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60,28</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59,8</w:t>
            </w:r>
          </w:p>
        </w:tc>
      </w:tr>
      <w:tr>
        <w:trPr/>
        <w:tc>
          <w:tcPr>
            <w:tcW w:w="2321"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Всего ППП</w:t>
            </w:r>
          </w:p>
        </w:tc>
        <w:tc>
          <w:tcPr>
            <w:tcW w:w="1196"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3925</w:t>
            </w:r>
          </w:p>
        </w:tc>
        <w:tc>
          <w:tcPr>
            <w:tcW w:w="964"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3462</w:t>
            </w:r>
          </w:p>
        </w:tc>
        <w:tc>
          <w:tcPr>
            <w:tcW w:w="967"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3444</w:t>
            </w:r>
          </w:p>
        </w:tc>
        <w:tc>
          <w:tcPr>
            <w:tcW w:w="1929" w:type="dxa"/>
            <w:tcBorders>
              <w:top w:val="single" w:sz="2" w:space="0" w:color="000001"/>
              <w:left w:val="single" w:sz="2" w:space="0" w:color="000001"/>
              <w:bottom w:val="single" w:sz="2" w:space="0" w:color="000001"/>
              <w:insideH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100,00</w:t>
            </w:r>
          </w:p>
        </w:tc>
        <w:tc>
          <w:tcPr>
            <w:tcW w:w="255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1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100</w:t>
            </w:r>
          </w:p>
        </w:tc>
      </w:tr>
    </w:tbl>
    <w:p>
      <w:pPr>
        <w:pStyle w:val="Normal"/>
        <w:spacing w:lineRule="auto" w:line="360"/>
        <w:jc w:val="both"/>
        <w:rPr>
          <w:rFonts w:ascii="Times New Roman" w:hAnsi="Times New Roman"/>
          <w:color w:val="000000"/>
          <w:sz w:val="28"/>
          <w:szCs w:val="28"/>
          <w:highlight w:val="white"/>
        </w:rPr>
      </w:pPr>
      <w:r>
        <w:rPr>
          <w:rFonts w:ascii="Times New Roman" w:hAnsi="Times New Roman"/>
          <w:color w:val="000000"/>
          <w:sz w:val="28"/>
          <w:szCs w:val="28"/>
          <w:highlight w:val="white"/>
        </w:rPr>
      </w:r>
    </w:p>
    <w:p>
      <w:pPr>
        <w:pStyle w:val="Normal"/>
        <w:spacing w:lineRule="auto" w:line="360"/>
        <w:jc w:val="both"/>
        <w:rPr/>
      </w:pPr>
      <w:r>
        <w:rPr>
          <w:rFonts w:ascii="Times New Roman" w:hAnsi="Times New Roman"/>
          <w:b w:val="false"/>
          <w:i w:val="false"/>
          <w:caps w:val="false"/>
          <w:smallCaps w:val="false"/>
          <w:color w:val="000000"/>
          <w:spacing w:val="0"/>
          <w:sz w:val="28"/>
          <w:szCs w:val="28"/>
          <w:highlight w:val="white"/>
        </w:rPr>
        <w:t>При анализе динамики фонда оплаты труда (ФОТ) промышленно-производственного персонала (ППП) наблюдается среднегодовой темп роста общего ФОТ 94 690,8 тыс. руб., так и по категориям. В структуре ФОТ видно увеличение удельного веса по категории «рабочие» на 2,6% в 2014 г. по сравнению с 2013 г. и уменьшение удельного веса ФОТ по остальным категориям персонала - на 2,6% за тот же период.</w:t>
      </w:r>
      <w:r>
        <w:rPr>
          <w:rFonts w:ascii="Times New Roman" w:hAnsi="Times New Roman"/>
          <w:color w:val="000000"/>
          <w:sz w:val="28"/>
          <w:szCs w:val="28"/>
          <w:highlight w:val="white"/>
        </w:rPr>
        <w:t xml:space="preserve"> </w:t>
      </w:r>
    </w:p>
    <w:p>
      <w:pPr>
        <w:pStyle w:val="Normal"/>
        <w:spacing w:lineRule="auto" w:line="360"/>
        <w:jc w:val="both"/>
        <w:rPr/>
      </w:pPr>
      <w:r>
        <w:rPr>
          <w:rFonts w:ascii="Times New Roman" w:hAnsi="Times New Roman"/>
          <w:color w:val="000000"/>
          <w:sz w:val="28"/>
          <w:szCs w:val="28"/>
          <w:highlight w:val="white"/>
        </w:rPr>
        <w:t>Таблица 2 –</w:t>
      </w:r>
      <w:r>
        <w:rPr>
          <w:rFonts w:ascii="Times New Roman" w:hAnsi="Times New Roman"/>
          <w:color w:val="000000"/>
          <w:spacing w:val="0"/>
          <w:sz w:val="28"/>
          <w:szCs w:val="28"/>
          <w:highlight w:val="white"/>
        </w:rPr>
        <w:t>Уровень образования работников</w:t>
      </w:r>
    </w:p>
    <w:tbl>
      <w:tblPr>
        <w:tblW w:w="9600" w:type="dxa"/>
        <w:jc w:val="left"/>
        <w:tblInd w:w="-99" w:type="dxa"/>
        <w:tblBorders>
          <w:top w:val="single" w:sz="6" w:space="0" w:color="000001"/>
          <w:left w:val="single" w:sz="6" w:space="0" w:color="000001"/>
          <w:bottom w:val="single" w:sz="6" w:space="0" w:color="000001"/>
          <w:insideH w:val="single" w:sz="6" w:space="0" w:color="000001"/>
        </w:tblBorders>
        <w:tblCellMar>
          <w:top w:w="0" w:type="dxa"/>
          <w:left w:w="8" w:type="dxa"/>
          <w:bottom w:w="0" w:type="dxa"/>
          <w:right w:w="40" w:type="dxa"/>
        </w:tblCellMar>
      </w:tblPr>
      <w:tblGrid>
        <w:gridCol w:w="3148"/>
        <w:gridCol w:w="1024"/>
        <w:gridCol w:w="1132"/>
        <w:gridCol w:w="1022"/>
        <w:gridCol w:w="1036"/>
        <w:gridCol w:w="1018"/>
        <w:gridCol w:w="1219"/>
      </w:tblGrid>
      <w:tr>
        <w:trPr>
          <w:trHeight w:val="319"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r>
          </w:p>
        </w:tc>
        <w:tc>
          <w:tcPr>
            <w:tcW w:w="2156" w:type="dxa"/>
            <w:gridSpan w:val="2"/>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 xml:space="preserve">2012     </w:t>
            </w:r>
          </w:p>
        </w:tc>
        <w:tc>
          <w:tcPr>
            <w:tcW w:w="2058" w:type="dxa"/>
            <w:gridSpan w:val="2"/>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2013</w:t>
            </w:r>
          </w:p>
        </w:tc>
        <w:tc>
          <w:tcPr>
            <w:tcW w:w="2237" w:type="dxa"/>
            <w:gridSpan w:val="2"/>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2014</w:t>
            </w:r>
          </w:p>
        </w:tc>
      </w:tr>
      <w:tr>
        <w:trPr>
          <w:trHeight w:val="607"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имеющих    высшее образование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68</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76,4 %</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70</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76,9 %</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70</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84,3 %</w:t>
            </w:r>
          </w:p>
        </w:tc>
      </w:tr>
      <w:tr>
        <w:trPr>
          <w:trHeight w:val="309"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имеющих ученые степени</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5,6</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6,6</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7,2</w:t>
            </w:r>
          </w:p>
        </w:tc>
      </w:tr>
      <w:tr>
        <w:trPr>
          <w:trHeight w:val="298"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ГМУ</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12</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13,5</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12</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13,2</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12</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14,5</w:t>
            </w:r>
          </w:p>
        </w:tc>
      </w:tr>
      <w:tr>
        <w:trPr>
          <w:trHeight w:val="319"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экономическое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45</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50,6</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45</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49,5</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45</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54,2</w:t>
            </w:r>
          </w:p>
        </w:tc>
      </w:tr>
      <w:tr>
        <w:trPr>
          <w:trHeight w:val="298"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юридическое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2,3</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5,5</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5</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6</w:t>
            </w:r>
          </w:p>
        </w:tc>
      </w:tr>
      <w:tr>
        <w:trPr>
          <w:trHeight w:val="319"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техническое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7,9</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7,7</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7</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8,4</w:t>
            </w:r>
          </w:p>
        </w:tc>
      </w:tr>
      <w:tr>
        <w:trPr>
          <w:trHeight w:val="309"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по другой специальности</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2,3</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2,2</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2,4</w:t>
            </w:r>
          </w:p>
        </w:tc>
      </w:tr>
      <w:tr>
        <w:trPr>
          <w:trHeight w:val="586"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имеющих    средне-специальное образование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17</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19,1</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17</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18,7</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11</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13,3</w:t>
            </w:r>
          </w:p>
        </w:tc>
      </w:tr>
      <w:tr>
        <w:trPr>
          <w:trHeight w:val="905"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jc w:val="center"/>
              <w:rPr>
                <w:rFonts w:ascii="Times New Roman" w:hAnsi="Times New Roman"/>
                <w:color w:val="000000"/>
                <w:sz w:val="28"/>
                <w:szCs w:val="28"/>
                <w:highlight w:val="white"/>
              </w:rPr>
            </w:pPr>
            <w:r>
              <w:rPr>
                <w:rFonts w:ascii="Times New Roman" w:hAnsi="Times New Roman"/>
                <w:color w:val="000000"/>
                <w:sz w:val="28"/>
                <w:szCs w:val="28"/>
                <w:highlight w:val="white"/>
              </w:rPr>
              <w:t>имеющих   начальное</w:t>
            </w:r>
          </w:p>
          <w:p>
            <w:pPr>
              <w:pStyle w:val="Normal"/>
              <w:spacing w:lineRule="auto" w:line="360"/>
              <w:jc w:val="center"/>
              <w:rPr>
                <w:rFonts w:ascii="Times New Roman" w:hAnsi="Times New Roman"/>
                <w:color w:val="000000"/>
                <w:sz w:val="28"/>
                <w:szCs w:val="28"/>
                <w:highlight w:val="white"/>
              </w:rPr>
            </w:pPr>
            <w:r>
              <w:rPr>
                <w:rFonts w:ascii="Times New Roman" w:hAnsi="Times New Roman"/>
                <w:color w:val="000000"/>
                <w:sz w:val="28"/>
                <w:szCs w:val="28"/>
                <w:highlight w:val="white"/>
              </w:rPr>
              <w:t>профессиональное</w:t>
            </w:r>
          </w:p>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образование</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2,3</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2,2</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2,4</w:t>
            </w:r>
          </w:p>
        </w:tc>
      </w:tr>
      <w:tr>
        <w:trPr>
          <w:trHeight w:val="926" w:hRule="atLeast"/>
        </w:trPr>
        <w:tc>
          <w:tcPr>
            <w:tcW w:w="314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jc w:val="center"/>
              <w:rPr>
                <w:rFonts w:ascii="Times New Roman" w:hAnsi="Times New Roman"/>
                <w:color w:val="000000"/>
                <w:sz w:val="28"/>
                <w:szCs w:val="28"/>
                <w:highlight w:val="white"/>
              </w:rPr>
            </w:pPr>
            <w:r>
              <w:rPr>
                <w:rFonts w:ascii="Times New Roman" w:hAnsi="Times New Roman"/>
                <w:color w:val="000000"/>
                <w:sz w:val="28"/>
                <w:szCs w:val="28"/>
                <w:highlight w:val="white"/>
              </w:rPr>
              <w:t>не     имеющих</w:t>
            </w:r>
          </w:p>
          <w:p>
            <w:pPr>
              <w:pStyle w:val="Normal"/>
              <w:spacing w:lineRule="auto" w:line="360"/>
              <w:jc w:val="center"/>
              <w:rPr>
                <w:rFonts w:ascii="Times New Roman" w:hAnsi="Times New Roman"/>
                <w:color w:val="000000"/>
                <w:sz w:val="28"/>
                <w:szCs w:val="28"/>
                <w:highlight w:val="white"/>
              </w:rPr>
            </w:pPr>
            <w:r>
              <w:rPr>
                <w:rFonts w:ascii="Times New Roman" w:hAnsi="Times New Roman"/>
                <w:color w:val="000000"/>
                <w:sz w:val="28"/>
                <w:szCs w:val="28"/>
                <w:highlight w:val="white"/>
              </w:rPr>
              <w:t>профессионального</w:t>
            </w:r>
          </w:p>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образования</w:t>
            </w:r>
          </w:p>
        </w:tc>
        <w:tc>
          <w:tcPr>
            <w:tcW w:w="1024"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13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2,2</w:t>
            </w:r>
          </w:p>
        </w:tc>
        <w:tc>
          <w:tcPr>
            <w:tcW w:w="1022"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036"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2,2</w:t>
            </w:r>
          </w:p>
        </w:tc>
        <w:tc>
          <w:tcPr>
            <w:tcW w:w="1018" w:type="dxa"/>
            <w:tcBorders>
              <w:top w:val="single" w:sz="6" w:space="0" w:color="000001"/>
              <w:left w:val="single" w:sz="6" w:space="0" w:color="000001"/>
              <w:bottom w:val="single" w:sz="6" w:space="0" w:color="000001"/>
              <w:insideH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w:t>
            </w:r>
          </w:p>
        </w:tc>
        <w:tc>
          <w:tcPr>
            <w:tcW w:w="1219" w:type="dxa"/>
            <w:tcBorders>
              <w:top w:val="single" w:sz="6" w:space="0" w:color="000001"/>
              <w:left w:val="single" w:sz="6" w:space="0" w:color="000001"/>
              <w:bottom w:val="single" w:sz="6" w:space="0" w:color="000001"/>
              <w:right w:val="single" w:sz="6" w:space="0" w:color="000001"/>
              <w:insideH w:val="single" w:sz="6" w:space="0" w:color="000001"/>
              <w:insideV w:val="single" w:sz="6" w:space="0" w:color="000001"/>
            </w:tcBorders>
            <w:shd w:fill="FFFFFF" w:val="clear"/>
            <w:tcMar>
              <w:left w:w="8" w:type="dxa"/>
            </w:tcMar>
          </w:tcPr>
          <w:p>
            <w:pPr>
              <w:pStyle w:val="Normal"/>
              <w:spacing w:lineRule="auto" w:line="360" w:before="0" w:after="200"/>
              <w:jc w:val="center"/>
              <w:rPr>
                <w:rFonts w:ascii="Times New Roman" w:hAnsi="Times New Roman"/>
                <w:color w:val="000000"/>
                <w:sz w:val="28"/>
                <w:szCs w:val="28"/>
                <w:highlight w:val="white"/>
              </w:rPr>
            </w:pPr>
            <w:r>
              <w:rPr>
                <w:rFonts w:ascii="Times New Roman" w:hAnsi="Times New Roman"/>
                <w:color w:val="000000"/>
                <w:sz w:val="28"/>
                <w:szCs w:val="28"/>
                <w:highlight w:val="white"/>
              </w:rPr>
              <w:t>2,4</w:t>
            </w:r>
          </w:p>
        </w:tc>
      </w:tr>
    </w:tbl>
    <w:p>
      <w:pPr>
        <w:pStyle w:val="Normal"/>
        <w:spacing w:lineRule="auto" w:line="360"/>
        <w:jc w:val="both"/>
        <w:rPr>
          <w:rFonts w:ascii="Times New Roman" w:hAnsi="Times New Roman"/>
          <w:color w:val="000000"/>
          <w:sz w:val="28"/>
          <w:szCs w:val="28"/>
          <w:highlight w:val="white"/>
        </w:rPr>
      </w:pPr>
      <w:r>
        <w:rPr>
          <w:rFonts w:ascii="Times New Roman" w:hAnsi="Times New Roman"/>
          <w:color w:val="000000"/>
          <w:sz w:val="28"/>
          <w:szCs w:val="28"/>
          <w:highlight w:val="white"/>
        </w:rPr>
        <w:t>По уровню и направленности образования сохраняется дисбаланс в пользу финансово-экономического, юридического и технического образования. Обращает внимание достаточно высокий процент направления подготовки «другое», что определяет необходимость организации эффективного процесса профессиональной подготовки, переподготовки и повышения квалификации.</w:t>
      </w:r>
    </w:p>
    <w:p>
      <w:pPr>
        <w:pStyle w:val="Normal"/>
        <w:spacing w:lineRule="auto" w:line="360"/>
        <w:jc w:val="both"/>
        <w:rPr>
          <w:rFonts w:ascii="Times New Roman" w:hAnsi="Times New Roman"/>
          <w:color w:val="000000"/>
          <w:sz w:val="28"/>
          <w:szCs w:val="28"/>
          <w:highlight w:val="white"/>
        </w:rPr>
      </w:pPr>
      <w:r>
        <w:rPr>
          <w:rFonts w:ascii="Times New Roman" w:hAnsi="Times New Roman"/>
          <w:color w:val="000000"/>
          <w:sz w:val="28"/>
          <w:szCs w:val="28"/>
          <w:highlight w:val="white"/>
        </w:rPr>
        <w:t xml:space="preserve">        </w:t>
      </w:r>
      <w:r>
        <w:rPr>
          <w:rFonts w:ascii="Times New Roman" w:hAnsi="Times New Roman"/>
          <w:color w:val="000000"/>
          <w:sz w:val="28"/>
          <w:szCs w:val="28"/>
          <w:highlight w:val="white"/>
        </w:rPr>
        <w:t>Также крайне низкая доля служащих, имеющих ученые степени от 5 до 7 % в течение 3-х лет.</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r>
      <w:r>
        <w:br w:type="page"/>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1.3 Учетная политика ООО «Газпром энерго» в целях бухгалтерского учета</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Настоящий порядок ведения бухгалтерского учета и составления бухгалтерской отчетности в ООО Газпром энерго, включая филиалы, устанавливается в целях обеспечения единообразного и последовательного составления бухгалтерской (финансовой) отчетности ООО «Газпром энерго» в соответствии с российским законодательством. </w:t>
      </w:r>
    </w:p>
    <w:p>
      <w:pPr>
        <w:pStyle w:val="Normal"/>
        <w:tabs>
          <w:tab w:val="left" w:pos="2490" w:leader="none"/>
        </w:tabs>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До 1 октября 2015 года в Сургутском филиале ООО «Газпром энерго» бухгалтерский учет осуществлялся посредством аутсорсинга по договору с ООО «АНТ Информ». А с 1 октября УКГ «АНТ Информ» перешли на работу в ООО «Газпром энерго» в связи с законом по аутсорсингу.</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В бухгалтерской (финансовой) отчетности ООО «Газпром энерго» отражают отдельные ее показатели, раскрывающие данные основных показателей отчетности, если первые являются существенными для принятия экономических решений заинтересованными пользователями. К существенным показателям относятся показатели, которые составляют пять и более процентов от общей суммы соответствующего показателя отчетности, данные которого раскрываются. В случае не раскрытия данных показателей в бухгалтерском балансе и отчете о финансовых результатах и приложениях к ним они подлежат раскрытию в пояснениях к бухгалтерскому балансу и отчету о финансовых результатах, если при их отражении в составе прочих показателей, последние в их общей сумме превышают 10 процентов от итоговой суммы раскрываемого показателя. </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Стандарты по ведению бухгалтерского учета в ООО «Газпром энерго» могут разрабатываться и утверждаться ООО «Газпром энерго». ООО «Газпром энерго» применяет стандарты по ведению бухгалтерского учета, разработанные ПАО «Газпром». Корпоративные стандарты не должны противоречить федеральным и отраслевым стандартам и обязательны к применению ООО «Газпром энерго», его филиалами.</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ООО «Газпром энерго», его филиалы оформляют факты хозяйственной жизни первичными учетными документами, которые должны содержать обязательные реквизиты, установленные Федеральным законом «О бухгалтерском учете».</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Формы первичных учетных документов разрабатываются и утверждаются ПАО «Газпром» отдельными распорядительными документами как корпоративные формы для применения ПАО «Газпром», его дочерними обществами и организациями.</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ООО «Газпром энерго» самостоятельно, с учетом норм корпоративных документов и производственной деятельности, разрабатывает формы первичных учетных документов для индивидуального применения.</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В формах первичных учетных документов могут содержаться дополнительные реквизиты в целях получения необходимой информации для налогового учета.</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ООО «Газпром энерго» также использует унифицированные формы        первичных  учетных документов, утвержденные государственными органами. Для учета ремонтно-строительных работ, работ в капитальном строительстве применяются формы из Альбома унифицированных форм первичной учетной документации по учету работ в капитальном строительстве и ремонтно-строительных работ, утвержденные Постановлением Госкомстата России от 11.11.1999 N100.</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Первичные учетные документы, формы которых не утверждены</w:t>
        <w:tab/>
        <w:t xml:space="preserve"> отдельными распорядительными документами ПАО «Газпром» и ООО «Газпром энерго», но использование, которых согласовано сторонами в рамках заключенных договоров, при условии содержания обязательных реквизитов, установленных Федеральным законом «О бухгалтерском учете», используются для отражения операций по договорам с контрагентами. Регистры аналитического учета формируются в форме накопительных ведомостей (Оборотно-сальдовых ведомостей, анализов счетов, оборотов счета и др., предусмотренных бухгалтерской компьютерной программой АСБНУ РЗ и УП). Первичные учетные документы и регистры бухгалтерского учета составляются на бумажных носителях и (или) в виде электронного документа, подписанного электронной подписью.</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Первичный учетный документ должен быть составлен в момент совершения операции, а если это не представляется возможным - непосредственно после ее окончания.</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Данные первичных учетных документов вносятся в бухгалтерские регистры ООО «Газпром энерго», которые предназначены для систематизации и накопления информации.</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Документооборот - движение первичных учетных документов: создание или получение от других предприятий, подразделений, принятие к учету, обработка, внутрихозяйственная передача между филиалами осуществляется на основании графика документооборота. Ответственность за соблюдение графика документооборота, а также за своевременное и качественное создание документов, своевременную их передачу в бухгалтерию, за достоверность содержащихся в документах данных несут лица, создавшие и подписавшие эти документы. ООО «Газпром энерго» ведет денежное измерение фактов хозяйственной жизни, активов, обязательств, источников финансирования деятельности, доходов, расходов и иных объектов бухгалтерского учета в рублях и копейках. ООО «Газпром энерго» обеспечивает хранение первичных учетных документов, регистров бухгалтерского учета, бухгалтерской (финансовой) отчетности и других бухгалтерских документов в течение сроков, устанавливаемых в соответствии с Федеральным законом «О бухгалтерском учете», но не менее 5 (пяти) лет.</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В ООО «Газпром  энерго»,  включая  его  филиалы вне зависимости от видов деятельности, места нахождения и иных факторов, применяет единый рабочий План счетов бухгалтерского учета, разработанный в соответствии с Планом счетов бухгалтерского учета, утвержденным Минфином России, с четом специфических требований применяемого программного обеспечения АСБНУ РЗ и УП  и    особенностей производственной деятельности ООО «Газпром энерго». В рабочем плане счетов филиалов ООО «Газпром энерго» не используются следующие счета: -расчеты по налогу на прибыль (счет-68.12); -расчеты с учредителями (сч.75); -движение капитала и резервов (счета 80,81,82,83); -распределение чистой прибыли (счет 84); -финансовые результаты (счета-90.9,91.9,99).</w:t>
      </w:r>
    </w:p>
    <w:p>
      <w:pPr>
        <w:pStyle w:val="Normal"/>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jc w:val="center"/>
        <w:rPr>
          <w:rFonts w:ascii="Times New Roman" w:hAnsi="Times New Roman" w:cs="Times New Roman"/>
          <w:sz w:val="28"/>
          <w:szCs w:val="28"/>
          <w:highlight w:val="white"/>
        </w:rPr>
      </w:pPr>
      <w:r>
        <w:rPr>
          <w:rFonts w:cs="Times New Roman" w:ascii="Times New Roman" w:hAnsi="Times New Roman"/>
          <w:sz w:val="28"/>
          <w:szCs w:val="28"/>
          <w:highlight w:val="white"/>
        </w:rPr>
        <w:t>Глава. 2.  Экономическая характеристика</w:t>
      </w:r>
    </w:p>
    <w:p>
      <w:pPr>
        <w:pStyle w:val="Normal"/>
        <w:tabs>
          <w:tab w:val="left" w:pos="2490" w:leader="none"/>
        </w:tabs>
        <w:spacing w:lineRule="auto" w:line="360" w:before="0" w:after="0"/>
        <w:jc w:val="center"/>
        <w:rPr>
          <w:rFonts w:ascii="Times New Roman" w:hAnsi="Times New Roman" w:cs="Times New Roman"/>
          <w:sz w:val="28"/>
          <w:szCs w:val="28"/>
        </w:rPr>
      </w:pPr>
      <w:r>
        <w:rPr>
          <w:rFonts w:cs="Times New Roman" w:ascii="Times New Roman" w:hAnsi="Times New Roman"/>
          <w:sz w:val="28"/>
          <w:szCs w:val="28"/>
        </w:rPr>
        <w:t xml:space="preserve">2.1 Исполнение бюджета доходов и расходов филиала. </w:t>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pPr>
      <w:r>
        <w:rPr>
          <w:rFonts w:cs="Times New Roman" w:ascii="Times New Roman" w:hAnsi="Times New Roman"/>
          <w:sz w:val="28"/>
          <w:szCs w:val="28"/>
        </w:rPr>
        <w:t xml:space="preserve">Таблица 3. Отчет по исполнению бюджета доходов и расходов филиала за 2015 год </w:t>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r>
    </w:p>
    <w:tbl>
      <w:tblPr>
        <w:tblW w:w="8572" w:type="dxa"/>
        <w:jc w:val="center"/>
        <w:tblInd w:w="0" w:type="dxa"/>
        <w:tblBorders>
          <w:top w:val="double" w:sz="4" w:space="0" w:color="00000A"/>
          <w:left w:val="double" w:sz="4" w:space="0" w:color="00000A"/>
          <w:bottom w:val="single" w:sz="4" w:space="0" w:color="00000A"/>
          <w:right w:val="single" w:sz="4" w:space="0" w:color="00000A"/>
          <w:insideH w:val="single" w:sz="4" w:space="0" w:color="00000A"/>
          <w:insideV w:val="single" w:sz="4" w:space="0" w:color="00000A"/>
        </w:tblBorders>
        <w:tblCellMar>
          <w:top w:w="0" w:type="dxa"/>
          <w:left w:w="62" w:type="dxa"/>
          <w:bottom w:w="0" w:type="dxa"/>
          <w:right w:w="108" w:type="dxa"/>
        </w:tblCellMar>
      </w:tblPr>
      <w:tblGrid>
        <w:gridCol w:w="3907"/>
        <w:gridCol w:w="1338"/>
        <w:gridCol w:w="1616"/>
        <w:gridCol w:w="1710"/>
      </w:tblGrid>
      <w:tr>
        <w:trPr>
          <w:tblHeader w:val="true"/>
          <w:cantSplit w:val="true"/>
        </w:trPr>
        <w:tc>
          <w:tcPr>
            <w:tcW w:w="3907" w:type="dxa"/>
            <w:tcBorders>
              <w:top w:val="doub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Показатели</w:t>
            </w:r>
          </w:p>
        </w:tc>
        <w:tc>
          <w:tcPr>
            <w:tcW w:w="1338" w:type="dxa"/>
            <w:tcBorders>
              <w:top w:val="doub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t xml:space="preserve">2015г, </w:t>
            </w:r>
          </w:p>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Тыс. руб</w:t>
            </w:r>
          </w:p>
        </w:tc>
        <w:tc>
          <w:tcPr>
            <w:tcW w:w="1616" w:type="dxa"/>
            <w:tcBorders>
              <w:top w:val="doub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t xml:space="preserve">2014г, </w:t>
            </w:r>
          </w:p>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Тыс. руб</w:t>
            </w:r>
          </w:p>
        </w:tc>
        <w:tc>
          <w:tcPr>
            <w:tcW w:w="1710" w:type="dxa"/>
            <w:tcBorders>
              <w:top w:val="doub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t xml:space="preserve">2013г, </w:t>
            </w:r>
          </w:p>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Тыс. руб</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ДОХОДЫ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2 824 205</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3 119 102</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3 695 172</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 Выручка от реализации продукции (услуг) - всего</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2 821 405</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3 112 312</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3 692 314</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 xml:space="preserve">1.1. По договорам с ПАО «Газпром» </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1.2. По договорам с дочерними организациями ПАО «Газпром»</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2 273 467</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2 528 285</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3 167 576</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1.3. По договорам с прочими организациями</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547 938</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584 026</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524 738</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 xml:space="preserve">2. Прочие доходы </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708</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2 795</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1 592</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 xml:space="preserve">3. Непланируемые доходы </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2 092</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3 995</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1 266</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РАСХОДЫ, всего</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2 664 023</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2 934 938</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3 258 251</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1. Материальные затраты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1 341 281</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1 726 471</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2 090 944</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2. Затраты на оплату труда и выплаты  социального характера</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496 379</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446 916</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center"/>
          </w:tcPr>
          <w:p>
            <w:pPr>
              <w:pStyle w:val="Normal"/>
              <w:tabs>
                <w:tab w:val="left" w:pos="2490" w:leader="none"/>
              </w:tabs>
              <w:spacing w:before="0" w:after="200"/>
              <w:rPr>
                <w:sz w:val="28"/>
                <w:szCs w:val="28"/>
              </w:rPr>
            </w:pPr>
            <w:r>
              <w:rPr>
                <w:sz w:val="28"/>
                <w:szCs w:val="28"/>
              </w:rPr>
              <w:t>384 739</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2.1. Фонд заработной платы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461 422</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423 816</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368 148</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2.2. Социальные льготы и выплаты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34 656</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22 778</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16 180</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2.3. Прочие выплаты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301</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322</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412</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3. Взносы  в государственные  внебюджетные фонды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123 339</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105 348</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sz w:val="28"/>
                <w:szCs w:val="28"/>
              </w:rPr>
            </w:pPr>
            <w:r>
              <w:rPr>
                <w:sz w:val="28"/>
                <w:szCs w:val="28"/>
              </w:rPr>
              <w:t>90471</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4. Амортизация</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31 861</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25 532</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26033</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4.1. Основных средств</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31 861</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25 532</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26033</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4.2. Нематериальных активов</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5. Аренда основных средств</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390 232</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379 421</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sz w:val="28"/>
                <w:szCs w:val="28"/>
              </w:rPr>
            </w:pPr>
            <w:r>
              <w:rPr>
                <w:sz w:val="28"/>
                <w:szCs w:val="28"/>
              </w:rPr>
              <w:t>408844</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6. Лизинг</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7. Налоги и иные обязательные платежи</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8 535</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b/>
                <w:b/>
                <w:bCs/>
                <w:sz w:val="28"/>
                <w:szCs w:val="28"/>
              </w:rPr>
            </w:pPr>
            <w:r>
              <w:rPr>
                <w:rFonts w:cs="Times New Roman" w:ascii="Times New Roman" w:hAnsi="Times New Roman"/>
                <w:b/>
                <w:bCs/>
                <w:sz w:val="28"/>
                <w:szCs w:val="28"/>
              </w:rPr>
              <w:t>6 635</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sz w:val="28"/>
                <w:szCs w:val="28"/>
              </w:rPr>
            </w:pPr>
            <w:r>
              <w:rPr>
                <w:sz w:val="28"/>
                <w:szCs w:val="28"/>
              </w:rPr>
              <w:t>7516</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 xml:space="preserve">7.1. Обязательное страхование от несчастных случаев </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1 954</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1 748</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1 514</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7.2. Транспортный налог</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7.3. Налог на имущество</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4 822</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4 150</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5 328</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7.4. Прочие налоги</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1 755</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737</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674</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7.5. Налог на прибыль</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9. Затраты по договорам страхования</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5 363</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5 204</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tcPr>
          <w:p>
            <w:pPr>
              <w:pStyle w:val="Normal"/>
              <w:tabs>
                <w:tab w:val="left" w:pos="2490" w:leader="none"/>
              </w:tabs>
              <w:spacing w:before="0" w:after="200"/>
              <w:rPr>
                <w:sz w:val="28"/>
                <w:szCs w:val="28"/>
              </w:rPr>
            </w:pPr>
            <w:r>
              <w:rPr>
                <w:sz w:val="28"/>
                <w:szCs w:val="28"/>
              </w:rPr>
              <w:t>4 533</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10. Капитальный ремонт (подрядный способ с МТР)</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67 504</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b/>
                <w:b/>
                <w:bCs/>
                <w:sz w:val="28"/>
                <w:szCs w:val="28"/>
              </w:rPr>
            </w:pPr>
            <w:r>
              <w:rPr>
                <w:rFonts w:cs="Times New Roman" w:ascii="Times New Roman" w:hAnsi="Times New Roman"/>
                <w:b/>
                <w:bCs/>
                <w:sz w:val="28"/>
                <w:szCs w:val="28"/>
              </w:rPr>
              <w:t>59 355</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60 942</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11. Прочие расходы</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199 314</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b/>
                <w:b/>
                <w:bCs/>
                <w:sz w:val="28"/>
                <w:szCs w:val="28"/>
              </w:rPr>
            </w:pPr>
            <w:r>
              <w:rPr>
                <w:rFonts w:cs="Times New Roman" w:ascii="Times New Roman" w:hAnsi="Times New Roman"/>
                <w:b/>
                <w:bCs/>
                <w:sz w:val="28"/>
                <w:szCs w:val="28"/>
              </w:rPr>
              <w:t>177 729</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179 721</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b/>
                <w:b/>
                <w:bCs/>
                <w:sz w:val="28"/>
                <w:szCs w:val="28"/>
              </w:rPr>
            </w:pPr>
            <w:r>
              <w:rPr>
                <w:rFonts w:cs="Times New Roman" w:ascii="Times New Roman" w:hAnsi="Times New Roman"/>
                <w:b/>
                <w:bCs/>
                <w:sz w:val="28"/>
                <w:szCs w:val="28"/>
              </w:rPr>
              <w:t>Чистая прибыль (убыток) </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160 182</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b/>
                <w:b/>
                <w:bCs/>
                <w:sz w:val="28"/>
                <w:szCs w:val="28"/>
              </w:rPr>
            </w:pPr>
            <w:r>
              <w:rPr>
                <w:rFonts w:cs="Times New Roman" w:ascii="Times New Roman" w:hAnsi="Times New Roman"/>
                <w:b/>
                <w:bCs/>
                <w:sz w:val="28"/>
                <w:szCs w:val="28"/>
              </w:rPr>
              <w:t>184 164</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436 921</w:t>
            </w:r>
          </w:p>
        </w:tc>
      </w:tr>
      <w:tr>
        <w:trPr>
          <w:cantSplit w:val="true"/>
        </w:trPr>
        <w:tc>
          <w:tcPr>
            <w:tcW w:w="3907" w:type="dxa"/>
            <w:tcBorders>
              <w:top w:val="single" w:sz="4" w:space="0" w:color="00000A"/>
              <w:left w:val="double" w:sz="4" w:space="0" w:color="00000A"/>
              <w:bottom w:val="single" w:sz="4" w:space="0" w:color="00000A"/>
              <w:right w:val="single" w:sz="4" w:space="0" w:color="00000A"/>
              <w:insideH w:val="sing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Среднемесячная заработная плата, тыс. руб./чел.</w:t>
            </w:r>
          </w:p>
        </w:tc>
        <w:tc>
          <w:tcPr>
            <w:tcW w:w="13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80,61</w:t>
            </w:r>
          </w:p>
        </w:tc>
        <w:tc>
          <w:tcPr>
            <w:tcW w:w="16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72,97</w:t>
            </w:r>
          </w:p>
        </w:tc>
        <w:tc>
          <w:tcPr>
            <w:tcW w:w="1710" w:type="dxa"/>
            <w:tcBorders>
              <w:top w:val="single" w:sz="4" w:space="0" w:color="00000A"/>
              <w:left w:val="single" w:sz="4" w:space="0" w:color="00000A"/>
              <w:bottom w:val="single" w:sz="4" w:space="0" w:color="00000A"/>
              <w:right w:val="double" w:sz="4" w:space="0" w:color="00000A"/>
              <w:insideH w:val="sing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67,57</w:t>
            </w:r>
          </w:p>
        </w:tc>
      </w:tr>
      <w:tr>
        <w:trPr>
          <w:cantSplit w:val="true"/>
        </w:trPr>
        <w:tc>
          <w:tcPr>
            <w:tcW w:w="3907" w:type="dxa"/>
            <w:tcBorders>
              <w:top w:val="single" w:sz="4" w:space="0" w:color="00000A"/>
              <w:left w:val="double" w:sz="4" w:space="0" w:color="00000A"/>
              <w:bottom w:val="double" w:sz="4" w:space="0" w:color="00000A"/>
              <w:right w:val="single" w:sz="4" w:space="0" w:color="00000A"/>
              <w:insideH w:val="double" w:sz="4" w:space="0" w:color="00000A"/>
              <w:insideV w:val="single" w:sz="4" w:space="0" w:color="00000A"/>
            </w:tcBorders>
            <w:shd w:fill="FFFFFF" w:val="clear"/>
            <w:tcMar>
              <w:left w:w="6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Среднесписочная численность персонала (с учетом совместителей), чел.</w:t>
            </w:r>
          </w:p>
        </w:tc>
        <w:tc>
          <w:tcPr>
            <w:tcW w:w="1338" w:type="dxa"/>
            <w:tcBorders>
              <w:top w:val="single" w:sz="4" w:space="0" w:color="00000A"/>
              <w:left w:val="single" w:sz="4" w:space="0" w:color="00000A"/>
              <w:bottom w:val="double" w:sz="4" w:space="0" w:color="00000A"/>
              <w:right w:val="single" w:sz="4" w:space="0" w:color="00000A"/>
              <w:insideH w:val="double" w:sz="4" w:space="0" w:color="00000A"/>
              <w:insideV w:val="single" w:sz="4" w:space="0" w:color="00000A"/>
            </w:tcBorders>
            <w:shd w:fill="FFFFFF" w:val="clear"/>
            <w:tcMar>
              <w:left w:w="102" w:type="dxa"/>
            </w:tcMar>
            <w:vAlign w:val="center"/>
          </w:tcPr>
          <w:p>
            <w:pPr>
              <w:pStyle w:val="Normal"/>
              <w:tabs>
                <w:tab w:val="left" w:pos="2490" w:leader="none"/>
              </w:tabs>
              <w:spacing w:before="0" w:after="200"/>
              <w:rPr>
                <w:rFonts w:ascii="Times New Roman" w:hAnsi="Times New Roman" w:cs="Times New Roman"/>
                <w:sz w:val="28"/>
                <w:szCs w:val="28"/>
              </w:rPr>
            </w:pPr>
            <w:r>
              <w:rPr>
                <w:rFonts w:cs="Times New Roman" w:ascii="Times New Roman" w:hAnsi="Times New Roman"/>
                <w:sz w:val="28"/>
                <w:szCs w:val="28"/>
              </w:rPr>
              <w:t>477</w:t>
            </w:r>
          </w:p>
        </w:tc>
        <w:tc>
          <w:tcPr>
            <w:tcW w:w="1616" w:type="dxa"/>
            <w:tcBorders>
              <w:top w:val="single" w:sz="4" w:space="0" w:color="00000A"/>
              <w:left w:val="single" w:sz="4" w:space="0" w:color="00000A"/>
              <w:bottom w:val="double" w:sz="4" w:space="0" w:color="00000A"/>
              <w:right w:val="single" w:sz="4" w:space="0" w:color="00000A"/>
              <w:insideH w:val="double" w:sz="4" w:space="0" w:color="00000A"/>
              <w:insideV w:val="single" w:sz="4" w:space="0" w:color="00000A"/>
            </w:tcBorders>
            <w:shd w:fill="FFFFFF" w:val="clear"/>
            <w:tcMar>
              <w:left w:w="102" w:type="dxa"/>
            </w:tcMar>
            <w:vAlign w:val="center"/>
          </w:tcPr>
          <w:p>
            <w:pPr>
              <w:pStyle w:val="Normal"/>
              <w:spacing w:before="0" w:after="200"/>
              <w:jc w:val="center"/>
              <w:rPr>
                <w:rFonts w:ascii="Times New Roman" w:hAnsi="Times New Roman" w:cs="Times New Roman"/>
                <w:sz w:val="28"/>
                <w:szCs w:val="28"/>
              </w:rPr>
            </w:pPr>
            <w:r>
              <w:rPr>
                <w:rFonts w:cs="Times New Roman" w:ascii="Times New Roman" w:hAnsi="Times New Roman"/>
                <w:sz w:val="28"/>
                <w:szCs w:val="28"/>
              </w:rPr>
              <w:t>484</w:t>
            </w:r>
          </w:p>
        </w:tc>
        <w:tc>
          <w:tcPr>
            <w:tcW w:w="1710" w:type="dxa"/>
            <w:tcBorders>
              <w:top w:val="single" w:sz="4" w:space="0" w:color="00000A"/>
              <w:left w:val="single" w:sz="4" w:space="0" w:color="00000A"/>
              <w:bottom w:val="double" w:sz="4" w:space="0" w:color="00000A"/>
              <w:right w:val="double" w:sz="4" w:space="0" w:color="00000A"/>
              <w:insideH w:val="double" w:sz="4" w:space="0" w:color="00000A"/>
              <w:insideV w:val="double" w:sz="4" w:space="0" w:color="00000A"/>
            </w:tcBorders>
            <w:shd w:fill="FFFFFF" w:val="clear"/>
            <w:tcMar>
              <w:left w:w="102" w:type="dxa"/>
            </w:tcMar>
            <w:vAlign w:val="bottom"/>
          </w:tcPr>
          <w:p>
            <w:pPr>
              <w:pStyle w:val="Normal"/>
              <w:spacing w:before="0" w:after="200"/>
              <w:jc w:val="right"/>
              <w:rPr>
                <w:sz w:val="28"/>
                <w:szCs w:val="28"/>
              </w:rPr>
            </w:pPr>
            <w:r>
              <w:rPr>
                <w:sz w:val="28"/>
                <w:szCs w:val="28"/>
              </w:rPr>
              <w:t>454</w:t>
            </w:r>
          </w:p>
        </w:tc>
      </w:tr>
    </w:tbl>
    <w:p>
      <w:pPr>
        <w:pStyle w:val="Normal"/>
        <w:tabs>
          <w:tab w:val="left" w:pos="2490" w:leader="none"/>
        </w:tabs>
        <w:rPr>
          <w:rFonts w:ascii="Times New Roman" w:hAnsi="Times New Roman" w:cs="Times New Roman"/>
          <w:sz w:val="28"/>
          <w:szCs w:val="28"/>
        </w:rPr>
      </w:pPr>
      <w:r>
        <w:rPr>
          <w:rFonts w:cs="Times New Roman" w:ascii="Times New Roman" w:hAnsi="Times New Roman"/>
          <w:sz w:val="28"/>
          <w:szCs w:val="28"/>
        </w:rPr>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Фактическое выполнение показателей доходной части Бюджета филиала в 2015 году составило 2 824 205 тыс. руб., что соответствует 100%.</w:t>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t>Годовой плановый показатель расходной части Бюджета филиала составил 2 746 342 тыс. руб., фактически израсходовано -2 664 023 тыс. руб., или 97% от плана.</w:t>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t xml:space="preserve">По результатам производственно-хозяйственной деятельности за 2015 год Сургутским филиалом получена прибыль-160 182 тыс. руб. </w:t>
      </w:r>
    </w:p>
    <w:p>
      <w:pPr>
        <w:pStyle w:val="Normal"/>
        <w:tabs>
          <w:tab w:val="left" w:pos="2490" w:leader="none"/>
        </w:tabs>
        <w:spacing w:lineRule="auto" w:line="360" w:before="0" w:after="0"/>
        <w:rPr>
          <w:rFonts w:ascii="Times New Roman" w:hAnsi="Times New Roman" w:cs="Times New Roman"/>
          <w:sz w:val="28"/>
          <w:szCs w:val="28"/>
        </w:rPr>
      </w:pPr>
      <w:r>
        <w:rPr>
          <w:rFonts w:cs="Times New Roman" w:ascii="Times New Roman" w:hAnsi="Times New Roman"/>
          <w:sz w:val="28"/>
          <w:szCs w:val="28"/>
        </w:rPr>
        <w:t>Выполнение планового показателя по прибыли составило 177% к установленному плану 90 721 тыс. руб.</w:t>
      </w:r>
    </w:p>
    <w:p>
      <w:pPr>
        <w:pStyle w:val="Normal"/>
        <w:suppressAutoHyphens w:val="true"/>
        <w:spacing w:lineRule="auto" w:line="360" w:before="0" w:after="0"/>
        <w:ind w:left="0" w:right="0" w:firstLine="720"/>
        <w:jc w:val="both"/>
        <w:rPr>
          <w:rFonts w:ascii="Times New Roman" w:hAnsi="Times New Roman" w:cs="Times New Roman"/>
          <w:sz w:val="28"/>
          <w:szCs w:val="28"/>
        </w:rPr>
      </w:pPr>
      <w:r>
        <w:rPr>
          <w:rFonts w:cs="Times New Roman" w:ascii="Times New Roman" w:hAnsi="Times New Roman"/>
          <w:sz w:val="28"/>
          <w:szCs w:val="28"/>
        </w:rPr>
        <w:t xml:space="preserve">Фактическое выполнение показателей доходной части Бюджета филиала в 2014 году составило 96% или 3 119 102 тыс. руб. к плану 3 248 520 тыс. руб. </w:t>
      </w:r>
    </w:p>
    <w:p>
      <w:pPr>
        <w:pStyle w:val="Normal"/>
        <w:suppressAutoHyphens w:val="true"/>
        <w:spacing w:lineRule="auto" w:line="360" w:before="0" w:after="0"/>
        <w:ind w:left="0" w:right="0" w:firstLine="720"/>
        <w:jc w:val="both"/>
        <w:rPr>
          <w:rFonts w:ascii="Times New Roman" w:hAnsi="Times New Roman" w:cs="Times New Roman"/>
          <w:sz w:val="28"/>
          <w:szCs w:val="28"/>
        </w:rPr>
      </w:pPr>
      <w:r>
        <w:rPr>
          <w:rFonts w:cs="Times New Roman" w:ascii="Times New Roman" w:hAnsi="Times New Roman"/>
          <w:sz w:val="28"/>
          <w:szCs w:val="28"/>
        </w:rPr>
        <w:t>Расходная часть бюджета филиала в 2014 году сформирована с учетом производственных и хозяйственных потребностей для осуществления деятельности и в соответствии с доведенным к исполнению показателем  финансового результата (прибыли).</w:t>
      </w:r>
    </w:p>
    <w:p>
      <w:pPr>
        <w:pStyle w:val="Normal"/>
        <w:suppressAutoHyphens w:val="true"/>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Годовой показатель исполнения расходной части Бюджета филиала 3 097 917 тыс.руб., фактически 2 934 938 тыс. руб., что в процентном отношении составило – 95%.</w:t>
      </w:r>
    </w:p>
    <w:p>
      <w:pPr>
        <w:pStyle w:val="Normal"/>
        <w:suppressAutoHyphens w:val="true"/>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Фактическое выполнение показателей доходной части Бюджета филиала в 2013 году составило 104% или 3 695 172 тыс. руб. к плану 3 553 767 тыс. руб. что на 141 405 тыс. руб. больше чем было утверждено в БДР.</w:t>
      </w:r>
    </w:p>
    <w:p>
      <w:pPr>
        <w:pStyle w:val="Normal"/>
        <w:suppressAutoHyphens w:val="true"/>
        <w:spacing w:lineRule="auto" w:line="360" w:before="0" w:after="0"/>
        <w:jc w:val="both"/>
        <w:rPr>
          <w:rFonts w:ascii="Times New Roman" w:hAnsi="Times New Roman" w:cs="Times New Roman"/>
          <w:sz w:val="28"/>
          <w:szCs w:val="28"/>
        </w:rPr>
      </w:pPr>
      <w:r>
        <w:rPr>
          <w:rFonts w:cs="Times New Roman" w:ascii="Times New Roman" w:hAnsi="Times New Roman"/>
          <w:sz w:val="28"/>
          <w:szCs w:val="28"/>
        </w:rPr>
        <w:t>Расходная часть бюджета филиала в 2013 году сформирована с учетом производственных и хозяйственных потребностей для осуществления деятельности и в соответствии с доведенным к исполнению показателем  финансового результата (прибыли) с учетом принятых в аренду объектов ООО «Газпром переработка».</w:t>
      </w:r>
    </w:p>
    <w:p>
      <w:pPr>
        <w:pStyle w:val="Normal"/>
        <w:suppressAutoHyphens w:val="true"/>
        <w:spacing w:lineRule="auto" w:line="360" w:before="0" w:after="0"/>
        <w:ind w:left="0" w:right="0" w:firstLine="720"/>
        <w:jc w:val="both"/>
        <w:rPr>
          <w:rFonts w:ascii="Times New Roman" w:hAnsi="Times New Roman" w:cs="Times New Roman"/>
          <w:sz w:val="28"/>
          <w:szCs w:val="28"/>
        </w:rPr>
      </w:pPr>
      <w:r>
        <w:rPr>
          <w:rFonts w:cs="Times New Roman" w:ascii="Times New Roman" w:hAnsi="Times New Roman"/>
          <w:sz w:val="28"/>
          <w:szCs w:val="28"/>
        </w:rPr>
        <w:t>В связи с передачей в аренду объектов теплоснабжения   ООО «Газпром переработка» с 01.01.2013  года  в расходную часть БДР филиала дополнительно включены средства по статьям разделительного бюджета.</w:t>
      </w:r>
    </w:p>
    <w:p>
      <w:pPr>
        <w:pStyle w:val="Normal"/>
        <w:suppressAutoHyphens w:val="true"/>
        <w:spacing w:lineRule="auto" w:line="360" w:before="0" w:after="0"/>
        <w:ind w:left="0" w:right="0" w:firstLine="709"/>
        <w:jc w:val="both"/>
        <w:rPr>
          <w:rFonts w:ascii="Times New Roman" w:hAnsi="Times New Roman" w:cs="Times New Roman"/>
          <w:sz w:val="28"/>
          <w:szCs w:val="28"/>
        </w:rPr>
      </w:pPr>
      <w:r>
        <w:rPr>
          <w:rFonts w:cs="Times New Roman" w:ascii="Times New Roman" w:hAnsi="Times New Roman"/>
          <w:sz w:val="28"/>
          <w:szCs w:val="28"/>
        </w:rPr>
        <w:t xml:space="preserve">Годовой показатель исполнения расходной части Бюджета филиала составил 98% к плану, что составило 3 258 251 тыс. руб. </w:t>
      </w:r>
    </w:p>
    <w:p>
      <w:pPr>
        <w:pStyle w:val="Normal"/>
        <w:suppressAutoHyphens w:val="true"/>
        <w:spacing w:lineRule="auto" w:line="360" w:before="0" w:after="0"/>
        <w:ind w:left="0" w:right="0" w:firstLine="709"/>
        <w:jc w:val="both"/>
        <w:rPr>
          <w:rFonts w:ascii="Times New Roman" w:hAnsi="Times New Roman" w:cs="Times New Roman"/>
          <w:sz w:val="28"/>
          <w:szCs w:val="28"/>
        </w:rPr>
      </w:pPr>
      <w:r>
        <w:rPr>
          <w:rFonts w:cs="Times New Roman" w:ascii="Times New Roman" w:hAnsi="Times New Roman"/>
          <w:sz w:val="28"/>
          <w:szCs w:val="28"/>
        </w:rPr>
        <w:t>Итого, доходная часть бюджета в 2015 году по сравнению с 2013 годом уменьшилась на 870 967 тыс.руб. А расходная часть уменьшилась на 594 228 тыс.руб.</w:t>
      </w:r>
    </w:p>
    <w:p>
      <w:pPr>
        <w:pStyle w:val="Normal"/>
        <w:suppressAutoHyphens w:val="true"/>
        <w:spacing w:lineRule="auto" w:line="360" w:before="0" w:after="0"/>
        <w:ind w:left="0" w:right="0" w:firstLine="709"/>
        <w:jc w:val="both"/>
        <w:rPr>
          <w:rFonts w:ascii="Times New Roman" w:hAnsi="Times New Roman" w:cs="Times New Roman"/>
          <w:sz w:val="28"/>
          <w:szCs w:val="28"/>
        </w:rPr>
      </w:pPr>
      <w:r>
        <w:rPr>
          <w:rFonts w:cs="Times New Roman" w:ascii="Times New Roman" w:hAnsi="Times New Roman"/>
          <w:sz w:val="28"/>
          <w:szCs w:val="28"/>
        </w:rPr>
      </w:r>
    </w:p>
    <w:p>
      <w:pPr>
        <w:pStyle w:val="Normal"/>
        <w:jc w:val="center"/>
        <w:rPr/>
      </w:pPr>
      <w:r>
        <w:rPr>
          <w:rFonts w:cs="Times New Roman" w:ascii="Times New Roman" w:hAnsi="Times New Roman"/>
          <w:sz w:val="28"/>
          <w:szCs w:val="28"/>
        </w:rPr>
        <w:t xml:space="preserve">2.2 </w:t>
      </w:r>
      <w:r>
        <w:rPr>
          <w:rFonts w:cs="Times New Roman" w:ascii="Times New Roman" w:hAnsi="Times New Roman"/>
          <w:color w:val="000000"/>
          <w:sz w:val="28"/>
          <w:szCs w:val="28"/>
          <w:highlight w:val="white"/>
        </w:rPr>
        <w:t>Отраслевые риски</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Российские нормативы требуют от промышленных потребителей обеспечивать резервирование мощностей, то есть иметь запасную линию, по которой они могли бы провести закупку электроэнергии на рынке в случае экстренной необходимости и при перебоях поставок от ООО «Газпром энерго». </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 xml:space="preserve">На сегодняшний день рынок электроэнергетики является базовой отраслью экономики России с тенденцией увеличения электропотребления и потребностью в новых энергетических мощностях.  Характеризуется высокой степенью монополизации: передающие электрические сети принадлежат, в основном, РАО ЕЭС России и его дочерним обществам, что позволяет монополисту ограничивать поставки электроэнергии от поставщиков-конкурентов при избытке электроэнергии в регионе. Тепловые сети, в основном, принадлежат муниципалитетам, либо региональным ООО «Газпром энерго», что также снижает возможности по заключению прямых договоров на поставку тепла потребителям. </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Следует отметить, что данные негативные изменения отразятся на потребителях газа покупающих газ из ресурсов ООО «Газпром энерго» (таких как РАО ЕЭС России). С учетом решения Правительства России от 30.11.05 об ускоренном росте тарифов на газ, добываемый предприятиями ООО «Газпром энерго», и с учетом последующей либерализации цен на газ, разрыв между ценой так называемого «лимитного» газа и ценой газа независимых поставщиков будет сокращаться и полностью исчезнет к 01.01.2020. Эта тенденция уже видна. Так средняя цена закупаемого ООО «Газпром энерго» газа в 2015 году превышала уровень оптовых регулируемых цен на 31%. В 2016 году это превышение составило только 18%. Таким образом, генерация РАО ЕЭС России утратит преимущество в приобретении дешевого газа.</w:t>
      </w:r>
    </w:p>
    <w:p>
      <w:pPr>
        <w:pStyle w:val="Normal"/>
        <w:spacing w:lineRule="auto" w:line="360" w:before="0" w:after="0"/>
        <w:jc w:val="both"/>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ООО «Газпром энерго» осуществляет основную деятельность на рынке электроэнергетики, при этом не осуществляет экспорт товаров, работ и услуг, в связи с этим существенное негативное влияние на деятельность и исполнение обязательств может оказать только глобальное ухудшение ситуации на мировом топливно-энергетическом рынке, которое затронет и Россию.</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Эмитент не поставляет продукцию и услуги на внешние рынки.</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p>
    <w:p>
      <w:pPr>
        <w:pStyle w:val="Normal"/>
        <w:tabs>
          <w:tab w:val="left" w:pos="1515" w:leader="none"/>
        </w:tabs>
        <w:jc w:val="center"/>
        <w:rPr/>
      </w:pPr>
      <w:r>
        <w:rPr>
          <w:rFonts w:cs="Times New Roman" w:ascii="Times New Roman" w:hAnsi="Times New Roman"/>
          <w:color w:val="000000"/>
          <w:sz w:val="28"/>
          <w:szCs w:val="28"/>
          <w:highlight w:val="white"/>
        </w:rPr>
        <w:t>2.3. Страховые риски</w:t>
      </w:r>
    </w:p>
    <w:p>
      <w:pPr>
        <w:pStyle w:val="Normal"/>
        <w:spacing w:lineRule="auto" w:line="360" w:before="0" w:after="0"/>
        <w:ind w:left="0" w:right="0" w:firstLine="680"/>
        <w:jc w:val="both"/>
        <w:rPr>
          <w:highlight w:val="white"/>
        </w:rPr>
      </w:pPr>
      <w:r>
        <w:rPr>
          <w:rFonts w:cs="Times New Roman" w:ascii="Times New Roman" w:hAnsi="Times New Roman"/>
          <w:color w:val="000000"/>
          <w:sz w:val="28"/>
          <w:szCs w:val="28"/>
          <w:highlight w:val="white"/>
        </w:rPr>
        <w:t>За последние 5 лет в России происходили позитивные изменения во всех общественных сферах -  росла экономика, достигнута политическая стабильность, проводились успешные экономически реформы.</w:t>
      </w:r>
    </w:p>
    <w:p>
      <w:pPr>
        <w:pStyle w:val="Normal"/>
        <w:spacing w:lineRule="auto" w:line="360" w:before="0" w:after="0"/>
        <w:ind w:left="0" w:right="0" w:firstLine="680"/>
        <w:jc w:val="both"/>
        <w:rPr/>
      </w:pPr>
      <w:r>
        <w:rPr>
          <w:rFonts w:cs="Times New Roman" w:ascii="Times New Roman" w:hAnsi="Times New Roman"/>
          <w:color w:val="000000"/>
          <w:sz w:val="28"/>
          <w:szCs w:val="28"/>
          <w:highlight w:val="white"/>
        </w:rPr>
        <w:t>1) Политическая стабильность в России может оказать положительное влияние на ценность инвестиций в России.</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 Экономическая стабильность в России может оказать благоприятное воздействие на потребительский спрос, что существенным и благоприятным образом может повлиять на бизнес компании.</w:t>
      </w:r>
    </w:p>
    <w:p>
      <w:pPr>
        <w:pStyle w:val="Normal"/>
        <w:spacing w:lineRule="auto" w:line="360" w:before="0" w:after="0"/>
        <w:ind w:left="0" w:right="0" w:firstLine="680"/>
        <w:jc w:val="both"/>
        <w:rPr/>
      </w:pPr>
      <w:r>
        <w:rPr>
          <w:rFonts w:cs="Times New Roman" w:ascii="Times New Roman" w:hAnsi="Times New Roman"/>
          <w:color w:val="000000"/>
          <w:sz w:val="28"/>
          <w:szCs w:val="28"/>
          <w:highlight w:val="white"/>
        </w:rPr>
        <w:t>3) Колебания мировой экономики могут оказать отрицательное воздействие на экономику России, ограничивая доступ Эмитента к капиталу и отрицательно влияя на покупательную способность конечных потребителей нефтепродуктов. Экономика России не защищена от рыночных спадов и замедления экономического развития в других странах мира. Как уже случалось в прошлом, финансовые проблемы или обостренное восприятие рисков инвестирования в страны с развивающейся экономикой могут снизить объем иностранных инвестиции в Россию и оказать отрицательное воздействие на российскую экономику. Кроме того, поскольку Россия производит и экспортирует большие объемы природного газа и нефти, российская экономика особо уязвима перед изменениями мировых цен на природный газ и нефть, а падение цены природного газа и нефти может замедлить или поколебать ее развитие.</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Основными факторами возникновения политических рисков являются:</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несовершенство законодательной базы, регулирующей экономические отношения;</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недостаточная эффективность судебной системы;</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неустойчивость власти субъектов Российской Федерации.</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Факторы, которые могут негативно повлиять на сбыт продукции (работ, услуг) и возможные действия по уменьшению такого влияния.</w:t>
      </w:r>
    </w:p>
    <w:p>
      <w:pPr>
        <w:pStyle w:val="Normal"/>
        <w:spacing w:lineRule="auto" w:line="360" w:before="0" w:after="0"/>
        <w:jc w:val="center"/>
        <w:rPr/>
      </w:pPr>
      <w:r>
        <w:rPr>
          <w:rFonts w:cs="Times New Roman" w:ascii="Times New Roman" w:hAnsi="Times New Roman"/>
          <w:color w:val="000000"/>
          <w:sz w:val="28"/>
          <w:szCs w:val="28"/>
        </w:rPr>
        <w:t xml:space="preserve">2.4. Рынки сбыта продукции (работ, услуг) </w:t>
      </w:r>
    </w:p>
    <w:p>
      <w:pPr>
        <w:pStyle w:val="Normal"/>
        <w:spacing w:lineRule="auto" w:line="360" w:before="0" w:after="0"/>
        <w:ind w:left="0" w:right="0" w:firstLine="680"/>
        <w:jc w:val="both"/>
        <w:rPr>
          <w:rFonts w:ascii="Times New Roman" w:hAnsi="Times New Roman" w:cs="Times New Roman"/>
          <w:color w:val="000000"/>
          <w:sz w:val="28"/>
          <w:szCs w:val="28"/>
        </w:rPr>
      </w:pPr>
      <w:r>
        <w:rPr>
          <w:rFonts w:cs="Times New Roman" w:ascii="Times New Roman" w:hAnsi="Times New Roman"/>
          <w:color w:val="000000"/>
          <w:sz w:val="28"/>
          <w:szCs w:val="28"/>
        </w:rPr>
        <w:t xml:space="preserve">    </w:t>
      </w:r>
      <w:r>
        <w:rPr>
          <w:rFonts w:cs="Times New Roman" w:ascii="Times New Roman" w:hAnsi="Times New Roman"/>
          <w:color w:val="000000"/>
          <w:sz w:val="28"/>
          <w:szCs w:val="28"/>
        </w:rPr>
        <w:t>Рынок сбыта, на который ориентируется ООО «Газпром энерго», ограничен крупными промышленными предприятиями региона, закупающими электроэнергию для собственных нужд, и предприятиями - посредниками при продаже электроэнергии конечному потребителю. Кроме того, с 1 января 2007 г.  ООО «Газпром энерго»  участвует в торговле электрической энергией и мощностью на оптовом рынке (НОРЭМ) на основании тарифно-балансового решения ФСТ (Приказ Федеральной службы по тарифам №484-э/5 от 29.12.06 г., Приложение 1 п. 23).</w:t>
      </w:r>
    </w:p>
    <w:p>
      <w:pPr>
        <w:pStyle w:val="Normal"/>
        <w:spacing w:lineRule="auto" w:line="360" w:before="0" w:after="0"/>
        <w:ind w:left="0" w:right="0" w:firstLine="680"/>
        <w:jc w:val="both"/>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360" w:before="0" w:after="0"/>
        <w:jc w:val="both"/>
        <w:rPr/>
      </w:pPr>
      <w:r>
        <w:rPr>
          <w:rFonts w:cs="Times New Roman" w:ascii="Times New Roman" w:hAnsi="Times New Roman"/>
          <w:color w:val="000000"/>
          <w:sz w:val="28"/>
          <w:szCs w:val="28"/>
        </w:rPr>
        <w:t>Таблица 4. Факторы, влияющие на деятельность ООО «Газпром энерго»</w:t>
      </w:r>
    </w:p>
    <w:p>
      <w:pPr>
        <w:pStyle w:val="Normal"/>
        <w:spacing w:lineRule="auto" w:line="360" w:before="0" w:after="0"/>
        <w:jc w:val="both"/>
        <w:rPr>
          <w:rFonts w:ascii="Times New Roman" w:hAnsi="Times New Roman" w:cs="Times New Roman"/>
          <w:color w:val="000000"/>
          <w:sz w:val="28"/>
          <w:szCs w:val="28"/>
        </w:rPr>
      </w:pPr>
      <w:r>
        <w:rPr>
          <w:rFonts w:cs="Times New Roman" w:ascii="Times New Roman" w:hAnsi="Times New Roman"/>
          <w:color w:val="000000"/>
          <w:sz w:val="28"/>
          <w:szCs w:val="28"/>
        </w:rPr>
      </w:r>
    </w:p>
    <w:tbl>
      <w:tblPr>
        <w:tblW w:w="9700" w:type="dxa"/>
        <w:jc w:val="left"/>
        <w:tblInd w:w="-121" w:type="dxa"/>
        <w:tblBorders>
          <w:top w:val="single" w:sz="4" w:space="0" w:color="000001"/>
          <w:left w:val="single" w:sz="4" w:space="0" w:color="000001"/>
          <w:bottom w:val="single" w:sz="4" w:space="0" w:color="000001"/>
          <w:insideH w:val="single" w:sz="4" w:space="0" w:color="000001"/>
        </w:tblBorders>
        <w:tblCellMar>
          <w:top w:w="0" w:type="dxa"/>
          <w:left w:w="88" w:type="dxa"/>
          <w:bottom w:w="0" w:type="dxa"/>
          <w:right w:w="108" w:type="dxa"/>
        </w:tblCellMar>
      </w:tblPr>
      <w:tblGrid>
        <w:gridCol w:w="2894"/>
        <w:gridCol w:w="2894"/>
        <w:gridCol w:w="3912"/>
      </w:tblGrid>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Факторы и условия, влияющие</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 деятельность 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результаты такой деятельности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Вероятность возникновения,</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прогноз в отношении</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продолжительности действия</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Возможные действия по уменьшению такого влияния</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 выделение РАО «Газпром»</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соответствующих лимитов газа</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по ценам, назначенным ФЭК РФ</w:t>
            </w:r>
          </w:p>
          <w:p>
            <w:pPr>
              <w:pStyle w:val="Normal"/>
              <w:spacing w:lineRule="auto" w:line="240" w:before="0" w:after="0"/>
              <w:jc w:val="center"/>
              <w:rPr>
                <w:rFonts w:ascii="Times New Roman" w:hAnsi="Times New Roman" w:cs="Times New Roman"/>
                <w:sz w:val="28"/>
                <w:szCs w:val="28"/>
              </w:rPr>
            </w:pPr>
            <w:r>
              <w:rPr>
                <w:rFonts w:cs="Times New Roman" w:ascii="Times New Roman" w:hAnsi="Times New Roman"/>
                <w:sz w:val="28"/>
                <w:szCs w:val="28"/>
              </w:rPr>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Низкая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Долгосрочный</w:t>
            </w:r>
          </w:p>
          <w:p>
            <w:pPr>
              <w:pStyle w:val="Normal"/>
              <w:spacing w:lineRule="auto" w:line="240" w:before="0" w:after="0"/>
              <w:jc w:val="center"/>
              <w:rPr>
                <w:rFonts w:ascii="Times New Roman" w:hAnsi="Times New Roman" w:cs="Times New Roman"/>
                <w:sz w:val="28"/>
                <w:szCs w:val="28"/>
              </w:rPr>
            </w:pPr>
            <w:r>
              <w:rPr>
                <w:rFonts w:cs="Times New Roman" w:ascii="Times New Roman" w:hAnsi="Times New Roman"/>
                <w:sz w:val="28"/>
                <w:szCs w:val="28"/>
              </w:rPr>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 бизнес-плане предусмотрена закупка 30% газа по ценам ФЭК и 70% по рыночным ценам,  ООО «Газпром энерго»  заключило договоры на поставку газа с ООО «Нефтегазовая компания «ИТЕРА» и ОАО «НОВАТЭК», ОАО «Роснефть».</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Значительное повышение рыночных цен на газ</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Средняя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Долгосрочный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Частично компенсируется наличием жесткой кореляции тарифов на топливо с энерготарифами. В расчетах по проекту предусмотрен опережающий ежегодный рост тарифов на газ по сравнению с ростом тарифов на энергию.</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Задержка реформирования</w:t>
            </w:r>
          </w:p>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отрасли, регулирование тарифов</w:t>
            </w:r>
          </w:p>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на услуги местными РЭК, сохранение монополии региональных энергокомпаний на генерацию и передачу энергии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Средняя</w:t>
            </w:r>
          </w:p>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Краткосрочный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pPr>
            <w:r>
              <w:rPr>
                <w:rFonts w:cs="Times New Roman" w:ascii="Times New Roman" w:hAnsi="Times New Roman"/>
                <w:color w:val="000000"/>
                <w:sz w:val="26"/>
                <w:szCs w:val="26"/>
                <w:highlight w:val="white"/>
              </w:rPr>
              <w:t>До либерализации рынка электроэнергетики возможна продажа энергии местным монополистам по ценам ниже себестоимости производства энергии местными АО Энерго, вплоть до уровня тарифов ФОРЭМ После либерализации рынка тарифы ГТ- ТЭЦ будут минимум на 10% ниже тарифов конкурентов</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Дефицит квалифицированного</w:t>
            </w:r>
          </w:p>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среднего управленческого штата</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Высокая</w:t>
            </w:r>
          </w:p>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Среднесрочный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6"/>
                <w:szCs w:val="26"/>
                <w:highlight w:val="white"/>
              </w:rPr>
            </w:pPr>
            <w:r>
              <w:rPr>
                <w:rFonts w:cs="Times New Roman" w:ascii="Times New Roman" w:hAnsi="Times New Roman"/>
                <w:color w:val="000000"/>
                <w:sz w:val="26"/>
                <w:szCs w:val="26"/>
                <w:highlight w:val="white"/>
              </w:rPr>
              <w:t>Группа Энергомаш проводит обучение управляющих станций, трейдеров на рынке тепло- и электроэнергетики</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Факторы и условия, влияющие</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 деятельность 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результаты такой деятельности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Вероятность возникновения,</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прогноз в отношении</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продолжительности действия</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Возможные действия по уменьшению такого влияния</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Давление со стороны</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монополистов в сфере</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теплоснабжения (в частности,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РАО РКС) в сторону снижения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закупочных цен на тепловую</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энергию</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Низкая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Долгосрочный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ООО «Газпром энерго</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рассматривает различные варианты участия (приобретение в собственность, аренда, доверительное управление) в системе распределения тепловой энергии (т.е. магистральных тепловых сетях), что должно снизить риски монопольного давления на компанию на локальных рынках</w:t>
            </w:r>
          </w:p>
          <w:p>
            <w:pPr>
              <w:pStyle w:val="Normal"/>
              <w:spacing w:lineRule="auto" w:line="240" w:before="0" w:after="0"/>
              <w:jc w:val="center"/>
              <w:rPr>
                <w:rFonts w:ascii="Times New Roman" w:hAnsi="Times New Roman" w:cs="Times New Roman"/>
                <w:sz w:val="28"/>
                <w:szCs w:val="28"/>
              </w:rPr>
            </w:pPr>
            <w:r>
              <w:rPr>
                <w:rFonts w:cs="Times New Roman" w:ascii="Times New Roman" w:hAnsi="Times New Roman"/>
                <w:sz w:val="28"/>
                <w:szCs w:val="28"/>
              </w:rPr>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Инфраструктурные риски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Средняя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Краткосрочный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Расчет стоимости строительства каждой станции производится с учетом расходов на прокладку всех сетей</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Форс-мажор (забастовки,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землетрясения, наводнения 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т.п.)</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Низкая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Длительность зависит от события</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Компания застрахует электростанции от рисков, связанных с природными катаклизмами и неправомерными действиями третьих лиц</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Затягивание сроков</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строительства, превышение</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сметы, ошибки при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проектировании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Средняя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Среднесрочный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Генподрядчик несет ответственность за проект, строительство и своевременность запуска ТЭЦ, имеется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успешный опыт строительства и запуска первых пяти станций, основные технические параметры подтверждены.</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Высокий процент неплатежей</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потребителей</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Средняя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Среднесрочный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При большом количестве объектов ООО «Газпром энерго»  диверсиифицирует риски не оплаты, в каждом регионе имеется гибкость в выборе потребителей.</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Факторы и условия, влияющие</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 деятельность и</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результаты такой деятельности</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Вероятность возникновения,</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прогноз в отношении</w:t>
            </w:r>
          </w:p>
          <w:p>
            <w:pPr>
              <w:pStyle w:val="Normal"/>
              <w:spacing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продолжительности действия</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Возможные действия по уменьшению такого влияния</w:t>
            </w:r>
          </w:p>
        </w:tc>
      </w:tr>
      <w:tr>
        <w:trPr/>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Высокая доля заемного</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финансирования</w:t>
            </w:r>
          </w:p>
        </w:tc>
        <w:tc>
          <w:tcPr>
            <w:tcW w:w="2894"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Высокая</w:t>
            </w:r>
          </w:p>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Долгосрочный</w:t>
            </w:r>
          </w:p>
        </w:tc>
        <w:tc>
          <w:tcPr>
            <w:tcW w:w="391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tcPr>
          <w:p>
            <w:pPr>
              <w:pStyle w:val="Normal"/>
              <w:spacing w:lineRule="auto" w:line="24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Финансирование проекта осуществляется в классическом варианте соотношения собственных и заемных средств в пропорции 30/70. При значительном ухудшении конъюнктуры кредитного рынка количество строящихся станций может быть уменьшено без заметного ущерба для экономической эффективности проекта.</w:t>
            </w:r>
          </w:p>
        </w:tc>
      </w:tr>
    </w:tbl>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r>
        <w:br w:type="page"/>
      </w:r>
    </w:p>
    <w:p>
      <w:pPr>
        <w:pStyle w:val="Normal"/>
        <w:spacing w:lineRule="auto" w:line="360" w:before="0" w:after="0"/>
        <w:jc w:val="center"/>
        <w:rPr/>
      </w:pPr>
      <w:r>
        <w:rPr>
          <w:rFonts w:cs="Times New Roman" w:ascii="Times New Roman" w:hAnsi="Times New Roman"/>
          <w:color w:val="000000"/>
          <w:sz w:val="28"/>
          <w:szCs w:val="28"/>
          <w:highlight w:val="white"/>
        </w:rPr>
        <w:t>2.5. Финансовые риски</w:t>
      </w:r>
    </w:p>
    <w:p>
      <w:pPr>
        <w:pStyle w:val="Normal"/>
        <w:spacing w:lineRule="auto" w:line="360" w:before="0" w:after="0"/>
        <w:ind w:left="0" w:right="0" w:firstLine="680"/>
        <w:jc w:val="both"/>
        <w:rPr/>
      </w:pPr>
      <w:r>
        <w:rPr>
          <w:rFonts w:cs="Times New Roman" w:ascii="Times New Roman" w:hAnsi="Times New Roman"/>
          <w:color w:val="000000"/>
          <w:sz w:val="28"/>
          <w:szCs w:val="28"/>
          <w:highlight w:val="white"/>
        </w:rPr>
        <w:t>Чтобы продолжать свое развитие, в ООО «Газпром энерго» необходимо производить существенные капитальные вложения, строить и развивать новые станции, что потребует значительных дополнительных инвестиционных расходов. Чтобы удовлетворить свои финансовые потребности, ООО «Газпром энерго» требуется привлечение дополнительного финансирования. Рост процентных ставок на рынке может привести к тому, что организация будет вынуждена привлекать более дорогие средства для финансирования своей инвестиционной программы и текущей деятельности. В то же время увеличение процентных ставок снизит стоимость обслуживания уже существующих займов, ставки по которым фиксированы (например, облигационные займы). Хеджирование рисков не производится. Таким образом, влияние изменения процентных ставок на деятельность организации весьма существенно. Если ООО «ГЭ» не сможет получить достаточных средств на коммерчески выгодных условиях, то, возможно, будет вынуждено существенно сократить заимствования на строительство новых станций, что может отрицательно повлиять на его долю рынка и операционные результаты. Учитывая общую тенденцию к снижению процентных ставок, риски, связанные с изменением процентных ставок, оцениваются как незначительные. Риск изменения курса обмена иностранных валют практически не скажется на возможностях по исполнению обязательств по облигациям, т.к. облигации и купонные выплаты по ним номинированы в рублях. ООО «Газпром энерго»  не осуществляет импорт сырья и экспорт своей продукции. В связи с этим финансовое состояние, его ликвидность, источники финансирования, результаты деятельности и т.п. практически не подвержены изменению валютного курса. Более того, в последнее время наблюдается увеличение курса рубля по отношению к американскому доллару, что положительно скажется на деятельности.</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При значительном ухудшении конъюнктуры кредитного рынка (рост процентных ставок) количество строящихся станций может быть уменьшено без заметного ущерба для экономической эффективности проекта, может быть рассмотрена возможность привлечения финансирования через вхождение в акционерный капитал сторонних инвесторов. В случае отрицательного изменения курса обмена иностранных валют предполагается  сократить валютные вложения (в основном – кредитные договоры). Для снижения данного риска предполагается при заключении договоров, в том числе кредитных включать в них валютные оговорки и др. пункты для фиксации валютного курса. Менеджмент полагает, что налаженные связи с поставщиками и покупателями позволят компании нивелировать возможные неблагоприятные последствия таких изменений.</w:t>
      </w:r>
    </w:p>
    <w:p>
      <w:pPr>
        <w:pStyle w:val="Normal"/>
        <w:spacing w:lineRule="auto" w:line="360" w:before="0" w:after="0"/>
        <w:ind w:left="0" w:right="0" w:firstLine="680"/>
        <w:jc w:val="both"/>
        <w:rPr/>
      </w:pPr>
      <w:r>
        <w:rPr>
          <w:rFonts w:cs="Times New Roman" w:ascii="Times New Roman" w:hAnsi="Times New Roman"/>
          <w:color w:val="000000"/>
          <w:sz w:val="28"/>
          <w:szCs w:val="28"/>
          <w:highlight w:val="white"/>
        </w:rPr>
        <w:t xml:space="preserve">Однако следует учитывать, что часть риска не может быть полностью нивелирована, поскольку указанные риски в больше степени находятся вне контроля деятельности, а зависят от общеэкономической ситуации в стране. Риск влияния инфляции может возникнуть в случае, когда получаемые денежные доходы обесцениваются с точки зрения реальной покупательной способности денег быстрее, чем растут номинально. Рост инфляции приведет к увеличению стоимости заемных средств. Анализ динамики инфляции в России за последние годы, однако, показывает, что ее темпы снижаются. Так, в 2013 г. – 10,9%, в 2014 г. – 8,9%, в 2015 г. – 11,5%, в 2016 – 11 %.  </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В случае увеличения темпов инфляции снижается реальная стоимость процентных выплат по обязательствам в национальной валюте, что является благоприятным фактором. В указанной ситуации вероятность исполнения обязательств по ценным бумагам в реальном денежном выражении мала. В тоже время снижается стоимость просроченной дебиторской задолженности и просроченной кредиторской задолженности, что разнонаправлено влияет на уровень доходов и расходов. По мнению руководства ООО «Газпром энерго», значения инфляции, при которых у него могут возникнуть трудности по исполнению своих обязательств перед владельцами Облигаций, лежат значительно выше величины прогнозируемой инфляции и составляют 30-40% годовых. В случае если значение инфляции превысит указанные значения, планируется увеличить в своих активах долю краткосрочных финансовых инструментов, провести мероприятия по сокращению внутренних издержек. </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center"/>
        <w:rPr/>
      </w:pPr>
      <w:r>
        <w:rPr>
          <w:rFonts w:cs="Times New Roman" w:ascii="Times New Roman" w:hAnsi="Times New Roman"/>
          <w:color w:val="000000"/>
          <w:sz w:val="28"/>
          <w:szCs w:val="28"/>
          <w:highlight w:val="white"/>
        </w:rPr>
        <w:t xml:space="preserve">2.6 Анализ финансовых результатов </w:t>
      </w:r>
    </w:p>
    <w:p>
      <w:pPr>
        <w:pStyle w:val="Normal"/>
        <w:spacing w:lineRule="auto" w:line="360" w:before="0" w:after="0"/>
        <w:ind w:left="0" w:right="0" w:firstLine="624"/>
        <w:jc w:val="both"/>
        <w:rPr/>
      </w:pPr>
      <w:r>
        <w:rPr>
          <w:rFonts w:cs="Times New Roman" w:ascii="Times New Roman" w:hAnsi="Times New Roman"/>
          <w:color w:val="000000"/>
          <w:sz w:val="28"/>
          <w:szCs w:val="28"/>
          <w:highlight w:val="white"/>
        </w:rPr>
        <w:t>Результаты финансово – хозяйственной деятельности ООО «Газпром энерго» представлены в таблице 5.</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pPr>
      <w:r>
        <w:rPr>
          <w:rFonts w:cs="Times New Roman" w:ascii="Times New Roman" w:hAnsi="Times New Roman"/>
          <w:color w:val="000000"/>
          <w:sz w:val="28"/>
          <w:szCs w:val="28"/>
          <w:highlight w:val="white"/>
        </w:rPr>
        <w:t xml:space="preserve">Таблица 5. Результаты  финансово – хозяйственной деятельности ООО «Газпром энерго» </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tbl>
      <w:tblPr>
        <w:tblW w:w="9482" w:type="dxa"/>
        <w:jc w:val="left"/>
        <w:tblInd w:w="49" w:type="dxa"/>
        <w:tblBorders>
          <w:top w:val="single" w:sz="4" w:space="0" w:color="000001"/>
          <w:left w:val="single" w:sz="4" w:space="0" w:color="000001"/>
          <w:bottom w:val="single" w:sz="4" w:space="0" w:color="000001"/>
          <w:insideH w:val="single" w:sz="4" w:space="0" w:color="000001"/>
        </w:tblBorders>
        <w:tblCellMar>
          <w:top w:w="0" w:type="dxa"/>
          <w:left w:w="-5" w:type="dxa"/>
          <w:bottom w:w="0" w:type="dxa"/>
          <w:right w:w="0" w:type="dxa"/>
        </w:tblCellMar>
      </w:tblPr>
      <w:tblGrid>
        <w:gridCol w:w="3284"/>
        <w:gridCol w:w="1090"/>
        <w:gridCol w:w="1267"/>
        <w:gridCol w:w="1250"/>
        <w:gridCol w:w="1446"/>
        <w:gridCol w:w="1144"/>
      </w:tblGrid>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Наименование показателя</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2013</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2014</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2015</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2016</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Откло-нение</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Выручка   (млн.руб)</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22 184 </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95 708 </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126 358 </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151 629</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25 271</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Валовая прибыль (млн.руб)</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4 228</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5 475</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10 940</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15 540</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4 600</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Чистая прибыль (нераспре-деленная прибыль</w:t>
            </w:r>
          </w:p>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(непокрытый убыток)</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1 780</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2 695</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4 588</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5 708</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1 120</w:t>
            </w:r>
          </w:p>
        </w:tc>
      </w:tr>
      <w:tr>
        <w:trPr>
          <w:trHeight w:val="1015" w:hRule="atLeast"/>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Рентабельность</w:t>
            </w:r>
          </w:p>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собственного капитала, %</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0,19</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1,04</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0,02</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0.5</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0,48</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Наименование показателя</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2013</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2014</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2015</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2016</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Откло-нение</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Рентабельность активов, %</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0,048</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0,33</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0,007</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0.02</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0,013</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Коэффициент чистой</w:t>
            </w:r>
          </w:p>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прибыльности, %</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3,42</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9,56</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0.19</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0,49</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0,3</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Рентабельность продукции</w:t>
            </w:r>
          </w:p>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(продаж), %</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2,62</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2,05</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3,86</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6,2</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2,34</w:t>
            </w:r>
          </w:p>
        </w:tc>
      </w:tr>
      <w:tr>
        <w:trPr/>
        <w:tc>
          <w:tcPr>
            <w:tcW w:w="3284" w:type="dxa"/>
            <w:tcBorders>
              <w:top w:val="single" w:sz="4" w:space="0" w:color="000001"/>
              <w:left w:val="single" w:sz="4" w:space="0" w:color="000001"/>
              <w:bottom w:val="single" w:sz="4" w:space="0" w:color="000001"/>
              <w:insideH w:val="single" w:sz="4" w:space="0" w:color="000001"/>
            </w:tcBorders>
            <w:shd w:fill="FFFFFF" w:val="clear"/>
            <w:tcMar>
              <w:left w:w="-5"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Оборачиваемость капитала</w:t>
            </w:r>
          </w:p>
        </w:tc>
        <w:tc>
          <w:tcPr>
            <w:tcW w:w="109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0,02</w:t>
            </w:r>
          </w:p>
        </w:tc>
        <w:tc>
          <w:tcPr>
            <w:tcW w:w="1267"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0,04</w:t>
            </w:r>
          </w:p>
        </w:tc>
        <w:tc>
          <w:tcPr>
            <w:tcW w:w="1250"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0,05</w:t>
            </w:r>
          </w:p>
        </w:tc>
        <w:tc>
          <w:tcPr>
            <w:tcW w:w="1446" w:type="dxa"/>
            <w:tcBorders>
              <w:top w:val="single" w:sz="4" w:space="0" w:color="000001"/>
              <w:left w:val="single" w:sz="4" w:space="0" w:color="000001"/>
              <w:bottom w:val="single" w:sz="4" w:space="0" w:color="000001"/>
              <w:insideH w:val="single" w:sz="4" w:space="0" w:color="000001"/>
            </w:tcBorders>
            <w:shd w:fill="FFFFFF" w:val="clear"/>
            <w:tcMar>
              <w:left w:w="-5"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0,05</w:t>
            </w:r>
          </w:p>
        </w:tc>
        <w:tc>
          <w:tcPr>
            <w:tcW w:w="1144"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5" w:type="dxa"/>
            </w:tcMar>
            <w:vAlign w:val="center"/>
          </w:tcPr>
          <w:p>
            <w:pPr>
              <w:pStyle w:val="Normal"/>
              <w:snapToGrid w:val="false"/>
              <w:spacing w:before="0" w:after="200"/>
              <w:jc w:val="center"/>
              <w:rPr>
                <w:rFonts w:cs="Times New Roman"/>
              </w:rPr>
            </w:pPr>
            <w:r>
              <w:rPr>
                <w:rFonts w:cs="Times New Roman"/>
              </w:rPr>
            </w:r>
          </w:p>
        </w:tc>
      </w:tr>
    </w:tbl>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На изменение размера выручки в течение рассматриваемого периода повлиял объем реализации. В течение рассматриваемого периода наблюдается тенденция к её ежегодному росту. Так выручка за 2015 год выросла по сравнению с 2014 на 25 271 млн. рублей. Постоянный рост объема реализации дает основания прогнозировать как минимум сохранение объема выручки реализации работ и услуг в течение ближайших 2-3 лет. На протяжении 2014 – 2015 г.г. величина валовой прибыли изменялась в 2 раза с 5 475 тыс. руб до 10 940 тыс. руб., что говорит об эффективности управления издержками компании. В 2016 году наблюдается рост данного показателя, что свидетельствует о росте объема реализации и увеличении эффективности его деятельности. В течение рассматриваемого периода организация завершала каждый финансовый год с прибылью, что обеспечило положительное значение коэффициента рентабельности собственного капитала и с ростом прибыли наблюдается и рост значения коэффициента. Показатель рентабельности активов положителен, что обусловлено получением прибыли по итогам каждого рассматриваемого года. В 2014 году, темпы роста прибыли опередили темпы увеличения активов, что привело к увеличению показателя. Рентабельность продаж имеет изменчивую динамику и объясняется спецификой бизнеса, но в целом наблюдается положительная тенденция. Значение показателя оборачиваемости капитала не имело значительных изменений, в 2016 г. значение показателя увеличилось, что позволяет сделать заключение о том, что финансовое положение имеет тенденцию к улучшению. В течение рассматриваемого периода компания работала с прибылью, накопленных убытков не имела.</w:t>
      </w:r>
    </w:p>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 xml:space="preserve">Основным и самым главным потребителем энергии является ОАО «Свердловэнергосбыт». С каждым годом увеличивается выручка и от потребителей по НОРЭМ и по сравнению с 2015 г. возросла на  8 332 840 руб. Эти показатели говорят о том, что энергия  «ООО «Газпром энерго»  пользуется спросом и в дальнейшем будет только повышение этого спроса на рынке НОРЭМ, благодаря конкурентным тарифам на отпускаемую энергию. Также в колонке «% в выручке» мы видим долю выручки в общей выручке организации по всем станциям. </w:t>
      </w:r>
    </w:p>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Рассмотрим показатели ликвидности в таблице 6</w:t>
      </w:r>
    </w:p>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Таблица 6.  Показатели ликвидности</w:t>
      </w:r>
    </w:p>
    <w:tbl>
      <w:tblPr>
        <w:tblW w:w="9488" w:type="dxa"/>
        <w:jc w:val="left"/>
        <w:tblInd w:w="-121" w:type="dxa"/>
        <w:tblBorders>
          <w:top w:val="single" w:sz="4" w:space="0" w:color="000001"/>
          <w:left w:val="single" w:sz="4" w:space="0" w:color="000001"/>
          <w:bottom w:val="double" w:sz="4" w:space="0" w:color="000001"/>
          <w:insideH w:val="double" w:sz="4" w:space="0" w:color="000001"/>
        </w:tblBorders>
        <w:tblCellMar>
          <w:top w:w="0" w:type="dxa"/>
          <w:left w:w="88" w:type="dxa"/>
          <w:bottom w:w="0" w:type="dxa"/>
          <w:right w:w="108" w:type="dxa"/>
        </w:tblCellMar>
      </w:tblPr>
      <w:tblGrid>
        <w:gridCol w:w="4140"/>
        <w:gridCol w:w="1321"/>
        <w:gridCol w:w="1321"/>
        <w:gridCol w:w="1319"/>
        <w:gridCol w:w="1387"/>
      </w:tblGrid>
      <w:tr>
        <w:trPr/>
        <w:tc>
          <w:tcPr>
            <w:tcW w:w="4140" w:type="dxa"/>
            <w:tcBorders>
              <w:top w:val="single" w:sz="4" w:space="0" w:color="000001"/>
              <w:left w:val="single" w:sz="4" w:space="0" w:color="000001"/>
              <w:bottom w:val="double" w:sz="4" w:space="0" w:color="000001"/>
              <w:insideH w:val="doub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Наименование показателя</w:t>
            </w:r>
          </w:p>
        </w:tc>
        <w:tc>
          <w:tcPr>
            <w:tcW w:w="1321" w:type="dxa"/>
            <w:tcBorders>
              <w:top w:val="single" w:sz="4" w:space="0" w:color="000001"/>
              <w:left w:val="single" w:sz="4" w:space="0" w:color="000001"/>
              <w:bottom w:val="double" w:sz="4" w:space="0" w:color="000001"/>
              <w:insideH w:val="doub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2013</w:t>
            </w:r>
          </w:p>
        </w:tc>
        <w:tc>
          <w:tcPr>
            <w:tcW w:w="1321" w:type="dxa"/>
            <w:tcBorders>
              <w:top w:val="single" w:sz="4" w:space="0" w:color="000001"/>
              <w:left w:val="single" w:sz="4" w:space="0" w:color="000001"/>
              <w:bottom w:val="double" w:sz="4" w:space="0" w:color="000001"/>
              <w:insideH w:val="doub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2014</w:t>
            </w:r>
          </w:p>
        </w:tc>
        <w:tc>
          <w:tcPr>
            <w:tcW w:w="1319" w:type="dxa"/>
            <w:tcBorders>
              <w:top w:val="single" w:sz="4" w:space="0" w:color="000001"/>
              <w:left w:val="single" w:sz="4" w:space="0" w:color="000001"/>
              <w:bottom w:val="double" w:sz="4" w:space="0" w:color="000001"/>
              <w:insideH w:val="doub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2015</w:t>
            </w:r>
          </w:p>
        </w:tc>
        <w:tc>
          <w:tcPr>
            <w:tcW w:w="1387" w:type="dxa"/>
            <w:tcBorders>
              <w:top w:val="single" w:sz="4" w:space="0" w:color="000001"/>
              <w:left w:val="single" w:sz="4" w:space="0" w:color="000001"/>
              <w:bottom w:val="double" w:sz="4" w:space="0" w:color="000001"/>
              <w:right w:val="single" w:sz="4" w:space="0" w:color="000001"/>
              <w:insideH w:val="double" w:sz="4" w:space="0" w:color="000001"/>
              <w:insideV w:val="sing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2016</w:t>
            </w:r>
          </w:p>
        </w:tc>
      </w:tr>
      <w:tr>
        <w:trPr/>
        <w:tc>
          <w:tcPr>
            <w:tcW w:w="4140"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Индекс постоянного актива</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1,54</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1,83</w:t>
            </w:r>
          </w:p>
        </w:tc>
        <w:tc>
          <w:tcPr>
            <w:tcW w:w="1319"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2,64</w:t>
            </w:r>
          </w:p>
        </w:tc>
        <w:tc>
          <w:tcPr>
            <w:tcW w:w="13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2,5</w:t>
            </w:r>
          </w:p>
        </w:tc>
      </w:tr>
      <w:tr>
        <w:trPr/>
        <w:tc>
          <w:tcPr>
            <w:tcW w:w="4140"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Коэффициент текущей ликвидности</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5,55</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3,8</w:t>
            </w:r>
          </w:p>
        </w:tc>
        <w:tc>
          <w:tcPr>
            <w:tcW w:w="1319"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1,15</w:t>
            </w:r>
          </w:p>
        </w:tc>
        <w:tc>
          <w:tcPr>
            <w:tcW w:w="13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2,17</w:t>
            </w:r>
          </w:p>
        </w:tc>
      </w:tr>
      <w:tr>
        <w:trPr/>
        <w:tc>
          <w:tcPr>
            <w:tcW w:w="4140"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Коэффициент быстрой ликвидности</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5,26</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3,59</w:t>
            </w:r>
          </w:p>
        </w:tc>
        <w:tc>
          <w:tcPr>
            <w:tcW w:w="1319"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0,95</w:t>
            </w:r>
          </w:p>
        </w:tc>
        <w:tc>
          <w:tcPr>
            <w:tcW w:w="13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2,12</w:t>
            </w:r>
          </w:p>
        </w:tc>
      </w:tr>
      <w:tr>
        <w:trPr/>
        <w:tc>
          <w:tcPr>
            <w:tcW w:w="4140" w:type="dxa"/>
            <w:tcBorders>
              <w:top w:val="single" w:sz="4" w:space="0" w:color="000001"/>
              <w:left w:val="single" w:sz="4" w:space="0" w:color="000001"/>
              <w:bottom w:val="single" w:sz="4" w:space="0" w:color="000001"/>
              <w:insideH w:val="single" w:sz="4" w:space="0" w:color="000001"/>
            </w:tcBorders>
            <w:shd w:fill="FFFFFF" w:val="clear"/>
            <w:tcMar>
              <w:left w:w="88" w:type="dxa"/>
            </w:tcMa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Коэффициент автономии собственных средств</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0,252</w:t>
            </w:r>
          </w:p>
        </w:tc>
        <w:tc>
          <w:tcPr>
            <w:tcW w:w="1321"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0,29</w:t>
            </w:r>
          </w:p>
        </w:tc>
        <w:tc>
          <w:tcPr>
            <w:tcW w:w="1319" w:type="dxa"/>
            <w:tcBorders>
              <w:top w:val="single" w:sz="4" w:space="0" w:color="000001"/>
              <w:left w:val="single" w:sz="4" w:space="0" w:color="000001"/>
              <w:bottom w:val="single" w:sz="4" w:space="0" w:color="000001"/>
              <w:insideH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0,3</w:t>
            </w:r>
          </w:p>
        </w:tc>
        <w:tc>
          <w:tcPr>
            <w:tcW w:w="13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FFFFFF" w:val="clear"/>
            <w:tcMar>
              <w:left w:w="88" w:type="dxa"/>
            </w:tcMar>
            <w:vAlign w:val="center"/>
          </w:tcPr>
          <w:p>
            <w:pPr>
              <w:pStyle w:val="Normal"/>
              <w:spacing w:before="0" w:after="20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0,29</w:t>
            </w:r>
          </w:p>
        </w:tc>
      </w:tr>
    </w:tbl>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Показатели ликвидности характеризуют способность компании выполнять свои краткосрочные обязательства. Смысл этих показателей состоит в сравнении величины текущих обязательств и его оборотных средств, которые должны обеспечить погашение обязательств. Индекс постоянного актива демонстрирует тенденцию к увеличению, что связано преимущественно с ростом дебиторской задолженности вследствие авансирования расчетов за оказываемые услуги. Коэффициент текущей ликвидности характеризует общую обеспеченность краткосрочной задолженности предприятия оборотными средствами. За рассматриваемый период данный коэффициент показывает положительную динамику и превышает рекомендуемое значение &gt;=2.</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Динамика коэффициента быстрой ликвидности зависит от тех же факторов, которые влияют на текущую ликвидность. Величина коэффициента быстрой ликвидности  имеет изменчивую динамику. На протяжении рассматриваемого периода коэффициент автономии собственных средств положителен, но незначительно ниже рекомендованных значений. Это связано с тем, что финансирование текущей деятельности ведется в основном за счет привлечения кредитных ресурсов. Анализ платежеспособности демонстрирует динамику улучшения и увеличения коэффициентов. Таким образом, учитывая высокую социально-экономическую значимость компании, положительную динамику улучшения показателей, быстрый рост доходов, наличие положительной кредитной истории, компанию можно оценить как стабильно растущую. В 2013-2015 гг. собственного капитала не достаточно для исполнения краткосрочных обязательств и покрытия текущих операционных расходов, это также отражает тот факт, что ООО «Газпром энерго» использует долгосрочные внешние источники финансирования.</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       </w:t>
      </w:r>
      <w:r>
        <w:rPr>
          <w:rFonts w:cs="Times New Roman" w:ascii="Times New Roman" w:hAnsi="Times New Roman"/>
          <w:color w:val="000000"/>
          <w:sz w:val="28"/>
          <w:szCs w:val="28"/>
          <w:highlight w:val="white"/>
        </w:rPr>
        <w:t xml:space="preserve">Также следует проанализировать затраты при производстве энергии и выделить самые емкие в доле себестоимости.   Производственные затраты в энергетике называют либо годовыми издержками производства (поскольку рассчитывается, как правило, за год), либо текущими затратами. Все эти синонимы имеют одну и ту же экономическую сущность, поскольку призваны оценивать текущие производственные затраты, с которыми соотносятся все другие технико – экономические показатели производственно-хозяйственной деятельности. Себестоимость – это удельные эксплуатационные расходы, отнесенные на ед. произведенной продукции. Она является важнейшим, а по своему экономическому содержанию и наиболее совершенным показателем эффективности производства, поскольку в ней комплексно отражается уровень трудовых, материальных и финансовых затрат. </w:t>
      </w:r>
    </w:p>
    <w:p>
      <w:pPr>
        <w:pStyle w:val="Normal"/>
        <w:spacing w:lineRule="auto" w:line="360" w:before="0" w:after="0"/>
        <w:jc w:val="both"/>
        <w:rPr/>
      </w:pPr>
      <w:r>
        <w:rPr>
          <w:rFonts w:cs="Times New Roman" w:ascii="Times New Roman" w:hAnsi="Times New Roman"/>
          <w:sz w:val="28"/>
          <w:szCs w:val="28"/>
        </w:rPr>
        <w:t xml:space="preserve">Таблица 7  –  </w:t>
      </w:r>
      <w:r>
        <w:rPr>
          <w:rFonts w:cs="Times New Roman" w:ascii="Times New Roman" w:hAnsi="Times New Roman"/>
          <w:b w:val="false"/>
          <w:i w:val="false"/>
          <w:caps w:val="false"/>
          <w:smallCaps w:val="false"/>
          <w:color w:val="000000"/>
          <w:spacing w:val="0"/>
          <w:sz w:val="28"/>
          <w:szCs w:val="28"/>
          <w:highlight w:val="white"/>
        </w:rPr>
        <w:t>Показатели обеспеченности и эффективности использования основных средств.</w:t>
      </w:r>
    </w:p>
    <w:tbl>
      <w:tblPr>
        <w:tblW w:w="10170" w:type="dxa"/>
        <w:jc w:val="left"/>
        <w:tblInd w:w="106" w:type="dxa"/>
        <w:tblBorders>
          <w:top w:val="single" w:sz="6" w:space="0" w:color="000001"/>
          <w:left w:val="single" w:sz="6" w:space="0" w:color="000001"/>
          <w:bottom w:val="single" w:sz="2" w:space="0" w:color="000001"/>
          <w:insideH w:val="single" w:sz="2" w:space="0" w:color="000001"/>
        </w:tblBorders>
        <w:tblCellMar>
          <w:top w:w="120" w:type="dxa"/>
          <w:left w:w="96" w:type="dxa"/>
          <w:bottom w:w="120" w:type="dxa"/>
          <w:right w:w="120" w:type="dxa"/>
        </w:tblCellMar>
      </w:tblPr>
      <w:tblGrid>
        <w:gridCol w:w="3220"/>
        <w:gridCol w:w="1394"/>
        <w:gridCol w:w="1361"/>
        <w:gridCol w:w="1394"/>
        <w:gridCol w:w="1392"/>
        <w:gridCol w:w="1408"/>
      </w:tblGrid>
      <w:tr>
        <w:trPr/>
        <w:tc>
          <w:tcPr>
            <w:tcW w:w="3220" w:type="dxa"/>
            <w:tcBorders>
              <w:top w:val="single" w:sz="6"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Показатели</w:t>
            </w:r>
          </w:p>
        </w:tc>
        <w:tc>
          <w:tcPr>
            <w:tcW w:w="1394" w:type="dxa"/>
            <w:tcBorders>
              <w:top w:val="single" w:sz="6"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2012г</w:t>
            </w:r>
          </w:p>
        </w:tc>
        <w:tc>
          <w:tcPr>
            <w:tcW w:w="1361" w:type="dxa"/>
            <w:tcBorders>
              <w:top w:val="single" w:sz="6"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2013г</w:t>
            </w:r>
          </w:p>
        </w:tc>
        <w:tc>
          <w:tcPr>
            <w:tcW w:w="1394" w:type="dxa"/>
            <w:tcBorders>
              <w:top w:val="single" w:sz="6"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2014г</w:t>
            </w:r>
          </w:p>
        </w:tc>
        <w:tc>
          <w:tcPr>
            <w:tcW w:w="1392" w:type="dxa"/>
            <w:tcBorders>
              <w:top w:val="single" w:sz="6"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2015г</w:t>
            </w:r>
          </w:p>
        </w:tc>
        <w:tc>
          <w:tcPr>
            <w:tcW w:w="1408" w:type="dxa"/>
            <w:tcBorders>
              <w:top w:val="single" w:sz="6"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2016г</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Фондообеспеченность, тыс.р.</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5,69</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5,56</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5,26</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5,28</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5,06</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Фондовооруженность, тыс.р.</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267,06</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258,6</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224,32</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247,83</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244,92</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Энергообеспеченность, л.с.</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1,68</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1,74</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2,00</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1,69</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1,64</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Энерговооруженность,</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79,04</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80,95</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85,08</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79,21</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79,67</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Электрообеспеченность, кВт/ч.</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0,136</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0,155</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0,189</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0,14</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0,12</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Электровооруженность, кВт/ч.</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6,4</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7,25</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8,02</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6,57</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5,825</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Фондоотдача, руб.</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0,016</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0,01</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0,02</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0,03</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0,031</w:t>
            </w:r>
          </w:p>
        </w:tc>
      </w:tr>
      <w:tr>
        <w:trPr/>
        <w:tc>
          <w:tcPr>
            <w:tcW w:w="3220" w:type="dxa"/>
            <w:tcBorders>
              <w:top w:val="single" w:sz="2" w:space="0" w:color="000001"/>
              <w:left w:val="single" w:sz="6" w:space="0" w:color="000001"/>
              <w:bottom w:val="single" w:sz="2" w:space="0" w:color="000001"/>
              <w:insideH w:val="single" w:sz="2"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Фондоемкость</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62,5</w:t>
            </w:r>
          </w:p>
        </w:tc>
        <w:tc>
          <w:tcPr>
            <w:tcW w:w="1361"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100</w:t>
            </w:r>
          </w:p>
        </w:tc>
        <w:tc>
          <w:tcPr>
            <w:tcW w:w="1394"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50</w:t>
            </w:r>
          </w:p>
        </w:tc>
        <w:tc>
          <w:tcPr>
            <w:tcW w:w="1392" w:type="dxa"/>
            <w:tcBorders>
              <w:top w:val="single" w:sz="2" w:space="0" w:color="000001"/>
              <w:left w:val="single" w:sz="2" w:space="0" w:color="000001"/>
              <w:bottom w:val="single" w:sz="2" w:space="0" w:color="000001"/>
              <w:insideH w:val="single" w:sz="2"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33,33</w:t>
            </w:r>
          </w:p>
        </w:tc>
        <w:tc>
          <w:tcPr>
            <w:tcW w:w="1408" w:type="dxa"/>
            <w:tcBorders>
              <w:top w:val="single" w:sz="2" w:space="0" w:color="000001"/>
              <w:left w:val="single" w:sz="2" w:space="0" w:color="000001"/>
              <w:bottom w:val="single" w:sz="2" w:space="0" w:color="000001"/>
              <w:right w:val="single" w:sz="6" w:space="0" w:color="000001"/>
              <w:insideH w:val="single" w:sz="2"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32,25</w:t>
            </w:r>
          </w:p>
        </w:tc>
      </w:tr>
      <w:tr>
        <w:trPr/>
        <w:tc>
          <w:tcPr>
            <w:tcW w:w="3220" w:type="dxa"/>
            <w:tcBorders>
              <w:top w:val="single" w:sz="6" w:space="0" w:color="000001"/>
              <w:left w:val="single" w:sz="6" w:space="0" w:color="000001"/>
              <w:bottom w:val="single" w:sz="6" w:space="0" w:color="000001"/>
              <w:insideH w:val="single" w:sz="6" w:space="0" w:color="000001"/>
            </w:tcBorders>
            <w:shd w:fill="auto" w:val="clear"/>
            <w:tcMar>
              <w:left w:w="96" w:type="dxa"/>
            </w:tcMa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Рентабельность ОПФ,%</w:t>
            </w:r>
          </w:p>
        </w:tc>
        <w:tc>
          <w:tcPr>
            <w:tcW w:w="1394" w:type="dxa"/>
            <w:tcBorders>
              <w:top w:val="single" w:sz="6" w:space="0" w:color="000001"/>
              <w:left w:val="single" w:sz="2" w:space="0" w:color="000001"/>
              <w:bottom w:val="single" w:sz="6" w:space="0" w:color="000001"/>
              <w:insideH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-1,3</w:t>
            </w:r>
          </w:p>
        </w:tc>
        <w:tc>
          <w:tcPr>
            <w:tcW w:w="1361" w:type="dxa"/>
            <w:tcBorders>
              <w:top w:val="single" w:sz="6" w:space="0" w:color="000001"/>
              <w:left w:val="single" w:sz="2" w:space="0" w:color="000001"/>
              <w:bottom w:val="single" w:sz="6" w:space="0" w:color="000001"/>
              <w:insideH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-2,1</w:t>
            </w:r>
          </w:p>
        </w:tc>
        <w:tc>
          <w:tcPr>
            <w:tcW w:w="1394" w:type="dxa"/>
            <w:tcBorders>
              <w:top w:val="single" w:sz="6" w:space="0" w:color="000001"/>
              <w:left w:val="single" w:sz="2" w:space="0" w:color="000001"/>
              <w:bottom w:val="single" w:sz="6" w:space="0" w:color="000001"/>
              <w:insideH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-0,3</w:t>
            </w:r>
          </w:p>
        </w:tc>
        <w:tc>
          <w:tcPr>
            <w:tcW w:w="1392" w:type="dxa"/>
            <w:tcBorders>
              <w:top w:val="single" w:sz="6" w:space="0" w:color="000001"/>
              <w:left w:val="single" w:sz="2" w:space="0" w:color="000001"/>
              <w:bottom w:val="single" w:sz="6" w:space="0" w:color="000001"/>
              <w:insideH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0,67</w:t>
            </w:r>
          </w:p>
        </w:tc>
        <w:tc>
          <w:tcPr>
            <w:tcW w:w="1408" w:type="dxa"/>
            <w:tcBorders>
              <w:top w:val="single" w:sz="6" w:space="0" w:color="000001"/>
              <w:left w:val="single" w:sz="2" w:space="0" w:color="000001"/>
              <w:bottom w:val="single" w:sz="6" w:space="0" w:color="000001"/>
              <w:right w:val="single" w:sz="6" w:space="0" w:color="000001"/>
              <w:insideH w:val="single" w:sz="6" w:space="0" w:color="000001"/>
              <w:insideV w:val="single" w:sz="6" w:space="0" w:color="000001"/>
            </w:tcBorders>
            <w:shd w:fill="auto" w:val="clear"/>
            <w:tcMar>
              <w:left w:w="113" w:type="dxa"/>
            </w:tcMar>
            <w:vAlign w:val="center"/>
          </w:tcPr>
          <w:p>
            <w:pPr>
              <w:pStyle w:val="Style37"/>
              <w:spacing w:lineRule="auto" w:line="360" w:before="0" w:after="200"/>
              <w:jc w:val="both"/>
              <w:rPr>
                <w:rFonts w:ascii="Times New Roman" w:hAnsi="Times New Roman"/>
                <w:sz w:val="28"/>
                <w:szCs w:val="28"/>
              </w:rPr>
            </w:pPr>
            <w:r>
              <w:rPr>
                <w:rFonts w:ascii="Times New Roman" w:hAnsi="Times New Roman"/>
                <w:sz w:val="28"/>
                <w:szCs w:val="28"/>
              </w:rPr>
              <w:t>1,63</w:t>
            </w:r>
          </w:p>
        </w:tc>
      </w:tr>
    </w:tbl>
    <w:p>
      <w:pPr>
        <w:pStyle w:val="Style22"/>
        <w:widowControl/>
        <w:spacing w:lineRule="auto" w:line="360" w:before="0" w:after="283"/>
        <w:jc w:val="both"/>
        <w:rPr>
          <w:rFonts w:ascii="Times New Roman" w:hAnsi="Times New Roman"/>
          <w:b w:val="false"/>
          <w:b w:val="false"/>
          <w:i w:val="false"/>
          <w:i w:val="false"/>
          <w:caps w:val="false"/>
          <w:smallCaps w:val="false"/>
          <w:color w:val="000000"/>
          <w:spacing w:val="0"/>
          <w:sz w:val="28"/>
          <w:szCs w:val="28"/>
        </w:rPr>
      </w:pPr>
      <w:r>
        <w:rPr>
          <w:b w:val="false"/>
          <w:i w:val="false"/>
          <w:caps w:val="false"/>
          <w:smallCaps w:val="false"/>
          <w:color w:val="000000"/>
          <w:spacing w:val="0"/>
          <w:sz w:val="28"/>
          <w:szCs w:val="28"/>
        </w:rPr>
        <w:t>Показатель Фондоотдача в 2014 году по сравнению с 2012 году увеличился на 93,75% так как в этот период произошло увеличение стоимости товарной продукции на 77%, а среднегодовая стоимость основных производственных фондов уменьшилась на 18,5% .</w:t>
      </w:r>
    </w:p>
    <w:p>
      <w:pPr>
        <w:pStyle w:val="Normal"/>
        <w:spacing w:lineRule="auto" w:line="360"/>
        <w:ind w:left="0" w:right="0" w:firstLine="54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r>
        <w:br w:type="page"/>
      </w:r>
    </w:p>
    <w:p>
      <w:pPr>
        <w:pStyle w:val="Normal"/>
        <w:spacing w:lineRule="auto" w:line="360" w:before="0" w:after="0"/>
        <w:jc w:val="center"/>
        <w:rPr/>
      </w:pPr>
      <w:r>
        <w:rPr>
          <w:rFonts w:cs="Times New Roman" w:ascii="Times New Roman" w:hAnsi="Times New Roman"/>
          <w:color w:val="000000"/>
          <w:sz w:val="28"/>
          <w:szCs w:val="28"/>
          <w:highlight w:val="white"/>
        </w:rPr>
        <w:t>Глава 3. Индивидуальное задание</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Бухгалтерский учет в Обществе ведется в соответствии с учетной политикой, утвержденной генеральным директором организации. Учетная политика ОАО «ВИФ» разработана в соответствии Федеральном и Приказом Минфина России от 06.10.2008 N 106н (ред. от 06.04.2015) «Об утверждении положений по бухгалтерскому учету» (вместе с «Положением по бухгалтерскому учету «Учетная политика организации» (ПБУ 1/2008)», «Положением по бухгалтерскому учету «Изменения оценочных значений» (ПБУ 21/2008)»).</w:t>
      </w:r>
    </w:p>
    <w:p>
      <w:pPr>
        <w:pStyle w:val="Normal"/>
        <w:spacing w:lineRule="auto" w:line="360" w:before="0" w:after="0"/>
        <w:ind w:left="0" w:right="0" w:firstLine="680"/>
        <w:jc w:val="both"/>
        <w:rPr/>
      </w:pPr>
      <w:r>
        <w:rPr>
          <w:rFonts w:cs="Times New Roman" w:ascii="Times New Roman" w:hAnsi="Times New Roman"/>
          <w:color w:val="000000"/>
          <w:spacing w:val="1"/>
          <w:sz w:val="28"/>
          <w:szCs w:val="28"/>
          <w:highlight w:val="white"/>
        </w:rPr>
        <w:t xml:space="preserve">Бухгалтерия предприятия состоит из главного бухгалтера, его заместителя и служб, </w:t>
      </w:r>
      <w:r>
        <w:rPr>
          <w:rFonts w:cs="Times New Roman" w:ascii="Times New Roman" w:hAnsi="Times New Roman"/>
          <w:color w:val="000000"/>
          <w:sz w:val="28"/>
          <w:szCs w:val="28"/>
          <w:highlight w:val="white"/>
        </w:rPr>
        <w:t xml:space="preserve">разделенных по функциональным признакам. Бухгалтерия ведет учет финансово-хозяйственной деятельности, обрабатывает первичную документацию, составляет бухгалтерскую отчетность и </w:t>
      </w:r>
      <w:r>
        <w:rPr>
          <w:rFonts w:cs="Times New Roman" w:ascii="Times New Roman" w:hAnsi="Times New Roman"/>
          <w:color w:val="000000"/>
          <w:spacing w:val="2"/>
          <w:sz w:val="28"/>
          <w:szCs w:val="28"/>
          <w:highlight w:val="white"/>
        </w:rPr>
        <w:t>представляет ее в государственные органы, учредителям и внешним пользователям. Учет автоматизирован.</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Для отражения хозяйственной деятельности предприятия используются синтетические счета согласно плану счетов бухгалтерского учета. Субсчета открываются в соответствии с планом счетов. Для тех счетов, для которых план не предусматривает конкретных субсчетов, предприятие самостоятельно открывает субсчета для отражения специфических операций.</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Учет основных средств ведется в соответствии с ПБУ 6/01. Амортизация по основным средствам начисляется с использованием линейного метода. Затраты на ремонт основных средств относятся непосредственно на производственные издержки по статьям затрат по мере выполнения ремонтных работ.</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xml:space="preserve">Финансирование капитальных вложений, расходы, производимые за счет чистой прибыли, относятся непосредственно на счет 84 «Нераспределенная прибыль (непокрытый убыток)». Учет процесса приобретения и заготовления материально производственных запасов осуществляется по фактической себестоимости на счете 10 «Материалы». Списание производственных запасов производится по средневзвешенной себестоимости (ПБУ 5/01.). Производственные запасы, переданные в переработку, отражаются на обособленном субсчете, открываемом к счету 10 «Сырье и материалы». Затраты на переработку включаются в состав общепроизводственных расходов. </w:t>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Учет издержек обращения в торговле ведется на счете 44 «Расходы на продажу» (согласно плану счетов). Расходы на продажу распределяются между отдельными видами продукции пропорционально удельному весу выручки от реализации конкретного вида продукции в общем объеме выручки.</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Налоговый учет в ООО «Газпром энерго» осуществляет бухгалтерия Общества. Система налогового учета организуется ООО «Газпром энерго» применяется последовательно от одного налогового периода к другому. Основные положения налогового учета отражены в учетной политике ООО «Газпром энерго». Изменение учетной политики ООО «Газпром энерго» для целей налогообложения допускается в случае изменения налогового законодательства.</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Моментом возникновения налоговых обязательств по НДС является дата оплаты выполненных работ. ООО «Газпром энерго» производится корректировка ранее зачтенного в качестве налогового вычета НДС, уплаченного поставщикам за полученные МП3, в момент отпуска этих ресурсов на выполнение строительно-монтажных работ.</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Осуществляется раздельный учет операций, облагаемых и не облагаемых НДС. Учет ведется с применением счетов бухгалтерского учета (к счету 90 «Продажи» субсчет 90-1 «Выручка» и счету 62 «Расчеты с покупателями и заказчиками»).</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Уплата НДС и сдача налоговой декларации производится ежеквартально, не позднее 20-го числа месяца, следующего за истекшим месяцем. Доходом от реализации для целей налогообложения признаются выручка от выполнения работ, выручка от реализации имущества и имущественных прав. Расходами в целях налогообложения признаются обоснованные и документально подтвержденные затраты, понесенные ООО «Газпром энерго». Способом определения доходов и расходов является метод начисления.</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При отпуске материально-производственных запасов в производство и ином выбытии их оценка производится по методу ФИФО. Товары, приобретенные для непроизводственного потребления, списываются исходя из фактических затрат, связанных с их приобретением, аналогично прочим материально-производственным запасам.</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Амортизация рассчитывается линейным методом. Методы ускоренной амортизации ООО «Газпром энерго» не применяются. Срок полезного использования амортизируемого имущества определяется Обществом в соответствии с классификацией основных средств, включаемых в амортизационные группы, утвержденной постановлением Правительства РФ от 1 января 2002 г. № 1.</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Резервы по сомнительным долгам и под обесценение ценных бумаг Обществом не формируются. Резервы предстоящих расходов и платежей Обществом не формируются.</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ООО «Газпром энерго» производит ежемесячные начисления и уплату авансовых платежей по налогу на прибыль в установленные налоговым законодательством сроки. Налоговый учет ведется с применением первичных учетных документов (включая справку бухгалтера); используются аналитические регистры налогового учета. Регистры налогового учета ведутся предприятием в виде специальных форм на бумажных носителях, в электронном виде и (или) на любых машинных носителях.</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Информация, содержащаяся в регистрах бухгалтерского и налогового учета, представляет собой коммерческую тайну и не может быть раскрыта иным участникам гражданско-правовых отношений.</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Таким образом, учетная политика организации ООО «Газпром энерго» составлена в соответствии с действующими на территории РФ нормативно-правовыми документами. Она устанавливает правила ведения бухгалтерского учета на предприятии, начиная отражением хозяйственных операций в первичных документах и закачивая их группировкой в бухгалтерской отчетности.  Важнейшим фактором эффективности основной деятельности предприятия является состояние производственного потенциала. Наличие, состояние и изменение важнейшего элемента производственного потенциала предприятия – его основных средств, позволяет достаточно подробно проанализировать бухгалтерская отчетность. Производственные основные фонды являются производственно-технической базой предприятия. Анализ показателей проведен по материалам ООО «Газпром энерго» за 2013-2015 гг.</w:t>
      </w:r>
    </w:p>
    <w:p>
      <w:pPr>
        <w:pStyle w:val="Normal"/>
        <w:spacing w:lineRule="auto" w:line="360" w:before="0" w:after="0"/>
        <w:ind w:left="0" w:right="0" w:firstLine="624"/>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jc w:val="both"/>
        <w:rPr/>
      </w:pPr>
      <w:r>
        <w:rPr>
          <w:rFonts w:cs="Times New Roman" w:ascii="Times New Roman" w:hAnsi="Times New Roman"/>
          <w:color w:val="000000"/>
          <w:sz w:val="28"/>
          <w:szCs w:val="28"/>
          <w:highlight w:val="white"/>
        </w:rPr>
        <w:t>Таблица 8. Эффективность использования основных средств</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ОАО «Газпром газораспределение г.Уфа» за 2013-2015 гг.</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tbl>
      <w:tblPr>
        <w:tblW w:w="9649" w:type="dxa"/>
        <w:jc w:val="left"/>
        <w:tblInd w:w="-18" w:type="dxa"/>
        <w:tblBorders>
          <w:top w:val="single" w:sz="2" w:space="0" w:color="000001"/>
          <w:left w:val="single" w:sz="2" w:space="0" w:color="000001"/>
          <w:bottom w:val="single" w:sz="2" w:space="0" w:color="000001"/>
          <w:insideH w:val="single" w:sz="2" w:space="0" w:color="000001"/>
        </w:tblBorders>
        <w:tblCellMar>
          <w:top w:w="0" w:type="dxa"/>
          <w:left w:w="-2" w:type="dxa"/>
          <w:bottom w:w="28" w:type="dxa"/>
          <w:right w:w="28" w:type="dxa"/>
        </w:tblCellMar>
      </w:tblPr>
      <w:tblGrid>
        <w:gridCol w:w="3394"/>
        <w:gridCol w:w="1186"/>
        <w:gridCol w:w="1186"/>
        <w:gridCol w:w="1186"/>
        <w:gridCol w:w="1562"/>
        <w:gridCol w:w="1134"/>
      </w:tblGrid>
      <w:tr>
        <w:trPr/>
        <w:tc>
          <w:tcPr>
            <w:tcW w:w="3394" w:type="dxa"/>
            <w:vMerge w:val="restart"/>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Показатели</w:t>
            </w:r>
          </w:p>
        </w:tc>
        <w:tc>
          <w:tcPr>
            <w:tcW w:w="1186" w:type="dxa"/>
            <w:vMerge w:val="restart"/>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2013 г.</w:t>
            </w:r>
          </w:p>
        </w:tc>
        <w:tc>
          <w:tcPr>
            <w:tcW w:w="1186" w:type="dxa"/>
            <w:vMerge w:val="restart"/>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2014 г.</w:t>
            </w:r>
          </w:p>
        </w:tc>
        <w:tc>
          <w:tcPr>
            <w:tcW w:w="1186" w:type="dxa"/>
            <w:vMerge w:val="restart"/>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2015 г.</w:t>
            </w:r>
          </w:p>
        </w:tc>
        <w:tc>
          <w:tcPr>
            <w:tcW w:w="2696" w:type="dxa"/>
            <w:gridSpan w:val="2"/>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2015 г. к 2013 г.</w:t>
            </w:r>
          </w:p>
        </w:tc>
      </w:tr>
      <w:tr>
        <w:trPr/>
        <w:tc>
          <w:tcPr>
            <w:tcW w:w="3394" w:type="dxa"/>
            <w:vMerge w:val="continue"/>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widowControl/>
              <w:bidi w:val="0"/>
              <w:spacing w:lineRule="auto" w:line="276" w:before="0" w:after="200"/>
              <w:jc w:val="left"/>
              <w:rPr/>
            </w:pPr>
            <w:r>
              <w:rPr/>
            </w:r>
          </w:p>
        </w:tc>
        <w:tc>
          <w:tcPr>
            <w:tcW w:w="1186" w:type="dxa"/>
            <w:vMerge w:val="continue"/>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widowControl/>
              <w:bidi w:val="0"/>
              <w:spacing w:lineRule="auto" w:line="276" w:before="0" w:after="200"/>
              <w:jc w:val="left"/>
              <w:rPr/>
            </w:pPr>
            <w:r>
              <w:rPr/>
            </w:r>
          </w:p>
        </w:tc>
        <w:tc>
          <w:tcPr>
            <w:tcW w:w="1186" w:type="dxa"/>
            <w:vMerge w:val="continue"/>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widowControl/>
              <w:bidi w:val="0"/>
              <w:spacing w:lineRule="auto" w:line="276" w:before="0" w:after="200"/>
              <w:jc w:val="left"/>
              <w:rPr/>
            </w:pPr>
            <w:r>
              <w:rPr/>
            </w:r>
          </w:p>
        </w:tc>
        <w:tc>
          <w:tcPr>
            <w:tcW w:w="1186" w:type="dxa"/>
            <w:vMerge w:val="continue"/>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widowControl/>
              <w:bidi w:val="0"/>
              <w:spacing w:lineRule="auto" w:line="276" w:before="0" w:after="200"/>
              <w:jc w:val="left"/>
              <w:rPr/>
            </w:pPr>
            <w:r>
              <w:rPr/>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 илн. руб.</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before="0" w:after="20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w:t>
            </w:r>
          </w:p>
        </w:tc>
      </w:tr>
      <w:tr>
        <w:trPr>
          <w:trHeight w:val="285"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Объём выполненных работ и оказанных услуг, млн. руб.</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5 893 464</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6 402 222</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6 913 452</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1 019 988</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117,3</w:t>
            </w:r>
          </w:p>
        </w:tc>
      </w:tr>
      <w:tr>
        <w:trPr>
          <w:trHeight w:val="285"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Чистая прибыль, млн. руб.</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325 244</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220 764</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265 948</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-59 296</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81,7</w:t>
            </w:r>
          </w:p>
        </w:tc>
      </w:tr>
      <w:tr>
        <w:trPr>
          <w:trHeight w:val="285"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Среднегодовая стоимость основных средств, млн. руб.</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4174396</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4689983</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5082146</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907 750</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121,7</w:t>
            </w:r>
          </w:p>
        </w:tc>
      </w:tr>
      <w:tr>
        <w:trPr>
          <w:trHeight w:val="285"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bottom"/>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Фондоотдача, руб./ руб.</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1,41</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1,37</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1,36</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-0,05</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96,4</w:t>
            </w:r>
          </w:p>
        </w:tc>
      </w:tr>
      <w:tr>
        <w:trPr>
          <w:trHeight w:val="360"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Фондоемкость, руб./ руб.</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0,71</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0,73</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0,74</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0,03</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104,2</w:t>
            </w:r>
          </w:p>
        </w:tc>
      </w:tr>
      <w:tr>
        <w:trPr>
          <w:trHeight w:val="270" w:hRule="atLeast"/>
        </w:trPr>
        <w:tc>
          <w:tcPr>
            <w:tcW w:w="3394"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Фондорентабельность, %</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7,79</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4,71</w:t>
            </w:r>
          </w:p>
        </w:tc>
        <w:tc>
          <w:tcPr>
            <w:tcW w:w="1186"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5,23</w:t>
            </w:r>
          </w:p>
        </w:tc>
        <w:tc>
          <w:tcPr>
            <w:tcW w:w="1562" w:type="dxa"/>
            <w:tcBorders>
              <w:top w:val="single" w:sz="2" w:space="0" w:color="000001"/>
              <w:left w:val="single" w:sz="2" w:space="0" w:color="000001"/>
              <w:bottom w:val="single" w:sz="2" w:space="0" w:color="000001"/>
              <w:insideH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-2,56</w:t>
            </w:r>
          </w:p>
        </w:tc>
        <w:tc>
          <w:tcPr>
            <w:tcW w:w="113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Mar>
              <w:left w:w="-2" w:type="dxa"/>
            </w:tcMar>
            <w:vAlign w:val="center"/>
          </w:tcPr>
          <w:p>
            <w:pPr>
              <w:pStyle w:val="Normal"/>
              <w:spacing w:lineRule="auto" w:line="360" w:before="0" w:after="0"/>
              <w:jc w:val="center"/>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67,1</w:t>
            </w:r>
          </w:p>
          <w:p>
            <w:pPr>
              <w:pStyle w:val="Normal"/>
              <w:spacing w:lineRule="auto" w:line="360" w:before="0" w:after="0"/>
              <w:jc w:val="center"/>
              <w:rPr>
                <w:rFonts w:cs="Times New Roman"/>
              </w:rPr>
            </w:pPr>
            <w:r>
              <w:rPr>
                <w:rFonts w:cs="Times New Roman"/>
              </w:rPr>
            </w:r>
          </w:p>
        </w:tc>
      </w:tr>
    </w:tbl>
    <w:p>
      <w:pPr>
        <w:pStyle w:val="Normal"/>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ind w:left="0" w:right="0" w:firstLine="68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По результатам анализа на ООО «Газпром энерго» показатель фондоотдачи сократился на 0,05 единиц измерения, что связано с превышением темпов роста среднегодовой стоимости основных средств на 21,7% над темпами роста объема выполненных работ и оказанных услуг на 17,3%. Сокращение фондоотдачи привело к росту фондоёмкости на 4,2%. Отрицательным моментом в использовании основных фондов на предприятии является снижение показателя фондорентабельности более, чем на половину, что связано со значительным снижением темпов роста прибыли от реализации работ и услуг предприятия и ростом темпов среднегодовой стоимости основных фондов.</w:t>
      </w:r>
    </w:p>
    <w:p>
      <w:pPr>
        <w:pStyle w:val="Normal"/>
        <w:spacing w:lineRule="auto" w:line="360" w:before="0" w:after="0"/>
        <w:ind w:left="0" w:right="0" w:firstLine="680"/>
        <w:jc w:val="both"/>
        <w:rPr/>
      </w:pPr>
      <w:r>
        <w:rPr>
          <w:rFonts w:cs="Times New Roman" w:ascii="Times New Roman" w:hAnsi="Times New Roman"/>
          <w:color w:val="000000"/>
          <w:sz w:val="28"/>
          <w:szCs w:val="28"/>
          <w:highlight w:val="white"/>
        </w:rPr>
        <w:t>В целях повышения эффективности использования основных средств в ООО «Газпром энерго», рекомендуется: усовершенствовать технологическую структуру основных фондов, что предполагает увеличение удельного веса и преимущественное направление средств в наиболее прогрессивную часть технологического оборудования. Как известно, чем прогрессивнее технологическая структура основных фондов, тем значительнее происходит снижение показателей трудоемкости и себестоимости продукции; улучшить возрастную структуру, сократить удельный вес оборудования со сроком эксплуатации свыше 10 лет, поскольку улучшение возрастной структуры позволяет снизить затраты на содержание, сократить простои машин и оборудования, повысить выработку продукции на рубль фондов, сократить количество ремонтных работ; уменьшить количество излишнего оборудования и вовлечь в производство неустановленное оборудование; повысить квалификацию и профессиональное мастерство рабочих.</w:t>
      </w:r>
    </w:p>
    <w:p>
      <w:pPr>
        <w:pStyle w:val="Normal"/>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r>
        <w:br w:type="page"/>
      </w:r>
    </w:p>
    <w:p>
      <w:pPr>
        <w:pStyle w:val="Normal"/>
        <w:spacing w:lineRule="auto" w:line="360" w:before="0" w:after="0"/>
        <w:jc w:val="center"/>
        <w:rPr/>
      </w:pPr>
      <w:r>
        <w:rPr>
          <w:rFonts w:cs="Times New Roman" w:ascii="Times New Roman" w:hAnsi="Times New Roman"/>
          <w:color w:val="000000"/>
          <w:sz w:val="28"/>
          <w:szCs w:val="28"/>
          <w:highlight w:val="white"/>
        </w:rPr>
        <w:t>Заключение</w:t>
      </w:r>
    </w:p>
    <w:p>
      <w:pPr>
        <w:pStyle w:val="Normal"/>
        <w:spacing w:lineRule="auto" w:line="360" w:before="0" w:after="0"/>
        <w:ind w:left="0" w:right="0" w:firstLine="737"/>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lineRule="auto" w:line="360" w:before="0" w:after="0"/>
        <w:ind w:left="0" w:right="0" w:firstLine="737"/>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t>Несмотря на относительно скромную долю малой энергетики в энергобалансе страны, значимость ее трудно переоценить. По разным оценкам, от 50 до 70 % территории России не охвачены централизованным электроснабжением, а по централизованному теплоснабжению до 80%. Потенциал ООО «Газпром энерго» в традиционном секторе малой энергетики также весьма значителен: суммарная мощность малых электростанций составляет 17 ГВт (8% от совокупной установленной мощности электростанций РФ). Около 26% от общего производства тепла в РФ вырабатывается на малых котельных и индивидуальных отопительных установках. Моральный и физический износ этих мощностей составляет 80%.Небольшие маневренные высокоэкономичные электростанции, не требующие больших капитальных затрат на строительство и способные динамически изменять параметры производства электроэнергии и тепла в зависимости от потребностей потребителя обладают значительными конкурентными преимуществами. По стоимости электроэнергии и срокам окупаемости малые электростанции, работающие на природном газе, способны конкурировать не только с обычными ДЭС, но и с мощными электростанциями в системе централизованного электроснабжения.</w:t>
      </w:r>
    </w:p>
    <w:p>
      <w:pPr>
        <w:pStyle w:val="Normal"/>
        <w:spacing w:lineRule="auto" w:line="360" w:before="0" w:after="0"/>
        <w:ind w:left="0" w:right="0" w:firstLine="737"/>
        <w:jc w:val="both"/>
        <w:rPr/>
      </w:pPr>
      <w:r>
        <w:rPr>
          <w:rFonts w:cs="Times New Roman" w:ascii="Times New Roman" w:hAnsi="Times New Roman"/>
          <w:color w:val="000000"/>
          <w:sz w:val="28"/>
          <w:szCs w:val="28"/>
          <w:highlight w:val="white"/>
        </w:rPr>
        <w:t>После 2008 года, энергопотребление в России снижалось и достигло минимума в 2009 г. Причем снижение от максимальных уровней было около 20%. Затем начался плавный рост - в среднем в 2011-2015 г. потребление росло на 1.7%. Однако в 2015 г. образовался качественный скачок - потребление выросло на 4.2%. Теперь РАО ЕЭС России прогнозирует ежегодный рост на 5%. Потому, долгое время, новые мощности практически не вводились (с избытком хватало старых), но в настоящее время дефицит электроэнергии заставил стимулировать инвестиции в новые мощности. Электроэнергетика России на современном этапе характеризуется неопределенностью, связанной с реформированием структуры РАО ЕЭС России и ее дочерних обществ, и повышенным износом основных производственных мощностей. Сложившаяся сейчас в РФ ситуация явно неблагоприятна для реализации долгосрочных и фондоемких проектов. Это заставляет наряду с мерами интенсивного характера оперативно искать скрытые резервы в самих системах электроэнергетики в целом и, в частности, в системах электроснабжения отдельных районов страны и промышленных объектов различного профиля, реализуемые с меньшими затратами. Кроме того, такие виды топлива, как уголь и мазут в большинстве регионов не имеют перспективы в силу целого ряда причин (дороговизна добычи и транспортировки, неудовлетворительные экологические характеристики и т.д.). Все это вызвало острую потребность предприятий и муниципальных структур в форсированной разработке мобильных и легко сборных автоматизированных газотурбинных электростанций (ООО «Газпром энерго») различной (обычно небольшой) мощности с улучшенными технико-экономическими показателями, а также с использованием современных технологий. Разработка и строительство ООО «Газпром энерго» соответствует  всем требованиям современного рынка энергетики.</w:t>
      </w:r>
    </w:p>
    <w:p>
      <w:pPr>
        <w:pStyle w:val="Normal"/>
        <w:spacing w:lineRule="auto" w:line="360" w:before="0" w:after="0"/>
        <w:jc w:val="both"/>
        <w:rPr>
          <w:rFonts w:ascii="Times New Roman" w:hAnsi="Times New Roman" w:cs="Times New Roman"/>
          <w:color w:val="000000"/>
          <w:sz w:val="28"/>
          <w:szCs w:val="28"/>
          <w:highlight w:val="white"/>
        </w:rPr>
      </w:pPr>
      <w:r>
        <w:rPr>
          <w:rFonts w:cs="Times New Roman" w:ascii="Times New Roman" w:hAnsi="Times New Roman"/>
          <w:color w:val="000000"/>
          <w:sz w:val="28"/>
          <w:szCs w:val="28"/>
          <w:highlight w:val="white"/>
        </w:rPr>
      </w:r>
    </w:p>
    <w:p>
      <w:pPr>
        <w:pStyle w:val="Normal"/>
        <w:spacing w:before="0" w:after="200"/>
        <w:jc w:val="left"/>
        <w:rPr>
          <w:rFonts w:ascii="Arial" w:hAnsi="Arial"/>
          <w:b w:val="false"/>
          <w:b w:val="false"/>
          <w:i w:val="false"/>
          <w:i w:val="false"/>
          <w:caps w:val="false"/>
          <w:smallCaps w:val="false"/>
          <w:color w:val="000000"/>
          <w:spacing w:val="0"/>
          <w:sz w:val="20"/>
        </w:rPr>
      </w:pPr>
      <w:r>
        <w:rPr>
          <w:rFonts w:ascii="Arial" w:hAnsi="Arial"/>
          <w:b w:val="false"/>
          <w:i w:val="false"/>
          <w:caps w:val="false"/>
          <w:smallCaps w:val="false"/>
          <w:color w:val="000000"/>
          <w:spacing w:val="0"/>
          <w:sz w:val="20"/>
        </w:rPr>
      </w:r>
      <w:r>
        <w:br w:type="page"/>
      </w:r>
    </w:p>
    <w:p>
      <w:pPr>
        <w:pStyle w:val="Normal"/>
        <w:spacing w:lineRule="auto" w:line="360" w:before="0" w:after="0"/>
        <w:jc w:val="left"/>
        <w:rPr/>
      </w:pPr>
      <w:r>
        <w:rPr>
          <w:rFonts w:cs="Times New Roman" w:ascii="Times New Roman" w:hAnsi="Times New Roman"/>
          <w:b w:val="false"/>
          <w:i w:val="false"/>
          <w:caps w:val="false"/>
          <w:smallCaps w:val="false"/>
          <w:color w:val="000000"/>
          <w:spacing w:val="0"/>
          <w:sz w:val="28"/>
          <w:szCs w:val="28"/>
          <w:highlight w:val="white"/>
        </w:rPr>
        <w:t>Список используемой литературы</w:t>
      </w:r>
    </w:p>
    <w:p>
      <w:pPr>
        <w:pStyle w:val="Normal"/>
        <w:spacing w:before="0" w:after="200"/>
        <w:jc w:val="left"/>
        <w:rPr>
          <w:rFonts w:ascii="Arial" w:hAnsi="Arial"/>
          <w:b w:val="false"/>
          <w:b w:val="false"/>
          <w:i w:val="false"/>
          <w:i w:val="false"/>
          <w:caps w:val="false"/>
          <w:smallCaps w:val="false"/>
          <w:color w:val="000000"/>
          <w:spacing w:val="0"/>
          <w:sz w:val="20"/>
        </w:rPr>
      </w:pPr>
      <w:r>
        <w:rPr>
          <w:rFonts w:ascii="Arial" w:hAnsi="Arial"/>
          <w:b w:val="false"/>
          <w:i w:val="false"/>
          <w:caps w:val="false"/>
          <w:smallCaps w:val="false"/>
          <w:color w:val="000000"/>
          <w:spacing w:val="0"/>
          <w:sz w:val="20"/>
        </w:rPr>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Берзинь И.Э., Пикунова С.А., Савченко Н.Н., Фалько С.Г. Экономика предприятия: Учебник для вузов– 2-е изд., испр. – М.: Дрофа, 2014. – 368с.</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Волков О.И., Девяткин О.В. Экономика предприятия (фирмы):Учебник – 3-е изд., доп. и перераб. – М.: ИНФРА-М, 2014. – 601с. </w:t>
      </w:r>
    </w:p>
    <w:p>
      <w:pPr>
        <w:pStyle w:val="Normal"/>
        <w:numPr>
          <w:ilvl w:val="0"/>
          <w:numId w:val="3"/>
        </w:numPr>
        <w:spacing w:lineRule="auto" w:line="360"/>
        <w:jc w:val="both"/>
        <w:rPr>
          <w:rFonts w:ascii="Times New Roman" w:hAnsi="Times New Roman"/>
          <w:sz w:val="28"/>
          <w:szCs w:val="28"/>
        </w:rPr>
      </w:pPr>
      <w:r>
        <w:rPr>
          <w:rFonts w:ascii="Times New Roman" w:hAnsi="Times New Roman"/>
          <w:b w:val="false"/>
          <w:i w:val="false"/>
          <w:caps w:val="false"/>
          <w:smallCaps w:val="false"/>
          <w:color w:val="000000"/>
          <w:spacing w:val="0"/>
          <w:sz w:val="28"/>
          <w:szCs w:val="28"/>
        </w:rPr>
        <w:t xml:space="preserve">Волков О.И., Скляренко В.К. Экономика предприятия: Курс лекций – М.: ИНФРА-М,2003. – 280с. Горфинкель В.Я., Швандар В.А. Экономика предприятия: Учебник для вузов– 3-е изд., доп. и перераб. – М.:ЮНИТИ-ДАНА,2013. – 718с.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Зайцев Н.А. Экономика промышленного предприятия: Учебник – 5-е изд., доп. и перераб. – М.: ИНФРА-М, 2014. –439с.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Ильин А.И., Станкевич В.И. Экономика предприятия: Учебное пособие – 2-е изд., испр. – М.: Новое знание,2014. – 672с.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Краснова Л.Н., Мельников Г.М. Методические рекомендации по оценке эффективности инновационных проектов. Официальное издание – М., 2015. – 178с.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Лобачева Е.Н. Научно-технический прогресс: Учебное пособие – М.: ЭКЗАМЕН, 2014. – 192с.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Пелих А.С. Экономика предприятия – Ростов н/Д: Феникс, 2012. – 416с.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Пелих А.С. Экономика предприятия(фирмы) – М.: ИКЦ «МарТ», Ростов н/Д: Издательский центр «МарТ», 2014. – 512с.</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Сергеев И.В.,Веретенникова И.И. Экономика организаций (предприятий): Учебник– 3-е изд., доп. и перераб. – М.:ТК Вебли, издательство «Проспект», 2015. – 560с.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Сергеев И. В., Веретенников И.И., Сергеев А.И Научно-технический прогресс и экономика – М.: ТК Вебли; Пропект,2014. – 378с.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Скляренко В.К., Прудников В.М., Акуленко Н.Б., Кучеренко А.И. Экономика предприятия (в схемах, таблицах, расчетах): Учебное пособие – М.: ИНФРА-М, 2014. – 256с.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Чуев Н.Н., Чечевицына Л.Н. Экономика предприятия – 2-е изд., доп. и перераб. – М.: издательско-торговая корпорация «Дашков и Ко», 2015. – 416с. </w:t>
      </w:r>
    </w:p>
    <w:p>
      <w:pPr>
        <w:pStyle w:val="Normal"/>
        <w:numPr>
          <w:ilvl w:val="0"/>
          <w:numId w:val="3"/>
        </w:numPr>
        <w:spacing w:lineRule="auto" w:line="360"/>
        <w:jc w:val="both"/>
        <w:rPr>
          <w:rFonts w:ascii="Times New Roman" w:hAnsi="Times New Roman"/>
          <w:sz w:val="28"/>
          <w:szCs w:val="28"/>
        </w:rPr>
      </w:pPr>
      <w:r>
        <w:rPr>
          <w:rFonts w:ascii="Times New Roman" w:hAnsi="Times New Roman"/>
          <w:sz w:val="28"/>
          <w:szCs w:val="28"/>
        </w:rPr>
        <w:t xml:space="preserve">Бородин В., Бородина О. Стратегия развития предприятия и инновационные приоритеты // Международный журнал «Проблемы теории и практики управления», №6 – 2015 </w:t>
      </w:r>
    </w:p>
    <w:p>
      <w:pPr>
        <w:pStyle w:val="Normal"/>
        <w:numPr>
          <w:ilvl w:val="0"/>
          <w:numId w:val="3"/>
        </w:numPr>
        <w:spacing w:lineRule="auto" w:line="360" w:before="0" w:after="200"/>
        <w:jc w:val="both"/>
        <w:rPr/>
      </w:pPr>
      <w:r>
        <w:rPr>
          <w:rFonts w:ascii="Times New Roman" w:hAnsi="Times New Roman"/>
          <w:b w:val="false"/>
          <w:i w:val="false"/>
          <w:caps w:val="false"/>
          <w:smallCaps w:val="false"/>
          <w:color w:val="000000"/>
          <w:spacing w:val="0"/>
          <w:sz w:val="28"/>
          <w:szCs w:val="28"/>
        </w:rPr>
        <w:t>Клементьева С.В. Подвинься «старое» – «новое» идет // Российское предпринимательство, №3 – 2016 Летников В.Б. На лихом коне // Российское предпринимательство, №311– 2005</w:t>
      </w:r>
      <w:r>
        <w:rPr>
          <w:rFonts w:ascii="Times New Roman" w:hAnsi="Times New Roman"/>
          <w:sz w:val="28"/>
          <w:szCs w:val="28"/>
        </w:rPr>
        <w:br/>
      </w:r>
    </w:p>
    <w:sectPr>
      <w:footerReference w:type="default" r:id="rId5"/>
      <w:type w:val="nextPage"/>
      <w:pgSz w:w="11906" w:h="16838"/>
      <w:pgMar w:left="1418" w:right="567" w:header="0" w:top="567" w:footer="0" w:bottom="828"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Times New Roman">
    <w:charset w:val="cc"/>
    <w:family w:val="roman"/>
    <w:pitch w:val="variable"/>
  </w:font>
  <w:font w:name="Tahoma">
    <w:charset w:val="cc"/>
    <w:family w:val="roman"/>
    <w:pitch w:val="variable"/>
  </w:font>
  <w:font w:name="Courier New">
    <w:charset w:val="cc"/>
    <w:family w:val="roman"/>
    <w:pitch w:val="variable"/>
  </w:font>
  <w:font w:name="Calibri Light">
    <w:charset w:val="cc"/>
    <w:family w:val="roman"/>
    <w:pitch w:val="variable"/>
  </w:font>
  <w:font w:name="Wingdings">
    <w:charset w:val="cc"/>
    <w:family w:val="roman"/>
    <w:pitch w:val="variable"/>
  </w:font>
  <w:font w:name="Symbol">
    <w:charset w:val="cc"/>
    <w:family w:val="roman"/>
    <w:pitch w:val="variable"/>
  </w:font>
  <w:font w:name="Liberation Sans">
    <w:altName w:val="Arial"/>
    <w:charset w:val="cc"/>
    <w:family w:val="roman"/>
    <w:pitch w:val="variable"/>
  </w:font>
  <w:font w:name="NTTimes/Cyrillic">
    <w:charset w:val="cc"/>
    <w:family w:val="roman"/>
    <w:pitch w:val="variable"/>
  </w:font>
  <w:font w:name="Verdana">
    <w:charset w:val="cc"/>
    <w:family w:val="roman"/>
    <w:pitch w:val="variable"/>
  </w:font>
  <w:font w:name="Arial">
    <w:charset w:val="cc"/>
    <w:family w:val="roman"/>
    <w:pitch w:val="variable"/>
  </w:font>
  <w:font w:name="Wingdings">
    <w:charset w:val="02"/>
    <w:family w:val="auto"/>
    <w:pitch w:val="variable"/>
  </w:font>
  <w:font w:name="Courier New">
    <w:charset w:val="01"/>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0"/>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
    <w:lvl w:ilvl="0">
      <w:start w:val="1"/>
      <w:numFmt w:val="bullet"/>
      <w:lvlText w:val=""/>
      <w:lvlJc w:val="left"/>
      <w:pPr>
        <w:tabs>
          <w:tab w:val="num" w:pos="1080"/>
        </w:tabs>
        <w:ind w:left="1080" w:hanging="360"/>
      </w:pPr>
      <w:rPr>
        <w:rFonts w:ascii="Symbol" w:hAnsi="Symbol" w:cs="Symbol" w:hint="default"/>
        <w:sz w:val="28"/>
        <w:rFonts w:cs="Symbol"/>
      </w:rPr>
    </w:lvl>
    <w:lvl w:ilvl="1">
      <w:start w:val="1"/>
      <w:numFmt w:val="bullet"/>
      <w:lvlText w:val=""/>
      <w:lvlJc w:val="left"/>
      <w:pPr>
        <w:tabs>
          <w:tab w:val="num" w:pos="2100"/>
        </w:tabs>
        <w:ind w:left="2100" w:hanging="360"/>
      </w:pPr>
      <w:rPr>
        <w:rFonts w:ascii="Symbol" w:hAnsi="Symbol" w:cs="Symbol" w:hint="default"/>
        <w:sz w:val="28"/>
        <w:rFonts w:cs="Symbol"/>
      </w:rPr>
    </w:lvl>
    <w:lvl w:ilvl="2">
      <w:start w:val="1"/>
      <w:numFmt w:val="bullet"/>
      <w:lvlText w:val=""/>
      <w:lvlJc w:val="left"/>
      <w:pPr>
        <w:tabs>
          <w:tab w:val="num" w:pos="2820"/>
        </w:tabs>
        <w:ind w:left="2820" w:hanging="360"/>
      </w:pPr>
      <w:rPr>
        <w:rFonts w:ascii="Wingdings" w:hAnsi="Wingdings" w:cs="Wingdings" w:hint="default"/>
        <w:rFonts w:cs="Wingdings"/>
      </w:rPr>
    </w:lvl>
    <w:lvl w:ilvl="3">
      <w:start w:val="1"/>
      <w:numFmt w:val="bullet"/>
      <w:lvlText w:val=""/>
      <w:lvlJc w:val="left"/>
      <w:pPr>
        <w:tabs>
          <w:tab w:val="num" w:pos="3540"/>
        </w:tabs>
        <w:ind w:left="3540" w:hanging="360"/>
      </w:pPr>
      <w:rPr>
        <w:rFonts w:ascii="Symbol" w:hAnsi="Symbol" w:cs="Symbol" w:hint="default"/>
        <w:sz w:val="28"/>
        <w:rFonts w:cs="Symbol"/>
      </w:rPr>
    </w:lvl>
    <w:lvl w:ilvl="4">
      <w:start w:val="1"/>
      <w:numFmt w:val="bullet"/>
      <w:lvlText w:val="o"/>
      <w:lvlJc w:val="left"/>
      <w:pPr>
        <w:tabs>
          <w:tab w:val="num" w:pos="4260"/>
        </w:tabs>
        <w:ind w:left="4260" w:hanging="360"/>
      </w:pPr>
      <w:rPr>
        <w:rFonts w:ascii="Courier New" w:hAnsi="Courier New" w:cs="Courier New" w:hint="default"/>
        <w:rFonts w:cs="Courier New"/>
      </w:rPr>
    </w:lvl>
    <w:lvl w:ilvl="5">
      <w:start w:val="1"/>
      <w:numFmt w:val="bullet"/>
      <w:lvlText w:val=""/>
      <w:lvlJc w:val="left"/>
      <w:pPr>
        <w:tabs>
          <w:tab w:val="num" w:pos="4980"/>
        </w:tabs>
        <w:ind w:left="4980" w:hanging="360"/>
      </w:pPr>
      <w:rPr>
        <w:rFonts w:ascii="Wingdings" w:hAnsi="Wingdings" w:cs="Wingdings" w:hint="default"/>
        <w:rFonts w:cs="Wingdings"/>
      </w:rPr>
    </w:lvl>
    <w:lvl w:ilvl="6">
      <w:start w:val="1"/>
      <w:numFmt w:val="bullet"/>
      <w:lvlText w:val=""/>
      <w:lvlJc w:val="left"/>
      <w:pPr>
        <w:tabs>
          <w:tab w:val="num" w:pos="5700"/>
        </w:tabs>
        <w:ind w:left="5700" w:hanging="360"/>
      </w:pPr>
      <w:rPr>
        <w:rFonts w:ascii="Symbol" w:hAnsi="Symbol" w:cs="Symbol" w:hint="default"/>
        <w:sz w:val="28"/>
        <w:rFonts w:cs="Symbol"/>
      </w:rPr>
    </w:lvl>
    <w:lvl w:ilvl="7">
      <w:start w:val="1"/>
      <w:numFmt w:val="bullet"/>
      <w:lvlText w:val="o"/>
      <w:lvlJc w:val="left"/>
      <w:pPr>
        <w:tabs>
          <w:tab w:val="num" w:pos="6420"/>
        </w:tabs>
        <w:ind w:left="6420" w:hanging="360"/>
      </w:pPr>
      <w:rPr>
        <w:rFonts w:ascii="Courier New" w:hAnsi="Courier New" w:cs="Courier New" w:hint="default"/>
        <w:rFonts w:cs="Courier New"/>
      </w:rPr>
    </w:lvl>
    <w:lvl w:ilvl="8">
      <w:start w:val="1"/>
      <w:numFmt w:val="bullet"/>
      <w:lvlText w:val=""/>
      <w:lvlJc w:val="left"/>
      <w:pPr>
        <w:tabs>
          <w:tab w:val="num" w:pos="7140"/>
        </w:tabs>
        <w:ind w:left="7140" w:hanging="360"/>
      </w:pPr>
      <w:rPr>
        <w:rFonts w:ascii="Wingdings" w:hAnsi="Wingdings" w:cs="Wingdings" w:hint="default"/>
        <w:rFonts w:cs="Wingdings"/>
      </w:rPr>
    </w:lvl>
  </w:abstractNum>
  <w:abstractNum w:abstractNumId="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84"/>
  <w:embedSystemFonts/>
  <w:defaultTabStop w:val="708"/>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imes New Roman"/>
        <w:sz w:val="20"/>
        <w:lang w:val="ru-RU" w:eastAsia="ru-RU" w:bidi="ar-SA"/>
      </w:rPr>
    </w:rPrDefault>
    <w:pPrDefault>
      <w:pPr/>
    </w:pPrDefault>
  </w:docDefaults>
  <w:style w:type="paragraph" w:styleId="Normal">
    <w:name w:val="Normal"/>
    <w:qFormat/>
    <w:pPr>
      <w:widowControl/>
      <w:overflowPunct w:val="true"/>
      <w:bidi w:val="0"/>
      <w:spacing w:lineRule="auto" w:line="276" w:before="0" w:after="200"/>
      <w:jc w:val="left"/>
    </w:pPr>
    <w:rPr>
      <w:rFonts w:ascii="Calibri" w:hAnsi="Calibri" w:eastAsia="Times New Roman" w:cs="Calibri"/>
      <w:color w:val="00000A"/>
      <w:sz w:val="22"/>
      <w:szCs w:val="22"/>
      <w:lang w:val="ru-RU" w:eastAsia="ru-RU" w:bidi="ar-SA"/>
    </w:rPr>
  </w:style>
  <w:style w:type="paragraph" w:styleId="1">
    <w:name w:val="Заголовок 1"/>
    <w:basedOn w:val="Normal"/>
    <w:pPr>
      <w:keepNext/>
      <w:spacing w:lineRule="auto" w:line="240" w:before="240" w:after="240"/>
      <w:jc w:val="center"/>
      <w:outlineLvl w:val="0"/>
    </w:pPr>
    <w:rPr>
      <w:rFonts w:ascii="Times New Roman" w:hAnsi="Times New Roman" w:eastAsia="Calibri" w:cs="Times New Roman"/>
      <w:b/>
      <w:bCs/>
      <w:sz w:val="32"/>
      <w:szCs w:val="32"/>
      <w:lang w:val="en-US"/>
    </w:rPr>
  </w:style>
  <w:style w:type="paragraph" w:styleId="2">
    <w:name w:val="Заголовок 2"/>
    <w:basedOn w:val="Normal"/>
    <w:pPr>
      <w:keepNext/>
      <w:spacing w:lineRule="auto" w:line="240" w:before="0" w:after="0"/>
      <w:outlineLvl w:val="1"/>
    </w:pPr>
    <w:rPr>
      <w:rFonts w:ascii="Times New Roman" w:hAnsi="Times New Roman" w:eastAsia="Calibri" w:cs="Times New Roman"/>
      <w:b/>
      <w:bCs/>
      <w:sz w:val="24"/>
      <w:szCs w:val="24"/>
    </w:rPr>
  </w:style>
  <w:style w:type="paragraph" w:styleId="3">
    <w:name w:val="Заголовок 3"/>
    <w:basedOn w:val="Normal"/>
    <w:pPr>
      <w:keepNext/>
      <w:spacing w:lineRule="auto" w:line="240" w:before="0" w:after="0"/>
      <w:ind w:left="0" w:right="142" w:hanging="0"/>
      <w:outlineLvl w:val="2"/>
    </w:pPr>
    <w:rPr>
      <w:rFonts w:ascii="Times New Roman" w:hAnsi="Times New Roman" w:eastAsia="Calibri" w:cs="Times New Roman"/>
      <w:b/>
      <w:bCs/>
      <w:i/>
      <w:iCs/>
      <w:sz w:val="20"/>
      <w:szCs w:val="20"/>
    </w:rPr>
  </w:style>
  <w:style w:type="paragraph" w:styleId="4">
    <w:name w:val="Заголовок 4"/>
    <w:basedOn w:val="Normal"/>
    <w:pPr>
      <w:keepNext/>
      <w:spacing w:lineRule="auto" w:line="240" w:before="0" w:after="0"/>
      <w:jc w:val="center"/>
      <w:outlineLvl w:val="3"/>
    </w:pPr>
    <w:rPr>
      <w:rFonts w:ascii="Times New Roman" w:hAnsi="Times New Roman" w:eastAsia="Calibri" w:cs="Times New Roman"/>
      <w:b/>
      <w:bCs/>
      <w:sz w:val="24"/>
      <w:szCs w:val="24"/>
    </w:rPr>
  </w:style>
  <w:style w:type="paragraph" w:styleId="5">
    <w:name w:val="Заголовок 5"/>
    <w:basedOn w:val="Normal"/>
    <w:pPr>
      <w:keepNext/>
      <w:spacing w:lineRule="auto" w:line="240" w:before="0" w:after="0"/>
      <w:jc w:val="right"/>
      <w:outlineLvl w:val="4"/>
    </w:pPr>
    <w:rPr>
      <w:rFonts w:ascii="Times New Roman" w:hAnsi="Times New Roman" w:eastAsia="Calibri" w:cs="Times New Roman"/>
      <w:b/>
      <w:bCs/>
      <w:color w:val="0000FF"/>
      <w:sz w:val="20"/>
      <w:szCs w:val="20"/>
    </w:rPr>
  </w:style>
  <w:style w:type="paragraph" w:styleId="6">
    <w:name w:val="Заголовок 6"/>
    <w:basedOn w:val="Normal"/>
    <w:pPr>
      <w:keepNext/>
      <w:spacing w:lineRule="auto" w:line="240" w:before="0" w:after="0"/>
      <w:ind w:left="0" w:right="72" w:hanging="0"/>
      <w:jc w:val="both"/>
      <w:outlineLvl w:val="5"/>
    </w:pPr>
    <w:rPr>
      <w:rFonts w:ascii="Times New Roman" w:hAnsi="Times New Roman" w:eastAsia="Calibri" w:cs="Times New Roman"/>
      <w:sz w:val="24"/>
      <w:szCs w:val="24"/>
    </w:rPr>
  </w:style>
  <w:style w:type="paragraph" w:styleId="7">
    <w:name w:val="Заголовок 7"/>
    <w:basedOn w:val="Normal"/>
    <w:pPr>
      <w:keepNext/>
      <w:spacing w:lineRule="auto" w:line="240" w:before="0" w:after="120"/>
      <w:jc w:val="center"/>
      <w:outlineLvl w:val="6"/>
    </w:pPr>
    <w:rPr>
      <w:rFonts w:ascii="Times New Roman" w:hAnsi="Times New Roman" w:eastAsia="Calibri" w:cs="Times New Roman"/>
      <w:b/>
      <w:bCs/>
      <w:sz w:val="24"/>
      <w:szCs w:val="24"/>
    </w:rPr>
  </w:style>
  <w:style w:type="paragraph" w:styleId="8">
    <w:name w:val="Заголовок 8"/>
    <w:basedOn w:val="Normal"/>
    <w:pPr>
      <w:keepNext/>
      <w:spacing w:lineRule="auto" w:line="240" w:before="0" w:after="0"/>
      <w:ind w:left="0" w:right="34" w:hanging="0"/>
      <w:jc w:val="right"/>
      <w:outlineLvl w:val="7"/>
    </w:pPr>
    <w:rPr>
      <w:rFonts w:ascii="Times New Roman" w:hAnsi="Times New Roman" w:eastAsia="Calibri" w:cs="Times New Roman"/>
      <w:b/>
      <w:bCs/>
      <w:sz w:val="24"/>
      <w:szCs w:val="24"/>
    </w:rPr>
  </w:style>
  <w:style w:type="paragraph" w:styleId="9">
    <w:name w:val="Заголовок 9"/>
    <w:basedOn w:val="Normal"/>
    <w:pPr>
      <w:keepNext/>
      <w:spacing w:lineRule="auto" w:line="240" w:before="0" w:after="0"/>
      <w:jc w:val="center"/>
      <w:outlineLvl w:val="8"/>
    </w:pPr>
    <w:rPr>
      <w:rFonts w:ascii="Times New Roman" w:hAnsi="Times New Roman" w:eastAsia="Calibri" w:cs="Times New Roman"/>
      <w:b/>
      <w:bCs/>
      <w:sz w:val="20"/>
      <w:szCs w:val="20"/>
    </w:rPr>
  </w:style>
  <w:style w:type="character" w:styleId="DefaultParagraphFont">
    <w:name w:val="Default Paragraph Font"/>
    <w:qFormat/>
    <w:rPr/>
  </w:style>
  <w:style w:type="character" w:styleId="11">
    <w:name w:val="Заголовок 1 Знак"/>
    <w:qFormat/>
    <w:rPr>
      <w:rFonts w:ascii="Times New Roman" w:hAnsi="Times New Roman" w:cs="Times New Roman"/>
      <w:b/>
      <w:bCs/>
      <w:sz w:val="32"/>
      <w:szCs w:val="32"/>
      <w:lang w:val="en-US" w:eastAsia="ru-RU"/>
    </w:rPr>
  </w:style>
  <w:style w:type="character" w:styleId="21">
    <w:name w:val="Заголовок 2 Знак"/>
    <w:qFormat/>
    <w:rPr>
      <w:rFonts w:ascii="Times New Roman" w:hAnsi="Times New Roman" w:cs="Times New Roman"/>
      <w:b/>
      <w:bCs/>
      <w:sz w:val="24"/>
      <w:szCs w:val="24"/>
      <w:lang w:eastAsia="ru-RU"/>
    </w:rPr>
  </w:style>
  <w:style w:type="character" w:styleId="31">
    <w:name w:val="Заголовок 3 Знак"/>
    <w:qFormat/>
    <w:rPr>
      <w:rFonts w:ascii="Times New Roman" w:hAnsi="Times New Roman" w:cs="Times New Roman"/>
      <w:b/>
      <w:bCs/>
      <w:i/>
      <w:iCs/>
      <w:sz w:val="20"/>
      <w:szCs w:val="20"/>
      <w:lang w:eastAsia="ru-RU"/>
    </w:rPr>
  </w:style>
  <w:style w:type="character" w:styleId="41">
    <w:name w:val="Заголовок 4 Знак"/>
    <w:qFormat/>
    <w:rPr>
      <w:rFonts w:ascii="Times New Roman" w:hAnsi="Times New Roman" w:cs="Times New Roman"/>
      <w:b/>
      <w:bCs/>
      <w:sz w:val="24"/>
      <w:szCs w:val="24"/>
      <w:lang w:eastAsia="ru-RU"/>
    </w:rPr>
  </w:style>
  <w:style w:type="character" w:styleId="51">
    <w:name w:val="Заголовок 5 Знак"/>
    <w:qFormat/>
    <w:rPr>
      <w:rFonts w:ascii="Times New Roman" w:hAnsi="Times New Roman" w:cs="Times New Roman"/>
      <w:b/>
      <w:bCs/>
      <w:color w:val="0000FF"/>
      <w:sz w:val="20"/>
      <w:szCs w:val="20"/>
      <w:lang w:eastAsia="ru-RU"/>
    </w:rPr>
  </w:style>
  <w:style w:type="character" w:styleId="61">
    <w:name w:val="Заголовок 6 Знак"/>
    <w:qFormat/>
    <w:rPr>
      <w:rFonts w:ascii="Times New Roman" w:hAnsi="Times New Roman" w:cs="Times New Roman"/>
      <w:sz w:val="24"/>
      <w:szCs w:val="24"/>
      <w:lang w:eastAsia="ru-RU"/>
    </w:rPr>
  </w:style>
  <w:style w:type="character" w:styleId="71">
    <w:name w:val="Заголовок 7 Знак"/>
    <w:qFormat/>
    <w:rPr>
      <w:rFonts w:ascii="Times New Roman" w:hAnsi="Times New Roman" w:cs="Times New Roman"/>
      <w:b/>
      <w:bCs/>
      <w:sz w:val="24"/>
      <w:szCs w:val="24"/>
      <w:lang w:eastAsia="ru-RU"/>
    </w:rPr>
  </w:style>
  <w:style w:type="character" w:styleId="81">
    <w:name w:val="Заголовок 8 Знак"/>
    <w:qFormat/>
    <w:rPr>
      <w:rFonts w:ascii="Times New Roman" w:hAnsi="Times New Roman" w:cs="Times New Roman"/>
      <w:b/>
      <w:bCs/>
      <w:sz w:val="24"/>
      <w:szCs w:val="24"/>
      <w:lang w:eastAsia="ru-RU"/>
    </w:rPr>
  </w:style>
  <w:style w:type="character" w:styleId="91">
    <w:name w:val="Заголовок 9 Знак"/>
    <w:qFormat/>
    <w:rPr>
      <w:rFonts w:ascii="Times New Roman" w:hAnsi="Times New Roman" w:cs="Times New Roman"/>
      <w:b/>
      <w:bCs/>
      <w:sz w:val="20"/>
      <w:szCs w:val="20"/>
      <w:lang w:eastAsia="ru-RU"/>
    </w:rPr>
  </w:style>
  <w:style w:type="character" w:styleId="Style5">
    <w:name w:val="Название Знак"/>
    <w:qFormat/>
    <w:rPr>
      <w:rFonts w:ascii="Times New Roman" w:hAnsi="Times New Roman" w:cs="Times New Roman"/>
      <w:sz w:val="20"/>
      <w:szCs w:val="20"/>
    </w:rPr>
  </w:style>
  <w:style w:type="character" w:styleId="22">
    <w:name w:val="Основной текст 2 Знак"/>
    <w:qFormat/>
    <w:rPr>
      <w:rFonts w:ascii="Times New Roman" w:hAnsi="Times New Roman" w:cs="Times New Roman"/>
      <w:sz w:val="20"/>
      <w:szCs w:val="20"/>
      <w:lang w:eastAsia="ru-RU"/>
    </w:rPr>
  </w:style>
  <w:style w:type="character" w:styleId="Style6">
    <w:name w:val="Верхний колонтитул Знак"/>
    <w:qFormat/>
    <w:rPr>
      <w:rFonts w:ascii="Times New Roman" w:hAnsi="Times New Roman" w:cs="Times New Roman"/>
      <w:color w:val="000000"/>
      <w:sz w:val="20"/>
      <w:szCs w:val="20"/>
      <w:lang w:eastAsia="ru-RU"/>
    </w:rPr>
  </w:style>
  <w:style w:type="character" w:styleId="Style7">
    <w:name w:val="Основной текст с отступом Знак"/>
    <w:qFormat/>
    <w:rPr>
      <w:rFonts w:ascii="Times New Roman" w:hAnsi="Times New Roman" w:cs="Times New Roman"/>
      <w:color w:val="000000"/>
      <w:sz w:val="20"/>
      <w:szCs w:val="20"/>
      <w:lang w:eastAsia="ru-RU"/>
    </w:rPr>
  </w:style>
  <w:style w:type="character" w:styleId="32">
    <w:name w:val="Основной текст с отступом 3 Знак"/>
    <w:qFormat/>
    <w:rPr>
      <w:rFonts w:ascii="Times New Roman" w:hAnsi="Times New Roman" w:cs="Times New Roman"/>
      <w:color w:val="000000"/>
      <w:sz w:val="20"/>
      <w:szCs w:val="20"/>
      <w:lang w:eastAsia="ru-RU"/>
    </w:rPr>
  </w:style>
  <w:style w:type="character" w:styleId="23">
    <w:name w:val="Основной текст с отступом 2 Знак"/>
    <w:qFormat/>
    <w:rPr>
      <w:rFonts w:ascii="Times New Roman" w:hAnsi="Times New Roman" w:cs="Times New Roman"/>
      <w:sz w:val="20"/>
      <w:szCs w:val="20"/>
      <w:lang w:eastAsia="ru-RU"/>
    </w:rPr>
  </w:style>
  <w:style w:type="character" w:styleId="Style8">
    <w:name w:val="Нижний колонтитул Знак"/>
    <w:qFormat/>
    <w:rPr>
      <w:rFonts w:ascii="Times New Roman" w:hAnsi="Times New Roman" w:cs="Times New Roman"/>
      <w:sz w:val="20"/>
      <w:szCs w:val="20"/>
      <w:lang w:eastAsia="ru-RU"/>
    </w:rPr>
  </w:style>
  <w:style w:type="character" w:styleId="33">
    <w:name w:val="Основной текст 3 Знак"/>
    <w:qFormat/>
    <w:rPr>
      <w:rFonts w:ascii="Times New Roman" w:hAnsi="Times New Roman" w:cs="Times New Roman"/>
      <w:sz w:val="20"/>
      <w:szCs w:val="20"/>
      <w:lang w:eastAsia="ru-RU"/>
    </w:rPr>
  </w:style>
  <w:style w:type="character" w:styleId="Style9">
    <w:name w:val="Основной текст Знак"/>
    <w:qFormat/>
    <w:rPr>
      <w:rFonts w:ascii="Times New Roman" w:hAnsi="Times New Roman" w:cs="Times New Roman"/>
      <w:b/>
      <w:bCs/>
      <w:color w:val="000000"/>
      <w:sz w:val="20"/>
      <w:szCs w:val="20"/>
      <w:lang w:eastAsia="ru-RU"/>
    </w:rPr>
  </w:style>
  <w:style w:type="character" w:styleId="Pagenumber">
    <w:name w:val="page number"/>
    <w:basedOn w:val="DefaultParagraphFont"/>
    <w:qFormat/>
    <w:rPr/>
  </w:style>
  <w:style w:type="character" w:styleId="Strong">
    <w:name w:val="Strong"/>
    <w:qFormat/>
    <w:rPr>
      <w:b/>
      <w:bCs/>
    </w:rPr>
  </w:style>
  <w:style w:type="character" w:styleId="Style10">
    <w:name w:val="Выделение"/>
    <w:rPr>
      <w:i/>
      <w:iCs/>
    </w:rPr>
  </w:style>
  <w:style w:type="character" w:styleId="Style11">
    <w:name w:val="Интернет-ссылка"/>
    <w:rPr>
      <w:color w:val="0000FF"/>
      <w:u w:val="single"/>
    </w:rPr>
  </w:style>
  <w:style w:type="character" w:styleId="Style12">
    <w:name w:val="Текст выноски Знак"/>
    <w:qFormat/>
    <w:rPr>
      <w:rFonts w:ascii="Tahoma" w:hAnsi="Tahoma" w:cs="Tahoma"/>
      <w:sz w:val="16"/>
      <w:szCs w:val="16"/>
      <w:lang w:eastAsia="ru-RU"/>
    </w:rPr>
  </w:style>
  <w:style w:type="character" w:styleId="Style13">
    <w:name w:val="Красная строка Знак"/>
    <w:qFormat/>
    <w:rPr>
      <w:rFonts w:ascii="Times New Roman" w:hAnsi="Times New Roman" w:cs="Times New Roman"/>
      <w:b/>
      <w:bCs/>
      <w:color w:val="000000"/>
      <w:sz w:val="24"/>
      <w:szCs w:val="24"/>
      <w:lang w:eastAsia="ru-RU"/>
    </w:rPr>
  </w:style>
  <w:style w:type="character" w:styleId="FontStyle16">
    <w:name w:val="Font Style16"/>
    <w:qFormat/>
    <w:rPr>
      <w:rFonts w:ascii="Times New Roman" w:hAnsi="Times New Roman" w:cs="Times New Roman"/>
      <w:sz w:val="26"/>
      <w:szCs w:val="26"/>
    </w:rPr>
  </w:style>
  <w:style w:type="character" w:styleId="Style14">
    <w:name w:val="Схема документа Знак"/>
    <w:qFormat/>
    <w:rPr>
      <w:rFonts w:ascii="Tahoma" w:hAnsi="Tahoma" w:cs="Tahoma"/>
      <w:sz w:val="16"/>
      <w:szCs w:val="16"/>
    </w:rPr>
  </w:style>
  <w:style w:type="character" w:styleId="Annotationreference">
    <w:name w:val="annotation reference"/>
    <w:qFormat/>
    <w:rPr>
      <w:sz w:val="16"/>
      <w:szCs w:val="16"/>
    </w:rPr>
  </w:style>
  <w:style w:type="character" w:styleId="Style15">
    <w:name w:val="Текст примечания Знак"/>
    <w:qFormat/>
    <w:rPr>
      <w:rFonts w:ascii="Times New Roman" w:hAnsi="Times New Roman" w:cs="Times New Roman"/>
      <w:sz w:val="20"/>
      <w:szCs w:val="20"/>
      <w:lang w:eastAsia="ru-RU"/>
    </w:rPr>
  </w:style>
  <w:style w:type="character" w:styleId="FollowedHyperlink">
    <w:name w:val="FollowedHyperlink"/>
    <w:qFormat/>
    <w:rPr>
      <w:color w:val="800080"/>
      <w:u w:val="single"/>
    </w:rPr>
  </w:style>
  <w:style w:type="character" w:styleId="FontStyle13">
    <w:name w:val="Font Style13"/>
    <w:qFormat/>
    <w:rPr>
      <w:rFonts w:ascii="Times New Roman" w:hAnsi="Times New Roman" w:cs="Times New Roman"/>
      <w:sz w:val="22"/>
      <w:szCs w:val="22"/>
    </w:rPr>
  </w:style>
  <w:style w:type="character" w:styleId="Style16">
    <w:name w:val="Текст Знак"/>
    <w:qFormat/>
    <w:rPr>
      <w:rFonts w:ascii="Courier New" w:hAnsi="Courier New" w:cs="Courier New"/>
      <w:b/>
      <w:bCs/>
      <w:sz w:val="20"/>
      <w:szCs w:val="20"/>
    </w:rPr>
  </w:style>
  <w:style w:type="character" w:styleId="Style17">
    <w:name w:val="Без интервала Знак"/>
    <w:qFormat/>
    <w:rPr>
      <w:sz w:val="22"/>
      <w:szCs w:val="22"/>
      <w:lang w:eastAsia="ru-RU" w:bidi="ar-SA"/>
    </w:rPr>
  </w:style>
  <w:style w:type="character" w:styleId="Style18">
    <w:name w:val="Тема примечания Знак"/>
    <w:qFormat/>
    <w:rPr>
      <w:rFonts w:ascii="Times New Roman" w:hAnsi="Times New Roman" w:cs="Times New Roman"/>
      <w:b/>
      <w:bCs/>
      <w:sz w:val="20"/>
      <w:szCs w:val="20"/>
      <w:lang w:eastAsia="ru-RU"/>
    </w:rPr>
  </w:style>
  <w:style w:type="character" w:styleId="FontStyle11">
    <w:name w:val="Font Style11"/>
    <w:qFormat/>
    <w:rPr>
      <w:rFonts w:ascii="Times New Roman" w:hAnsi="Times New Roman" w:cs="Times New Roman"/>
      <w:b/>
      <w:bCs/>
      <w:sz w:val="26"/>
      <w:szCs w:val="26"/>
    </w:rPr>
  </w:style>
  <w:style w:type="character" w:styleId="Style19">
    <w:name w:val="Подзаголовок Знак"/>
    <w:qFormat/>
    <w:rPr>
      <w:rFonts w:ascii="Calibri Light" w:hAnsi="Calibri Light" w:cs="Calibri Light"/>
      <w:i/>
      <w:iCs/>
      <w:color w:val="5B9BD5"/>
      <w:spacing w:val="15"/>
      <w:sz w:val="24"/>
      <w:szCs w:val="24"/>
      <w:lang w:eastAsia="ru-RU"/>
    </w:rPr>
  </w:style>
  <w:style w:type="character" w:styleId="ListLabel1">
    <w:name w:val="ListLabel 1"/>
    <w:qFormat/>
    <w:rPr>
      <w:rFonts w:ascii="Times New Roman" w:hAnsi="Times New Roman" w:cs="Symbol"/>
      <w:sz w:val="28"/>
    </w:rPr>
  </w:style>
  <w:style w:type="character" w:styleId="ListLabel2">
    <w:name w:val="ListLabel 2"/>
    <w:qFormat/>
    <w:rPr>
      <w:rFonts w:cs="Wingdings"/>
    </w:rPr>
  </w:style>
  <w:style w:type="character" w:styleId="ListLabel3">
    <w:name w:val="ListLabel 3"/>
    <w:qFormat/>
    <w:rPr>
      <w:rFonts w:cs="Courier New"/>
    </w:rPr>
  </w:style>
  <w:style w:type="character" w:styleId="ListLabel4">
    <w:name w:val="ListLabel 4"/>
    <w:qFormat/>
    <w:rPr>
      <w:b/>
      <w:bCs/>
      <w:i w:val="false"/>
      <w:iCs w:val="false"/>
      <w:caps w:val="false"/>
      <w:smallCaps w:val="false"/>
      <w:strike w:val="false"/>
      <w:dstrike w:val="false"/>
      <w:outline w:val="false"/>
      <w:shadow w:val="false"/>
      <w:emboss w:val="false"/>
      <w:imprint w:val="false"/>
      <w:vanish w:val="false"/>
      <w:spacing w:val="0"/>
      <w:position w:val="0"/>
      <w:sz w:val="22"/>
      <w:sz w:val="22"/>
      <w:u w:val="none"/>
      <w:effect w:val="blinkBackground"/>
      <w:vertAlign w:val="baseline"/>
    </w:rPr>
  </w:style>
  <w:style w:type="character" w:styleId="ListLabel5">
    <w:name w:val="ListLabel 5"/>
    <w:qFormat/>
    <w:rPr>
      <w:i w:val="false"/>
      <w:iCs w:val="false"/>
    </w:rPr>
  </w:style>
  <w:style w:type="character" w:styleId="ListLabel6">
    <w:name w:val="ListLabel 6"/>
    <w:qFormat/>
    <w:rPr>
      <w:b w:val="false"/>
      <w:bCs w:val="false"/>
      <w:i w:val="false"/>
      <w:iCs w:val="false"/>
    </w:rPr>
  </w:style>
  <w:style w:type="character" w:styleId="ListLabel7">
    <w:name w:val="ListLabel 7"/>
    <w:qFormat/>
    <w:rPr>
      <w:rFonts w:cs="Symbol"/>
      <w:b w:val="false"/>
      <w:bCs w:val="false"/>
      <w:i w:val="false"/>
      <w:iCs w:val="false"/>
    </w:rPr>
  </w:style>
  <w:style w:type="character" w:styleId="ListLabel8">
    <w:name w:val="ListLabel 8"/>
    <w:qFormat/>
    <w:rPr>
      <w:rFonts w:eastAsia="Times New Roman"/>
    </w:rPr>
  </w:style>
  <w:style w:type="character" w:styleId="WW8Num6z0">
    <w:name w:val="WW8Num6z0"/>
    <w:qFormat/>
    <w:rPr>
      <w:rFonts w:ascii="Times New Roman" w:hAnsi="Times New Roman" w:eastAsia="Times New Roman" w:cs="Times New Roman"/>
    </w:rPr>
  </w:style>
  <w:style w:type="character" w:styleId="WW8Num6z1">
    <w:name w:val="WW8Num6z1"/>
    <w:qFormat/>
    <w:rPr>
      <w:rFonts w:ascii="Courier New" w:hAnsi="Courier New" w:cs="Courier New"/>
    </w:rPr>
  </w:style>
  <w:style w:type="character" w:styleId="WW8Num6z2">
    <w:name w:val="WW8Num6z2"/>
    <w:qFormat/>
    <w:rPr>
      <w:rFonts w:ascii="Wingdings" w:hAnsi="Wingdings" w:cs="Wingdings"/>
    </w:rPr>
  </w:style>
  <w:style w:type="character" w:styleId="WW8Num6z3">
    <w:name w:val="WW8Num6z3"/>
    <w:qFormat/>
    <w:rPr>
      <w:rFonts w:ascii="Symbol" w:hAnsi="Symbol" w:cs="Symbol"/>
    </w:rPr>
  </w:style>
  <w:style w:type="character" w:styleId="ListLabel9">
    <w:name w:val="ListLabel 9"/>
    <w:qFormat/>
    <w:rPr>
      <w:b/>
      <w:bCs/>
      <w:i w:val="false"/>
      <w:iCs w:val="false"/>
      <w:caps w:val="false"/>
      <w:smallCaps w:val="false"/>
      <w:strike w:val="false"/>
      <w:dstrike w:val="false"/>
      <w:outline w:val="false"/>
      <w:shadow w:val="false"/>
      <w:emboss w:val="false"/>
      <w:imprint w:val="false"/>
      <w:vanish w:val="false"/>
      <w:spacing w:val="0"/>
      <w:position w:val="0"/>
      <w:sz w:val="22"/>
      <w:sz w:val="22"/>
      <w:u w:val="none"/>
      <w:effect w:val="blinkBackground"/>
      <w:vertAlign w:val="baseline"/>
    </w:rPr>
  </w:style>
  <w:style w:type="character" w:styleId="ListLabel10">
    <w:name w:val="ListLabel 10"/>
    <w:qFormat/>
    <w:rPr>
      <w:rFonts w:ascii="Times New Roman" w:hAnsi="Times New Roman" w:cs="Symbol"/>
      <w:sz w:val="28"/>
    </w:rPr>
  </w:style>
  <w:style w:type="character" w:styleId="ListLabel11">
    <w:name w:val="ListLabel 11"/>
    <w:qFormat/>
    <w:rPr>
      <w:rFonts w:cs="Wingdings"/>
    </w:rPr>
  </w:style>
  <w:style w:type="character" w:styleId="ListLabel12">
    <w:name w:val="ListLabel 12"/>
    <w:qFormat/>
    <w:rPr>
      <w:rFonts w:cs="Courier New"/>
    </w:rPr>
  </w:style>
  <w:style w:type="character" w:styleId="ListLabel13">
    <w:name w:val="ListLabel 13"/>
    <w:qFormat/>
    <w:rPr>
      <w:rFonts w:ascii="Times New Roman" w:hAnsi="Times New Roman" w:cs="Times New Roman"/>
      <w:sz w:val="24"/>
    </w:rPr>
  </w:style>
  <w:style w:type="character" w:styleId="ListLabel14">
    <w:name w:val="ListLabel 14"/>
    <w:qFormat/>
    <w:rPr>
      <w:rFonts w:ascii="Times New Roman" w:hAnsi="Times New Roman" w:cs="Symbol"/>
      <w:sz w:val="28"/>
    </w:rPr>
  </w:style>
  <w:style w:type="character" w:styleId="ListLabel15">
    <w:name w:val="ListLabel 15"/>
    <w:qFormat/>
    <w:rPr>
      <w:rFonts w:cs="Wingdings"/>
    </w:rPr>
  </w:style>
  <w:style w:type="character" w:styleId="ListLabel16">
    <w:name w:val="ListLabel 16"/>
    <w:qFormat/>
    <w:rPr>
      <w:rFonts w:cs="Courier New"/>
    </w:rPr>
  </w:style>
  <w:style w:type="character" w:styleId="Style20">
    <w:name w:val="Символ нумерации"/>
    <w:qFormat/>
    <w:rPr/>
  </w:style>
  <w:style w:type="character" w:styleId="ListLabel17">
    <w:name w:val="ListLabel 17"/>
    <w:qFormat/>
    <w:rPr>
      <w:rFonts w:ascii="Times New Roman" w:hAnsi="Times New Roman" w:cs="Symbol"/>
      <w:sz w:val="28"/>
    </w:rPr>
  </w:style>
  <w:style w:type="character" w:styleId="ListLabel18">
    <w:name w:val="ListLabel 18"/>
    <w:qFormat/>
    <w:rPr>
      <w:rFonts w:cs="Wingdings"/>
    </w:rPr>
  </w:style>
  <w:style w:type="character" w:styleId="ListLabel19">
    <w:name w:val="ListLabel 19"/>
    <w:qFormat/>
    <w:rPr>
      <w:rFonts w:cs="Courier New"/>
    </w:rPr>
  </w:style>
  <w:style w:type="paragraph" w:styleId="Style21">
    <w:name w:val="Заголовок"/>
    <w:basedOn w:val="Normal"/>
    <w:next w:val="Style22"/>
    <w:qFormat/>
    <w:pPr>
      <w:keepNext/>
      <w:spacing w:before="240" w:after="120"/>
    </w:pPr>
    <w:rPr>
      <w:rFonts w:ascii="Liberation Sans" w:hAnsi="Liberation Sans" w:eastAsia="Microsoft YaHei" w:cs="Mangal"/>
      <w:sz w:val="28"/>
      <w:szCs w:val="28"/>
    </w:rPr>
  </w:style>
  <w:style w:type="paragraph" w:styleId="Style22">
    <w:name w:val="Основной текст"/>
    <w:basedOn w:val="Normal"/>
    <w:pPr>
      <w:spacing w:lineRule="auto" w:line="240" w:before="0" w:after="0"/>
    </w:pPr>
    <w:rPr>
      <w:rFonts w:ascii="Times New Roman" w:hAnsi="Times New Roman" w:eastAsia="Calibri" w:cs="Times New Roman"/>
      <w:b/>
      <w:bCs/>
      <w:color w:val="000000"/>
      <w:sz w:val="20"/>
      <w:szCs w:val="20"/>
    </w:rPr>
  </w:style>
  <w:style w:type="paragraph" w:styleId="Style23">
    <w:name w:val="Список"/>
    <w:basedOn w:val="Style22"/>
    <w:pPr/>
    <w:rPr>
      <w:rFonts w:cs="Mangal"/>
    </w:rPr>
  </w:style>
  <w:style w:type="paragraph" w:styleId="Style24">
    <w:name w:val="Название"/>
    <w:basedOn w:val="Normal"/>
    <w:pPr>
      <w:suppressLineNumbers/>
      <w:spacing w:before="120" w:after="120"/>
    </w:pPr>
    <w:rPr>
      <w:rFonts w:cs="Mangal"/>
      <w:i/>
      <w:iCs/>
      <w:sz w:val="24"/>
      <w:szCs w:val="24"/>
    </w:rPr>
  </w:style>
  <w:style w:type="paragraph" w:styleId="Style25">
    <w:name w:val="Указатель"/>
    <w:basedOn w:val="Normal"/>
    <w:qFormat/>
    <w:pPr>
      <w:suppressLineNumbers/>
    </w:pPr>
    <w:rPr>
      <w:rFonts w:cs="Mangal"/>
    </w:rPr>
  </w:style>
  <w:style w:type="paragraph" w:styleId="Style26">
    <w:name w:val="Заглавие"/>
    <w:basedOn w:val="Normal"/>
    <w:pPr>
      <w:spacing w:lineRule="auto" w:line="240" w:before="0" w:after="0"/>
      <w:jc w:val="center"/>
    </w:pPr>
    <w:rPr>
      <w:rFonts w:ascii="Times New Roman" w:hAnsi="Times New Roman" w:eastAsia="Calibri" w:cs="Times New Roman"/>
      <w:sz w:val="20"/>
      <w:szCs w:val="20"/>
    </w:rPr>
  </w:style>
  <w:style w:type="paragraph" w:styleId="ListParagraph">
    <w:name w:val="List Paragraph"/>
    <w:basedOn w:val="Normal"/>
    <w:qFormat/>
    <w:pPr>
      <w:ind w:left="720" w:right="0" w:hanging="0"/>
    </w:pPr>
    <w:rPr/>
  </w:style>
  <w:style w:type="paragraph" w:styleId="NoSpacing">
    <w:name w:val="No Spacing"/>
    <w:qFormat/>
    <w:pPr>
      <w:widowControl/>
      <w:overflowPunct w:val="true"/>
      <w:bidi w:val="0"/>
      <w:spacing w:lineRule="auto" w:line="259" w:before="0" w:after="160"/>
      <w:jc w:val="left"/>
    </w:pPr>
    <w:rPr>
      <w:rFonts w:ascii="Calibri" w:hAnsi="Calibri" w:eastAsia="Calibri" w:cs="Times New Roman"/>
      <w:color w:val="00000A"/>
      <w:sz w:val="22"/>
      <w:szCs w:val="22"/>
      <w:lang w:val="ru-RU" w:eastAsia="ru-RU" w:bidi="ar-SA"/>
    </w:rPr>
  </w:style>
  <w:style w:type="paragraph" w:styleId="BlockText">
    <w:name w:val="Block Text"/>
    <w:basedOn w:val="Normal"/>
    <w:qFormat/>
    <w:pPr>
      <w:tabs>
        <w:tab w:val="left" w:pos="9000" w:leader="none"/>
      </w:tabs>
      <w:spacing w:lineRule="auto" w:line="240" w:before="0" w:after="0"/>
      <w:ind w:left="720" w:right="34" w:firstLine="283"/>
      <w:jc w:val="both"/>
    </w:pPr>
    <w:rPr>
      <w:rFonts w:ascii="Times New Roman" w:hAnsi="Times New Roman" w:cs="Times New Roman"/>
      <w:i/>
      <w:iCs/>
      <w:sz w:val="24"/>
      <w:szCs w:val="24"/>
    </w:rPr>
  </w:style>
  <w:style w:type="paragraph" w:styleId="BodyText2">
    <w:name w:val="Body Text 2"/>
    <w:basedOn w:val="Normal"/>
    <w:qFormat/>
    <w:pPr>
      <w:spacing w:lineRule="auto" w:line="240" w:before="0" w:after="0"/>
    </w:pPr>
    <w:rPr>
      <w:rFonts w:ascii="Times New Roman" w:hAnsi="Times New Roman" w:eastAsia="Calibri" w:cs="Times New Roman"/>
      <w:sz w:val="20"/>
      <w:szCs w:val="20"/>
    </w:rPr>
  </w:style>
  <w:style w:type="paragraph" w:styleId="Style27">
    <w:name w:val="Верхний колонтитул"/>
    <w:basedOn w:val="Normal"/>
    <w:pPr>
      <w:tabs>
        <w:tab w:val="center" w:pos="4536" w:leader="none"/>
        <w:tab w:val="right" w:pos="9072" w:leader="none"/>
      </w:tabs>
      <w:spacing w:lineRule="auto" w:line="240" w:before="0" w:after="0"/>
    </w:pPr>
    <w:rPr>
      <w:rFonts w:ascii="Times New Roman" w:hAnsi="Times New Roman" w:eastAsia="Calibri" w:cs="Times New Roman"/>
      <w:color w:val="000000"/>
      <w:sz w:val="20"/>
      <w:szCs w:val="20"/>
    </w:rPr>
  </w:style>
  <w:style w:type="paragraph" w:styleId="Style28">
    <w:name w:val="Основной текст с отступом"/>
    <w:basedOn w:val="Style22"/>
    <w:pPr>
      <w:spacing w:before="0" w:after="120"/>
      <w:ind w:left="0" w:right="0" w:firstLine="210"/>
    </w:pPr>
    <w:rPr>
      <w:sz w:val="24"/>
      <w:szCs w:val="24"/>
    </w:rPr>
  </w:style>
  <w:style w:type="paragraph" w:styleId="BodyTextIndent3">
    <w:name w:val="Body Text Indent 3"/>
    <w:basedOn w:val="Normal"/>
    <w:qFormat/>
    <w:pPr>
      <w:spacing w:lineRule="auto" w:line="240" w:before="0" w:after="0"/>
      <w:ind w:left="0" w:right="0" w:firstLine="567"/>
      <w:jc w:val="both"/>
    </w:pPr>
    <w:rPr>
      <w:rFonts w:ascii="Times New Roman" w:hAnsi="Times New Roman" w:eastAsia="Calibri" w:cs="Times New Roman"/>
      <w:color w:val="000000"/>
      <w:sz w:val="20"/>
      <w:szCs w:val="20"/>
    </w:rPr>
  </w:style>
  <w:style w:type="paragraph" w:styleId="Style29">
    <w:name w:val="Обращение"/>
    <w:basedOn w:val="Normal"/>
    <w:qFormat/>
    <w:pPr>
      <w:spacing w:lineRule="auto" w:line="240" w:before="0" w:after="240"/>
      <w:jc w:val="center"/>
    </w:pPr>
    <w:rPr>
      <w:rFonts w:ascii="Times New Roman" w:hAnsi="Times New Roman" w:cs="Times New Roman"/>
      <w:sz w:val="28"/>
      <w:szCs w:val="28"/>
    </w:rPr>
  </w:style>
  <w:style w:type="paragraph" w:styleId="BodyTextIndent2">
    <w:name w:val="Body Text Indent 2"/>
    <w:basedOn w:val="Normal"/>
    <w:qFormat/>
    <w:pPr>
      <w:spacing w:lineRule="auto" w:line="240" w:before="0" w:after="0"/>
      <w:ind w:left="0" w:right="0" w:firstLine="426"/>
      <w:jc w:val="both"/>
    </w:pPr>
    <w:rPr>
      <w:rFonts w:ascii="Times New Roman" w:hAnsi="Times New Roman" w:eastAsia="Calibri" w:cs="Times New Roman"/>
      <w:sz w:val="20"/>
      <w:szCs w:val="20"/>
    </w:rPr>
  </w:style>
  <w:style w:type="paragraph" w:styleId="Xl31">
    <w:name w:val="xl31"/>
    <w:basedOn w:val="Normal"/>
    <w:qFormat/>
    <w:pPr>
      <w:pBdr>
        <w:bottom w:val="single" w:sz="4" w:space="0" w:color="00000A"/>
      </w:pBdr>
      <w:spacing w:lineRule="auto" w:line="240" w:before="280" w:after="280"/>
      <w:jc w:val="center"/>
      <w:textAlignment w:val="top"/>
    </w:pPr>
    <w:rPr>
      <w:rFonts w:ascii="Times New Roman" w:hAnsi="Times New Roman" w:eastAsia="Arial Unicode MS" w:cs="Times New Roman"/>
      <w:b/>
      <w:bCs/>
      <w:sz w:val="24"/>
      <w:szCs w:val="24"/>
    </w:rPr>
  </w:style>
  <w:style w:type="paragraph" w:styleId="Style30">
    <w:name w:val="Нижний колонтитул"/>
    <w:basedOn w:val="Normal"/>
    <w:pPr>
      <w:tabs>
        <w:tab w:val="center" w:pos="4153" w:leader="none"/>
        <w:tab w:val="right" w:pos="8306" w:leader="none"/>
      </w:tabs>
      <w:spacing w:lineRule="auto" w:line="240" w:before="0" w:after="0"/>
    </w:pPr>
    <w:rPr>
      <w:rFonts w:ascii="Times New Roman" w:hAnsi="Times New Roman" w:eastAsia="Calibri" w:cs="Times New Roman"/>
      <w:sz w:val="20"/>
      <w:szCs w:val="20"/>
    </w:rPr>
  </w:style>
  <w:style w:type="paragraph" w:styleId="BodyText3">
    <w:name w:val="Body Text 3"/>
    <w:basedOn w:val="Normal"/>
    <w:qFormat/>
    <w:pPr>
      <w:spacing w:lineRule="auto" w:line="240" w:before="0" w:after="0"/>
      <w:jc w:val="center"/>
    </w:pPr>
    <w:rPr>
      <w:rFonts w:ascii="Times New Roman" w:hAnsi="Times New Roman" w:eastAsia="Calibri" w:cs="Times New Roman"/>
      <w:sz w:val="20"/>
      <w:szCs w:val="20"/>
    </w:rPr>
  </w:style>
  <w:style w:type="paragraph" w:styleId="Xl51">
    <w:name w:val="xl51"/>
    <w:basedOn w:val="Normal"/>
    <w:qFormat/>
    <w:pPr>
      <w:spacing w:lineRule="auto" w:line="240" w:before="280" w:after="280"/>
    </w:pPr>
    <w:rPr>
      <w:rFonts w:ascii="Times New Roman" w:hAnsi="Times New Roman" w:eastAsia="Arial Unicode MS" w:cs="Times New Roman"/>
    </w:rPr>
  </w:style>
  <w:style w:type="paragraph" w:styleId="Xl58">
    <w:name w:val="xl58"/>
    <w:basedOn w:val="Normal"/>
    <w:qFormat/>
    <w:pPr>
      <w:pBdr>
        <w:left w:val="single" w:sz="4" w:space="0" w:color="00000A"/>
        <w:bottom w:val="single" w:sz="4" w:space="0" w:color="00000A"/>
        <w:right w:val="single" w:sz="4" w:space="0" w:color="00000A"/>
      </w:pBdr>
      <w:spacing w:lineRule="auto" w:line="240" w:before="280" w:after="280"/>
      <w:jc w:val="center"/>
      <w:textAlignment w:val="top"/>
    </w:pPr>
    <w:rPr>
      <w:rFonts w:ascii="Times New Roman" w:hAnsi="Times New Roman" w:eastAsia="Arial Unicode MS" w:cs="Times New Roman"/>
      <w:sz w:val="24"/>
      <w:szCs w:val="24"/>
    </w:rPr>
  </w:style>
  <w:style w:type="paragraph" w:styleId="CGTitleLeftBold">
    <w:name w:val="CG-Title-Left-Bold"/>
    <w:basedOn w:val="Normal"/>
    <w:qFormat/>
    <w:pPr>
      <w:keepNext/>
      <w:spacing w:lineRule="auto" w:line="240" w:before="0" w:after="240"/>
    </w:pPr>
    <w:rPr>
      <w:rFonts w:ascii="Times New Roman" w:hAnsi="Times New Roman" w:cs="Times New Roman"/>
      <w:b/>
      <w:bCs/>
      <w:sz w:val="24"/>
      <w:szCs w:val="24"/>
      <w:lang w:val="en-US" w:eastAsia="en-US"/>
    </w:rPr>
  </w:style>
  <w:style w:type="paragraph" w:styleId="Font8">
    <w:name w:val="font8"/>
    <w:basedOn w:val="Normal"/>
    <w:qFormat/>
    <w:pPr>
      <w:spacing w:lineRule="auto" w:line="240" w:before="280" w:after="280"/>
    </w:pPr>
    <w:rPr>
      <w:rFonts w:ascii="Times New Roman" w:hAnsi="Times New Roman" w:eastAsia="Arial Unicode MS" w:cs="Times New Roman"/>
      <w:sz w:val="20"/>
      <w:szCs w:val="20"/>
    </w:rPr>
  </w:style>
  <w:style w:type="paragraph" w:styleId="Caption">
    <w:name w:val="caption"/>
    <w:basedOn w:val="Normal"/>
    <w:qFormat/>
    <w:pPr>
      <w:spacing w:lineRule="auto" w:line="240" w:before="0" w:after="0"/>
      <w:ind w:left="0" w:right="142" w:firstLine="540"/>
      <w:jc w:val="both"/>
    </w:pPr>
    <w:rPr>
      <w:rFonts w:ascii="Times New Roman" w:hAnsi="Times New Roman" w:cs="Times New Roman"/>
      <w:b/>
      <w:bCs/>
      <w:i/>
      <w:iCs/>
      <w:sz w:val="24"/>
      <w:szCs w:val="24"/>
    </w:rPr>
  </w:style>
  <w:style w:type="paragraph" w:styleId="42">
    <w:name w:val="Оглавление 4"/>
    <w:basedOn w:val="Normal"/>
    <w:autoRedefine/>
    <w:pPr>
      <w:spacing w:lineRule="auto" w:line="240" w:before="0" w:after="0"/>
      <w:ind w:left="720" w:right="0" w:hanging="0"/>
    </w:pPr>
    <w:rPr>
      <w:rFonts w:ascii="Times New Roman" w:hAnsi="Times New Roman" w:cs="Times New Roman"/>
      <w:sz w:val="24"/>
      <w:szCs w:val="24"/>
    </w:rPr>
  </w:style>
  <w:style w:type="paragraph" w:styleId="12">
    <w:name w:val="Оглавление 1"/>
    <w:basedOn w:val="Normal"/>
    <w:autoRedefine/>
    <w:pPr>
      <w:tabs>
        <w:tab w:val="left" w:pos="540" w:leader="none"/>
        <w:tab w:val="right" w:pos="9781" w:leader="dot"/>
      </w:tabs>
      <w:spacing w:lineRule="auto" w:line="240" w:before="0" w:after="0"/>
      <w:jc w:val="both"/>
    </w:pPr>
    <w:rPr>
      <w:rFonts w:ascii="Times New Roman" w:hAnsi="Times New Roman" w:cs="Times New Roman"/>
      <w:b/>
      <w:bCs/>
      <w:sz w:val="28"/>
      <w:szCs w:val="28"/>
    </w:rPr>
  </w:style>
  <w:style w:type="paragraph" w:styleId="24">
    <w:name w:val="Оглавление 2"/>
    <w:basedOn w:val="Normal"/>
    <w:autoRedefine/>
    <w:pPr>
      <w:tabs>
        <w:tab w:val="left" w:pos="709" w:leader="none"/>
        <w:tab w:val="right" w:pos="9781" w:leader="dot"/>
      </w:tabs>
      <w:spacing w:lineRule="auto" w:line="240" w:before="0" w:after="0"/>
      <w:ind w:left="0" w:right="708" w:hanging="0"/>
      <w:jc w:val="both"/>
    </w:pPr>
    <w:rPr>
      <w:rFonts w:ascii="Times New Roman" w:hAnsi="Times New Roman" w:cs="Times New Roman"/>
      <w:sz w:val="28"/>
      <w:szCs w:val="28"/>
    </w:rPr>
  </w:style>
  <w:style w:type="paragraph" w:styleId="34">
    <w:name w:val="Оглавление 3"/>
    <w:basedOn w:val="Normal"/>
    <w:autoRedefine/>
    <w:pPr>
      <w:tabs>
        <w:tab w:val="left" w:pos="709" w:leader="none"/>
        <w:tab w:val="right" w:pos="9781" w:leader="dot"/>
      </w:tabs>
      <w:spacing w:lineRule="auto" w:line="240" w:before="0" w:after="0"/>
      <w:ind w:left="0" w:right="0" w:hanging="0"/>
      <w:jc w:val="both"/>
    </w:pPr>
    <w:rPr>
      <w:rFonts w:ascii="Times New Roman" w:hAnsi="Times New Roman" w:cs="Times New Roman"/>
      <w:i/>
      <w:iCs/>
      <w:sz w:val="28"/>
      <w:szCs w:val="28"/>
    </w:rPr>
  </w:style>
  <w:style w:type="paragraph" w:styleId="NormalWeb">
    <w:name w:val="Normal (Web)"/>
    <w:basedOn w:val="Normal"/>
    <w:qFormat/>
    <w:pPr>
      <w:spacing w:lineRule="auto" w:line="240" w:before="280" w:after="280"/>
    </w:pPr>
    <w:rPr>
      <w:rFonts w:ascii="Times New Roman" w:hAnsi="Times New Roman" w:cs="Times New Roman"/>
      <w:sz w:val="24"/>
      <w:szCs w:val="24"/>
    </w:rPr>
  </w:style>
  <w:style w:type="paragraph" w:styleId="52">
    <w:name w:val="Оглавление 5"/>
    <w:basedOn w:val="Normal"/>
    <w:autoRedefine/>
    <w:pPr>
      <w:spacing w:lineRule="auto" w:line="240" w:before="0" w:after="0"/>
      <w:ind w:left="960" w:right="0" w:hanging="0"/>
    </w:pPr>
    <w:rPr>
      <w:rFonts w:ascii="Times New Roman" w:hAnsi="Times New Roman" w:cs="Times New Roman"/>
      <w:sz w:val="24"/>
      <w:szCs w:val="24"/>
    </w:rPr>
  </w:style>
  <w:style w:type="paragraph" w:styleId="62">
    <w:name w:val="Оглавление 6"/>
    <w:basedOn w:val="Normal"/>
    <w:autoRedefine/>
    <w:pPr>
      <w:spacing w:lineRule="auto" w:line="240" w:before="0" w:after="0"/>
      <w:ind w:left="1200" w:right="0" w:hanging="0"/>
    </w:pPr>
    <w:rPr>
      <w:rFonts w:ascii="Times New Roman" w:hAnsi="Times New Roman" w:cs="Times New Roman"/>
      <w:sz w:val="24"/>
      <w:szCs w:val="24"/>
    </w:rPr>
  </w:style>
  <w:style w:type="paragraph" w:styleId="72">
    <w:name w:val="Оглавление 7"/>
    <w:basedOn w:val="Normal"/>
    <w:autoRedefine/>
    <w:pPr>
      <w:spacing w:lineRule="auto" w:line="240" w:before="0" w:after="0"/>
      <w:ind w:left="1440" w:right="0" w:hanging="0"/>
    </w:pPr>
    <w:rPr>
      <w:rFonts w:ascii="Times New Roman" w:hAnsi="Times New Roman" w:cs="Times New Roman"/>
      <w:sz w:val="24"/>
      <w:szCs w:val="24"/>
    </w:rPr>
  </w:style>
  <w:style w:type="paragraph" w:styleId="82">
    <w:name w:val="Оглавление 8"/>
    <w:basedOn w:val="Normal"/>
    <w:autoRedefine/>
    <w:pPr>
      <w:spacing w:lineRule="auto" w:line="240" w:before="0" w:after="0"/>
      <w:ind w:left="1680" w:right="0" w:hanging="0"/>
    </w:pPr>
    <w:rPr>
      <w:rFonts w:ascii="Times New Roman" w:hAnsi="Times New Roman" w:cs="Times New Roman"/>
      <w:sz w:val="24"/>
      <w:szCs w:val="24"/>
    </w:rPr>
  </w:style>
  <w:style w:type="paragraph" w:styleId="92">
    <w:name w:val="Оглавление 9"/>
    <w:basedOn w:val="Normal"/>
    <w:autoRedefine/>
    <w:pPr>
      <w:spacing w:lineRule="auto" w:line="240" w:before="0" w:after="0"/>
      <w:ind w:left="1920" w:right="0" w:hanging="0"/>
    </w:pPr>
    <w:rPr>
      <w:rFonts w:ascii="Times New Roman" w:hAnsi="Times New Roman" w:cs="Times New Roman"/>
      <w:sz w:val="24"/>
      <w:szCs w:val="24"/>
    </w:rPr>
  </w:style>
  <w:style w:type="paragraph" w:styleId="BalloonText">
    <w:name w:val="Balloon Text"/>
    <w:basedOn w:val="Normal"/>
    <w:qFormat/>
    <w:pPr>
      <w:spacing w:lineRule="auto" w:line="240" w:before="0" w:after="0"/>
    </w:pPr>
    <w:rPr>
      <w:rFonts w:ascii="Tahoma" w:hAnsi="Tahoma" w:eastAsia="Calibri" w:cs="Times New Roman"/>
      <w:sz w:val="16"/>
      <w:szCs w:val="16"/>
    </w:rPr>
  </w:style>
  <w:style w:type="paragraph" w:styleId="Style31">
    <w:name w:val="Заголовки таблиц"/>
    <w:basedOn w:val="Normal"/>
    <w:qFormat/>
    <w:pPr>
      <w:spacing w:lineRule="auto" w:line="240" w:before="60" w:after="60"/>
    </w:pPr>
    <w:rPr>
      <w:rFonts w:ascii="Times New Roman" w:hAnsi="Times New Roman" w:cs="Times New Roman"/>
      <w:b/>
      <w:bCs/>
      <w:sz w:val="24"/>
      <w:szCs w:val="24"/>
    </w:rPr>
  </w:style>
  <w:style w:type="paragraph" w:styleId="Style32">
    <w:name w:val="Примечание"/>
    <w:basedOn w:val="BodyTextIndent3"/>
    <w:qFormat/>
    <w:pPr>
      <w:ind w:left="0" w:right="0" w:hanging="0"/>
    </w:pPr>
    <w:rPr>
      <w:i/>
      <w:iCs/>
      <w:color w:val="00000A"/>
      <w:sz w:val="22"/>
      <w:szCs w:val="22"/>
    </w:rPr>
  </w:style>
  <w:style w:type="paragraph" w:styleId="Style33">
    <w:name w:val="Стиль полож"/>
    <w:basedOn w:val="Normal"/>
    <w:qFormat/>
    <w:pPr>
      <w:spacing w:lineRule="auto" w:line="240" w:before="0" w:after="0"/>
      <w:jc w:val="both"/>
    </w:pPr>
    <w:rPr>
      <w:rFonts w:ascii="Times New Roman" w:hAnsi="Times New Roman" w:cs="Times New Roman"/>
      <w:sz w:val="24"/>
      <w:szCs w:val="24"/>
    </w:rPr>
  </w:style>
  <w:style w:type="paragraph" w:styleId="DocumentMap">
    <w:name w:val="Document Map"/>
    <w:basedOn w:val="Normal"/>
    <w:qFormat/>
    <w:pPr>
      <w:spacing w:lineRule="auto" w:line="240" w:before="0" w:after="0"/>
    </w:pPr>
    <w:rPr>
      <w:rFonts w:ascii="Tahoma" w:hAnsi="Tahoma" w:eastAsia="Calibri" w:cs="Times New Roman"/>
      <w:sz w:val="16"/>
      <w:szCs w:val="16"/>
    </w:rPr>
  </w:style>
  <w:style w:type="paragraph" w:styleId="Annotationtext">
    <w:name w:val="annotation text"/>
    <w:basedOn w:val="Normal"/>
    <w:qFormat/>
    <w:pPr>
      <w:spacing w:lineRule="auto" w:line="240" w:before="0" w:after="0"/>
    </w:pPr>
    <w:rPr>
      <w:rFonts w:ascii="Times New Roman" w:hAnsi="Times New Roman" w:eastAsia="Calibri" w:cs="Times New Roman"/>
      <w:sz w:val="20"/>
      <w:szCs w:val="20"/>
    </w:rPr>
  </w:style>
  <w:style w:type="paragraph" w:styleId="Style1rus">
    <w:name w:val="Style1_rus"/>
    <w:basedOn w:val="Normal"/>
    <w:qFormat/>
    <w:pPr>
      <w:spacing w:lineRule="auto" w:line="240" w:before="0" w:after="0"/>
      <w:jc w:val="both"/>
    </w:pPr>
    <w:rPr>
      <w:rFonts w:ascii="NTTimes/Cyrillic" w:hAnsi="NTTimes/Cyrillic" w:cs="NTTimes/Cyrillic"/>
      <w:sz w:val="24"/>
      <w:szCs w:val="24"/>
      <w:lang w:val="en-US"/>
    </w:rPr>
  </w:style>
  <w:style w:type="paragraph" w:styleId="13">
    <w:name w:val="Знак Знак Знак1 Знак"/>
    <w:basedOn w:val="Normal"/>
    <w:qFormat/>
    <w:pPr>
      <w:spacing w:lineRule="exact" w:line="240" w:before="0" w:after="160"/>
    </w:pPr>
    <w:rPr>
      <w:rFonts w:ascii="Verdana" w:hAnsi="Verdana" w:cs="Verdana"/>
      <w:sz w:val="20"/>
      <w:szCs w:val="20"/>
      <w:lang w:val="en-US" w:eastAsia="en-US"/>
    </w:rPr>
  </w:style>
  <w:style w:type="paragraph" w:styleId="14">
    <w:name w:val="Знак Знак Знак1 Знак Знак Знак"/>
    <w:basedOn w:val="Normal"/>
    <w:qFormat/>
    <w:pPr>
      <w:spacing w:lineRule="exact" w:line="240" w:before="0" w:after="160"/>
    </w:pPr>
    <w:rPr>
      <w:rFonts w:ascii="Verdana" w:hAnsi="Verdana" w:cs="Verdana"/>
      <w:sz w:val="20"/>
      <w:szCs w:val="20"/>
      <w:lang w:val="en-US" w:eastAsia="en-US"/>
    </w:rPr>
  </w:style>
  <w:style w:type="paragraph" w:styleId="Style61">
    <w:name w:val="Style6"/>
    <w:basedOn w:val="Normal"/>
    <w:qFormat/>
    <w:pPr>
      <w:widowControl w:val="false"/>
      <w:spacing w:lineRule="exact" w:line="275" w:before="0" w:after="0"/>
      <w:ind w:left="0" w:right="0" w:firstLine="701"/>
      <w:jc w:val="both"/>
    </w:pPr>
    <w:rPr>
      <w:rFonts w:ascii="Times New Roman" w:hAnsi="Times New Roman" w:cs="Times New Roman"/>
      <w:sz w:val="24"/>
      <w:szCs w:val="24"/>
    </w:rPr>
  </w:style>
  <w:style w:type="paragraph" w:styleId="Style71">
    <w:name w:val="Style7"/>
    <w:basedOn w:val="Normal"/>
    <w:qFormat/>
    <w:pPr>
      <w:widowControl w:val="false"/>
      <w:spacing w:lineRule="auto" w:line="240" w:before="0" w:after="0"/>
    </w:pPr>
    <w:rPr>
      <w:rFonts w:ascii="Times New Roman" w:hAnsi="Times New Roman" w:cs="Times New Roman"/>
      <w:sz w:val="24"/>
      <w:szCs w:val="24"/>
    </w:rPr>
  </w:style>
  <w:style w:type="paragraph" w:styleId="Style91">
    <w:name w:val="Style9"/>
    <w:basedOn w:val="Normal"/>
    <w:qFormat/>
    <w:pPr>
      <w:widowControl w:val="false"/>
      <w:spacing w:lineRule="exact" w:line="288" w:before="0" w:after="0"/>
      <w:ind w:left="0" w:right="0" w:firstLine="763"/>
      <w:jc w:val="both"/>
    </w:pPr>
    <w:rPr>
      <w:rFonts w:ascii="Times New Roman" w:hAnsi="Times New Roman" w:cs="Times New Roman"/>
      <w:sz w:val="24"/>
      <w:szCs w:val="24"/>
    </w:rPr>
  </w:style>
  <w:style w:type="paragraph" w:styleId="PlainText">
    <w:name w:val="Plain Text"/>
    <w:basedOn w:val="Normal"/>
    <w:qFormat/>
    <w:pPr>
      <w:spacing w:lineRule="auto" w:line="240" w:before="0" w:after="0"/>
    </w:pPr>
    <w:rPr>
      <w:rFonts w:ascii="Courier New" w:hAnsi="Courier New" w:eastAsia="Calibri" w:cs="Times New Roman"/>
      <w:b/>
      <w:bCs/>
      <w:sz w:val="20"/>
      <w:szCs w:val="20"/>
    </w:rPr>
  </w:style>
  <w:style w:type="paragraph" w:styleId="Style34">
    <w:name w:val="Заголовок оглавления"/>
    <w:basedOn w:val="1"/>
    <w:pPr>
      <w:keepLines/>
      <w:spacing w:lineRule="auto" w:line="276" w:before="480" w:after="0"/>
      <w:jc w:val="left"/>
    </w:pPr>
    <w:rPr>
      <w:rFonts w:ascii="Calibri Light" w:hAnsi="Calibri Light" w:cs="Calibri Light"/>
      <w:color w:val="2E74B5"/>
      <w:sz w:val="28"/>
      <w:szCs w:val="28"/>
      <w:lang w:val="ru-RU" w:eastAsia="en-US"/>
    </w:rPr>
  </w:style>
  <w:style w:type="paragraph" w:styleId="Annotationsubject">
    <w:name w:val="annotation subject"/>
    <w:basedOn w:val="Annotationtext"/>
    <w:qFormat/>
    <w:pPr/>
    <w:rPr>
      <w:b/>
      <w:bCs/>
    </w:rPr>
  </w:style>
  <w:style w:type="paragraph" w:styleId="ConsPlusNormal">
    <w:name w:val="ConsPlusNormal"/>
    <w:qFormat/>
    <w:pPr>
      <w:widowControl/>
      <w:overflowPunct w:val="true"/>
      <w:bidi w:val="0"/>
      <w:jc w:val="left"/>
    </w:pPr>
    <w:rPr>
      <w:rFonts w:ascii="Times New Roman" w:hAnsi="Times New Roman" w:eastAsia="Times New Roman" w:cs="Times New Roman"/>
      <w:color w:val="00000A"/>
      <w:sz w:val="28"/>
      <w:szCs w:val="28"/>
      <w:lang w:val="ru-RU" w:eastAsia="ru-RU" w:bidi="ar-SA"/>
    </w:rPr>
  </w:style>
  <w:style w:type="paragraph" w:styleId="Style35">
    <w:name w:val="Подзаголовок"/>
    <w:basedOn w:val="Normal"/>
    <w:pPr>
      <w:spacing w:lineRule="auto" w:line="240" w:before="0" w:after="0"/>
    </w:pPr>
    <w:rPr>
      <w:rFonts w:ascii="Calibri Light" w:hAnsi="Calibri Light" w:eastAsia="Calibri" w:cs="Times New Roman"/>
      <w:i/>
      <w:iCs/>
      <w:color w:val="5B9BD5"/>
      <w:spacing w:val="15"/>
      <w:sz w:val="24"/>
      <w:szCs w:val="24"/>
    </w:rPr>
  </w:style>
  <w:style w:type="paragraph" w:styleId="Style36">
    <w:name w:val="Блочная цитата"/>
    <w:basedOn w:val="Normal"/>
    <w:qFormat/>
    <w:pPr/>
    <w:rPr/>
  </w:style>
  <w:style w:type="paragraph" w:styleId="Style37">
    <w:name w:val="Содержимое таблицы"/>
    <w:basedOn w:val="Normal"/>
    <w:qFormat/>
    <w:pPr/>
    <w:rPr/>
  </w:style>
  <w:style w:type="paragraph" w:styleId="Style38">
    <w:name w:val="Заголовок таблицы"/>
    <w:basedOn w:val="Style37"/>
    <w:qFormat/>
    <w:pPr/>
    <w:rPr/>
  </w:style>
  <w:style w:type="numbering" w:styleId="NoList">
    <w:name w:val="No List"/>
  </w:style>
  <w:style w:type="numbering" w:styleId="WW8Num6">
    <w:name w:val="WW8Num6"/>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er" Target="footer1.xml"/><Relationship Id="rId3" Type="http://schemas.openxmlformats.org/officeDocument/2006/relationships/image" Target="media/image1.png"/><Relationship Id="rId4" Type="http://schemas.openxmlformats.org/officeDocument/2006/relationships/footer" Target="footer2.xml"/><Relationship Id="rId5" Type="http://schemas.openxmlformats.org/officeDocument/2006/relationships/footer" Target="footer3.xml"/><Relationship Id="rId6" Type="http://schemas.openxmlformats.org/officeDocument/2006/relationships/numbering" Target="numbering.xml"/><Relationship Id="rId7" Type="http://schemas.openxmlformats.org/officeDocument/2006/relationships/fontTable" Target="fontTable.xml"/><Relationship Id="rId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602</TotalTime>
  <Application>LibreOffice/5.0.1.2$Windows_X86_64 LibreOffice_project/81898c9f5c0d43f3473ba111d7b351050be20261</Application>
  <Paragraphs>686</Paragraphs>
  <Company>Hewlett-Packard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2016-07-04T06:31:00Z</dcterms:created>
  <dc:creator>Студент</dc:creator>
  <dc:language>ru-RU</dc:language>
  <dcterms:modified xsi:type="dcterms:W3CDTF">2016-11-01T10:19:18Z</dcterms:modified>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