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421" w:rsidRPr="00722421" w:rsidRDefault="00722421" w:rsidP="00CE1243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2421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C14B5B" w:rsidRPr="00C14B5B" w:rsidRDefault="00CE1243" w:rsidP="00CE1243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4B5B">
        <w:rPr>
          <w:rFonts w:ascii="Times New Roman" w:hAnsi="Times New Roman" w:cs="Times New Roman"/>
          <w:i/>
          <w:sz w:val="28"/>
          <w:szCs w:val="28"/>
        </w:rPr>
        <w:t>10.</w:t>
      </w:r>
      <w:r w:rsidRPr="00C14B5B">
        <w:rPr>
          <w:i/>
        </w:rPr>
        <w:t xml:space="preserve"> </w:t>
      </w:r>
      <w:r w:rsidR="00C14B5B" w:rsidRPr="00C14B5B">
        <w:rPr>
          <w:rFonts w:ascii="Times New Roman" w:hAnsi="Times New Roman" w:cs="Times New Roman"/>
          <w:i/>
          <w:sz w:val="28"/>
          <w:szCs w:val="28"/>
        </w:rPr>
        <w:t>Когда была создана Государственная страховая экспедиция в России и чем она занималась.</w:t>
      </w:r>
    </w:p>
    <w:p w:rsidR="00CE1243" w:rsidRPr="00CE1243" w:rsidRDefault="00CE1243" w:rsidP="00CE1243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243">
        <w:rPr>
          <w:rFonts w:ascii="Times New Roman" w:hAnsi="Times New Roman" w:cs="Times New Roman"/>
          <w:sz w:val="28"/>
          <w:szCs w:val="28"/>
        </w:rPr>
        <w:t xml:space="preserve">Первым российским страховым учреждением стала созданная в 1786 году при Государственном заемном банке т.н. </w:t>
      </w:r>
      <w:r w:rsidRPr="00C14B5B">
        <w:rPr>
          <w:rFonts w:ascii="Times New Roman" w:hAnsi="Times New Roman" w:cs="Times New Roman"/>
          <w:i/>
          <w:sz w:val="28"/>
          <w:szCs w:val="28"/>
        </w:rPr>
        <w:t>Страховая экспедиция</w:t>
      </w:r>
      <w:r w:rsidRPr="00CE1243">
        <w:rPr>
          <w:rFonts w:ascii="Times New Roman" w:hAnsi="Times New Roman" w:cs="Times New Roman"/>
          <w:sz w:val="28"/>
          <w:szCs w:val="28"/>
        </w:rPr>
        <w:t xml:space="preserve"> «для приема в оной каменных домов, заводов и фабрик». Задачей банка была организация ипотечного кредита для дворян и горожан: выдача им долгосрочных денежных ссуд под залог недвижимости.</w:t>
      </w:r>
    </w:p>
    <w:p w:rsidR="00CE1243" w:rsidRPr="00CE1243" w:rsidRDefault="00CE1243" w:rsidP="00CE1243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243">
        <w:rPr>
          <w:rFonts w:ascii="Times New Roman" w:hAnsi="Times New Roman" w:cs="Times New Roman"/>
          <w:sz w:val="28"/>
          <w:szCs w:val="28"/>
        </w:rPr>
        <w:t>Манифест императрицы Екатерины II от 28 июня 1786 года «Об учреждении Государственного заемного банка» неукоснительно требовал от банка перед выдачей кредита производить страхование заложенных в нем строений. Для выполнения этой цели следующим манифестом от 23 декабря того же года и была учреждена Страховая экспедиция. По манифесту страхования стоимость здания законодательно устанавливалась в том же размере, что и залоговая - в ѕ оценочной стоимости, чтобы хозяин «не льстясь поручением за сгоревшие платежа, имел больше попечения о целостном сохранении здания».</w:t>
      </w:r>
    </w:p>
    <w:p w:rsidR="00CE1243" w:rsidRPr="00CE1243" w:rsidRDefault="00CE1243" w:rsidP="00CE1243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243">
        <w:rPr>
          <w:rFonts w:ascii="Times New Roman" w:hAnsi="Times New Roman" w:cs="Times New Roman"/>
          <w:sz w:val="28"/>
          <w:szCs w:val="28"/>
        </w:rPr>
        <w:t>Манифестами 1786 года устанавливалась государственная монополия на страхование, поскольку запрещалось «всякому в чужие государства дома и фабрики здешние отдавать на страх и тем выводить деньги во вред или убыток государственный». Вместе с тем эта монополия не носила абсолютного характера. За заграничное страхование манифест от 24 декабря 1786 года угрожал нарушителю «лишиться Нашего Покровительства в случае ему от тамошних страховых контор обиды» и штрафом в 1,5% от страховой суммы, равным по размеру страховой премии, уплачиваемой при страховании имущества в Страховой экспедиции. На практике принцип государственной монополии на страхование оказался простой декларацией. С этого времени и сам Государственный заемный банк стал выдавать ссуды под залог строений, застрахованных в иностранных государствах.</w:t>
      </w:r>
    </w:p>
    <w:p w:rsidR="00CE1243" w:rsidRPr="00CE1243" w:rsidRDefault="00CE1243" w:rsidP="00CE1243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243">
        <w:rPr>
          <w:rFonts w:ascii="Times New Roman" w:hAnsi="Times New Roman" w:cs="Times New Roman"/>
          <w:sz w:val="28"/>
          <w:szCs w:val="28"/>
        </w:rPr>
        <w:lastRenderedPageBreak/>
        <w:t>После учреждения Страховой экспедиции дальнейшее развитие отечественного страхования свелось лишь к работе двух мизерных взаимных компаний в Риге и десятку инициированных государством и несостоявшихся проектов организации страховых учреждений. Так, в 1800 году был обнародован высочайший указ об учреждении страховой компании для кораблей и товаров, но желающих стать ее акционером не оказалось. С точки зрения противопожарного страхования в империи, многолетняя деятельность экспедиции в качестве государственного страховщика не имела значительных успехов. В год закрытия экспедиции на страховании в ней состояло только 95 строений.</w:t>
      </w:r>
    </w:p>
    <w:p w:rsidR="00CE1243" w:rsidRPr="00CE1243" w:rsidRDefault="00CE1243" w:rsidP="00CE124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243" w:rsidRPr="00CE1243" w:rsidRDefault="00CE1243" w:rsidP="00CE124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243" w:rsidRPr="00C14B5B" w:rsidRDefault="00CE1243" w:rsidP="00C14B5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4B5B">
        <w:rPr>
          <w:rFonts w:ascii="Times New Roman" w:hAnsi="Times New Roman" w:cs="Times New Roman"/>
          <w:i/>
          <w:sz w:val="28"/>
          <w:szCs w:val="28"/>
        </w:rPr>
        <w:t>54. Страхование вкладов</w:t>
      </w:r>
    </w:p>
    <w:p w:rsidR="00CE1243" w:rsidRPr="00CE1243" w:rsidRDefault="00CE1243" w:rsidP="00CE1243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243">
        <w:rPr>
          <w:rFonts w:ascii="Times New Roman" w:hAnsi="Times New Roman" w:cs="Times New Roman"/>
          <w:sz w:val="28"/>
          <w:szCs w:val="28"/>
        </w:rPr>
        <w:t>Страхование вкладов</w:t>
      </w:r>
      <w:r w:rsidR="00C14B5B">
        <w:rPr>
          <w:rFonts w:ascii="Times New Roman" w:hAnsi="Times New Roman" w:cs="Times New Roman"/>
          <w:sz w:val="28"/>
          <w:szCs w:val="28"/>
        </w:rPr>
        <w:t xml:space="preserve"> - </w:t>
      </w:r>
      <w:r w:rsidRPr="00CE1243">
        <w:rPr>
          <w:rFonts w:ascii="Times New Roman" w:hAnsi="Times New Roman" w:cs="Times New Roman"/>
          <w:sz w:val="28"/>
          <w:szCs w:val="28"/>
        </w:rPr>
        <w:t xml:space="preserve">система, позволяющая частным вкладчикам </w:t>
      </w:r>
      <w:r w:rsidR="00C14B5B">
        <w:rPr>
          <w:rFonts w:ascii="Times New Roman" w:hAnsi="Times New Roman" w:cs="Times New Roman"/>
          <w:sz w:val="28"/>
          <w:szCs w:val="28"/>
        </w:rPr>
        <w:t>-</w:t>
      </w:r>
      <w:r w:rsidRPr="00CE1243">
        <w:rPr>
          <w:rFonts w:ascii="Times New Roman" w:hAnsi="Times New Roman" w:cs="Times New Roman"/>
          <w:sz w:val="28"/>
          <w:szCs w:val="28"/>
        </w:rPr>
        <w:t xml:space="preserve"> физическим лицами получить денежные средства при отзыве лицензии или банкротстве кредитной организации. Для этого банки уплачивают страховые взносы за привлекаемые вклады в специализированный фонд, откуда производятся выплаты в случае</w:t>
      </w:r>
      <w:r w:rsidR="00C14B5B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tooltip="дефолта" w:history="1">
        <w:r w:rsidRPr="00CE124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дефолта</w:t>
        </w:r>
      </w:hyperlink>
      <w:r w:rsidRPr="00CE1243">
        <w:rPr>
          <w:rFonts w:ascii="Times New Roman" w:hAnsi="Times New Roman" w:cs="Times New Roman"/>
          <w:sz w:val="28"/>
          <w:szCs w:val="28"/>
        </w:rPr>
        <w:t>.</w:t>
      </w:r>
    </w:p>
    <w:p w:rsidR="00CE1243" w:rsidRPr="00C14B5B" w:rsidRDefault="00CE1243" w:rsidP="00C14B5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4B5B">
        <w:rPr>
          <w:rFonts w:ascii="Times New Roman" w:hAnsi="Times New Roman" w:cs="Times New Roman"/>
          <w:i/>
          <w:sz w:val="28"/>
          <w:szCs w:val="28"/>
        </w:rPr>
        <w:t>История страхования вкладов</w:t>
      </w:r>
    </w:p>
    <w:p w:rsidR="00CE1243" w:rsidRPr="00CE1243" w:rsidRDefault="00CE1243" w:rsidP="00CE1243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243">
        <w:rPr>
          <w:rFonts w:ascii="Times New Roman" w:hAnsi="Times New Roman" w:cs="Times New Roman"/>
          <w:sz w:val="28"/>
          <w:szCs w:val="28"/>
        </w:rPr>
        <w:t xml:space="preserve">Первая система обязательного страхования вкладов физических лиц появилась в США во время Великой депрессии в 1933 году на основании Акта </w:t>
      </w:r>
      <w:proofErr w:type="spellStart"/>
      <w:r w:rsidRPr="00CE1243">
        <w:rPr>
          <w:rFonts w:ascii="Times New Roman" w:hAnsi="Times New Roman" w:cs="Times New Roman"/>
          <w:sz w:val="28"/>
          <w:szCs w:val="28"/>
        </w:rPr>
        <w:t>Гласса</w:t>
      </w:r>
      <w:proofErr w:type="spellEnd"/>
      <w:r w:rsidRPr="00CE1243">
        <w:rPr>
          <w:rFonts w:ascii="Times New Roman" w:hAnsi="Times New Roman" w:cs="Times New Roman"/>
          <w:sz w:val="28"/>
          <w:szCs w:val="28"/>
        </w:rPr>
        <w:t>-Сигала. Сначала специально созданная Федеральная корпорация страхования депозитов выплачивала не более 5 тыс. долларов на одного вкладчика. Впоследствии эта сумма была увеличена до 100 тыс. На осень 2011 года она составляет 250 тыс. долларов. Аналогичные системы страхования вкладов существуют и в других странах.</w:t>
      </w:r>
    </w:p>
    <w:p w:rsidR="00CE1243" w:rsidRPr="00C14B5B" w:rsidRDefault="00CE1243" w:rsidP="00C14B5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4B5B">
        <w:rPr>
          <w:rFonts w:ascii="Times New Roman" w:hAnsi="Times New Roman" w:cs="Times New Roman"/>
          <w:i/>
          <w:sz w:val="28"/>
          <w:szCs w:val="28"/>
        </w:rPr>
        <w:t>Страхование банковских вкладов в России</w:t>
      </w:r>
    </w:p>
    <w:p w:rsidR="00CE1243" w:rsidRPr="00CE1243" w:rsidRDefault="00CE1243" w:rsidP="00CE1243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243">
        <w:rPr>
          <w:rFonts w:ascii="Times New Roman" w:hAnsi="Times New Roman" w:cs="Times New Roman"/>
          <w:sz w:val="28"/>
          <w:szCs w:val="28"/>
        </w:rPr>
        <w:t>В России</w:t>
      </w:r>
      <w:r w:rsidR="00C14B5B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tooltip="система страхования вкладов" w:history="1">
        <w:r w:rsidRPr="00CE124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система страхования вкладов</w:t>
        </w:r>
      </w:hyperlink>
      <w:r w:rsidR="00C14B5B">
        <w:rPr>
          <w:rFonts w:ascii="Times New Roman" w:hAnsi="Times New Roman" w:cs="Times New Roman"/>
          <w:sz w:val="28"/>
          <w:szCs w:val="28"/>
        </w:rPr>
        <w:t xml:space="preserve"> </w:t>
      </w:r>
      <w:r w:rsidRPr="00CE1243">
        <w:rPr>
          <w:rFonts w:ascii="Times New Roman" w:hAnsi="Times New Roman" w:cs="Times New Roman"/>
          <w:sz w:val="28"/>
          <w:szCs w:val="28"/>
        </w:rPr>
        <w:t xml:space="preserve">физических лиц впервые появилась с принятием Федерального законом «О страховании вкладов физических лиц в банках Российской Федерации» № 177-ФЗ от 23 декабря </w:t>
      </w:r>
      <w:r w:rsidRPr="00CE1243">
        <w:rPr>
          <w:rFonts w:ascii="Times New Roman" w:hAnsi="Times New Roman" w:cs="Times New Roman"/>
          <w:sz w:val="28"/>
          <w:szCs w:val="28"/>
        </w:rPr>
        <w:lastRenderedPageBreak/>
        <w:t>2003 года. В 2004 году было создано </w:t>
      </w:r>
      <w:hyperlink r:id="rId9" w:tooltip="Агентство по страхованию вкладов (АСВ)" w:history="1">
        <w:r w:rsidRPr="00CE124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Агентство по страхованию вкладов (АСВ)</w:t>
        </w:r>
      </w:hyperlink>
      <w:r w:rsidRPr="00CE1243">
        <w:rPr>
          <w:rFonts w:ascii="Times New Roman" w:hAnsi="Times New Roman" w:cs="Times New Roman"/>
          <w:sz w:val="28"/>
          <w:szCs w:val="28"/>
        </w:rPr>
        <w:t>.</w:t>
      </w:r>
    </w:p>
    <w:p w:rsidR="00CE1243" w:rsidRDefault="00CE1243" w:rsidP="00CE124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243">
        <w:rPr>
          <w:rFonts w:ascii="Times New Roman" w:hAnsi="Times New Roman" w:cs="Times New Roman"/>
          <w:sz w:val="28"/>
          <w:szCs w:val="28"/>
        </w:rPr>
        <w:t>При этом обязательное страхование вкладов физических лиц в РФ служит условием получения лицензии на привлечение денег граждан.</w:t>
      </w:r>
    </w:p>
    <w:p w:rsidR="00CE1243" w:rsidRPr="00C14B5B" w:rsidRDefault="00CE1243" w:rsidP="00C14B5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4B5B">
        <w:rPr>
          <w:rFonts w:ascii="Times New Roman" w:hAnsi="Times New Roman" w:cs="Times New Roman"/>
          <w:i/>
          <w:sz w:val="28"/>
          <w:szCs w:val="28"/>
        </w:rPr>
        <w:t>Размер компенсации по страхованию вкладов</w:t>
      </w:r>
    </w:p>
    <w:p w:rsidR="00CE1243" w:rsidRPr="00CE1243" w:rsidRDefault="00CE1243" w:rsidP="00CE1243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243">
        <w:rPr>
          <w:rFonts w:ascii="Times New Roman" w:hAnsi="Times New Roman" w:cs="Times New Roman"/>
          <w:sz w:val="28"/>
          <w:szCs w:val="28"/>
        </w:rPr>
        <w:t xml:space="preserve">При наступлении страхового случая у банка возмещения выплачиваются не </w:t>
      </w:r>
      <w:r w:rsidR="00C14B5B">
        <w:rPr>
          <w:rFonts w:ascii="Times New Roman" w:hAnsi="Times New Roman" w:cs="Times New Roman"/>
          <w:sz w:val="28"/>
          <w:szCs w:val="28"/>
        </w:rPr>
        <w:t xml:space="preserve">только физическим лицам, но и - во вторую очередь - </w:t>
      </w:r>
      <w:r w:rsidRPr="00CE1243">
        <w:rPr>
          <w:rFonts w:ascii="Times New Roman" w:hAnsi="Times New Roman" w:cs="Times New Roman"/>
          <w:sz w:val="28"/>
          <w:szCs w:val="28"/>
        </w:rPr>
        <w:t>индивидуальным предпринимателям (ИП). Российские кли</w:t>
      </w:r>
      <w:r w:rsidR="00C14B5B">
        <w:rPr>
          <w:rFonts w:ascii="Times New Roman" w:hAnsi="Times New Roman" w:cs="Times New Roman"/>
          <w:sz w:val="28"/>
          <w:szCs w:val="28"/>
        </w:rPr>
        <w:t>енты получают 100%</w:t>
      </w:r>
      <w:r w:rsidRPr="00CE1243">
        <w:rPr>
          <w:rFonts w:ascii="Times New Roman" w:hAnsi="Times New Roman" w:cs="Times New Roman"/>
          <w:sz w:val="28"/>
          <w:szCs w:val="28"/>
        </w:rPr>
        <w:t xml:space="preserve"> от суммы застрахованного банковского вклада, но не более 1,4 млн рублей по всем счетам в одном банке. При этом валюта пересчитывается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tooltip="рубли" w:history="1">
        <w:r w:rsidRPr="00CE124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рубли</w:t>
        </w:r>
      </w:hyperlink>
      <w:r w:rsidRPr="00CE1243">
        <w:rPr>
          <w:rFonts w:ascii="Times New Roman" w:hAnsi="Times New Roman" w:cs="Times New Roman"/>
          <w:sz w:val="28"/>
          <w:szCs w:val="28"/>
        </w:rPr>
        <w:t> по курсу ЦБ на день наступления страхового случая. </w:t>
      </w:r>
      <w:hyperlink r:id="rId11" w:tooltip="Страховые выплаты" w:history="1">
        <w:r w:rsidRPr="00CE124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Страховые выплаты</w:t>
        </w:r>
      </w:hyperlink>
      <w:r w:rsidRPr="00CE1243">
        <w:rPr>
          <w:rFonts w:ascii="Times New Roman" w:hAnsi="Times New Roman" w:cs="Times New Roman"/>
          <w:sz w:val="28"/>
          <w:szCs w:val="28"/>
        </w:rPr>
        <w:t> по вкладу в одном банке не влияют на размер компенсации в случае дефолта в другом банке для того же клиента.</w:t>
      </w:r>
    </w:p>
    <w:p w:rsidR="00CE1243" w:rsidRDefault="00CE1243" w:rsidP="00CE1243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243">
        <w:rPr>
          <w:rFonts w:ascii="Times New Roman" w:hAnsi="Times New Roman" w:cs="Times New Roman"/>
          <w:sz w:val="28"/>
          <w:szCs w:val="28"/>
        </w:rPr>
        <w:t>Однако в случае наличия кредита в этом же банке, клиент получит сумму вклада за вычетом суммы долга.</w:t>
      </w:r>
    </w:p>
    <w:p w:rsidR="00CE1243" w:rsidRPr="00C14B5B" w:rsidRDefault="00CE1243" w:rsidP="00C14B5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4B5B">
        <w:rPr>
          <w:rFonts w:ascii="Times New Roman" w:hAnsi="Times New Roman" w:cs="Times New Roman"/>
          <w:i/>
          <w:sz w:val="28"/>
          <w:szCs w:val="28"/>
        </w:rPr>
        <w:t>Незастрахованные вклады</w:t>
      </w:r>
    </w:p>
    <w:p w:rsidR="00CE1243" w:rsidRPr="00CE1243" w:rsidRDefault="00CE1243" w:rsidP="00C14B5B">
      <w:pPr>
        <w:pStyle w:val="a4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E1243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CE1243">
        <w:rPr>
          <w:rFonts w:ascii="Times New Roman" w:hAnsi="Times New Roman" w:cs="Times New Roman"/>
          <w:sz w:val="28"/>
          <w:szCs w:val="28"/>
        </w:rPr>
        <w:t>нестраховым</w:t>
      </w:r>
      <w:proofErr w:type="spellEnd"/>
      <w:r w:rsidRPr="00CE1243">
        <w:rPr>
          <w:rFonts w:ascii="Times New Roman" w:hAnsi="Times New Roman" w:cs="Times New Roman"/>
          <w:sz w:val="28"/>
          <w:szCs w:val="28"/>
        </w:rPr>
        <w:t>, т. е. не подпадающим под систему страхования вкладов физических лиц, относятся следующие виды средств:</w:t>
      </w:r>
    </w:p>
    <w:p w:rsidR="00CE1243" w:rsidRPr="00CE1243" w:rsidRDefault="00CE1243" w:rsidP="00CE1243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243">
        <w:rPr>
          <w:rFonts w:ascii="Times New Roman" w:hAnsi="Times New Roman" w:cs="Times New Roman"/>
          <w:sz w:val="28"/>
          <w:szCs w:val="28"/>
        </w:rPr>
        <w:t>вклады на предъявителя;</w:t>
      </w:r>
    </w:p>
    <w:p w:rsidR="00CE1243" w:rsidRPr="00CE1243" w:rsidRDefault="00CE1243" w:rsidP="00CE1243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243">
        <w:rPr>
          <w:rFonts w:ascii="Times New Roman" w:hAnsi="Times New Roman" w:cs="Times New Roman"/>
          <w:sz w:val="28"/>
          <w:szCs w:val="28"/>
        </w:rPr>
        <w:t>средства, переданные банку в доверительное управление;</w:t>
      </w:r>
    </w:p>
    <w:p w:rsidR="00CE1243" w:rsidRPr="00CE1243" w:rsidRDefault="00CE1243" w:rsidP="00CE1243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243">
        <w:rPr>
          <w:rFonts w:ascii="Times New Roman" w:hAnsi="Times New Roman" w:cs="Times New Roman"/>
          <w:sz w:val="28"/>
          <w:szCs w:val="28"/>
        </w:rPr>
        <w:t>вклады в зарубежных филиалах российских банков;</w:t>
      </w:r>
    </w:p>
    <w:p w:rsidR="00CE1243" w:rsidRPr="00CE1243" w:rsidRDefault="00CE1243" w:rsidP="00CE1243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243">
        <w:rPr>
          <w:rFonts w:ascii="Times New Roman" w:hAnsi="Times New Roman" w:cs="Times New Roman"/>
          <w:sz w:val="28"/>
          <w:szCs w:val="28"/>
        </w:rPr>
        <w:t>денежные переводы без открытия счета;</w:t>
      </w:r>
    </w:p>
    <w:p w:rsidR="00CE1243" w:rsidRPr="00CE1243" w:rsidRDefault="00CE1243" w:rsidP="00CE1243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243">
        <w:rPr>
          <w:rFonts w:ascii="Times New Roman" w:hAnsi="Times New Roman" w:cs="Times New Roman"/>
          <w:sz w:val="28"/>
          <w:szCs w:val="28"/>
        </w:rPr>
        <w:t>средства на</w:t>
      </w:r>
      <w:r w:rsidR="00C14B5B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tooltip="обезличенных металлических счетах" w:history="1">
        <w:r w:rsidRPr="00CE124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обезличенных металлических счетах</w:t>
        </w:r>
      </w:hyperlink>
      <w:r w:rsidRPr="00CE1243">
        <w:rPr>
          <w:rFonts w:ascii="Times New Roman" w:hAnsi="Times New Roman" w:cs="Times New Roman"/>
          <w:sz w:val="28"/>
          <w:szCs w:val="28"/>
        </w:rPr>
        <w:t>.</w:t>
      </w:r>
    </w:p>
    <w:p w:rsidR="00CE1243" w:rsidRPr="00CE1243" w:rsidRDefault="00CE1243" w:rsidP="00CE1243">
      <w:pPr>
        <w:pStyle w:val="a4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E1243">
        <w:rPr>
          <w:rFonts w:ascii="Times New Roman" w:hAnsi="Times New Roman" w:cs="Times New Roman"/>
          <w:sz w:val="28"/>
          <w:szCs w:val="28"/>
        </w:rPr>
        <w:t>Для того чтобы гарантированно получить компенсацию в случае отзыва у банка лицензии или его банкротства,</w:t>
      </w:r>
      <w:r w:rsidR="00C14B5B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tooltip="вкладчику" w:history="1">
        <w:r w:rsidRPr="00CE124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вкладчику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1243">
        <w:rPr>
          <w:rFonts w:ascii="Times New Roman" w:hAnsi="Times New Roman" w:cs="Times New Roman"/>
          <w:sz w:val="28"/>
          <w:szCs w:val="28"/>
        </w:rPr>
        <w:t>необходимо убедиться в том, что кредитная организация, в которой он открывает счет, является участником системы обязательного страхования вкладов физических лиц. Такую информацию можно получить, например, на сайте АСВ.</w:t>
      </w:r>
    </w:p>
    <w:p w:rsidR="003F2012" w:rsidRDefault="003F2012" w:rsidP="00CE124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421" w:rsidRDefault="00722421" w:rsidP="00CE124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421" w:rsidRPr="00722421" w:rsidRDefault="00722421" w:rsidP="00CE1243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2421">
        <w:rPr>
          <w:rFonts w:ascii="Times New Roman" w:hAnsi="Times New Roman" w:cs="Times New Roman"/>
          <w:b/>
          <w:sz w:val="28"/>
          <w:szCs w:val="28"/>
        </w:rPr>
        <w:lastRenderedPageBreak/>
        <w:t>Задание 2.</w:t>
      </w:r>
    </w:p>
    <w:p w:rsidR="00722421" w:rsidRPr="00722421" w:rsidRDefault="009620C2" w:rsidP="00722421">
      <w:pPr>
        <w:widowControl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722421" w:rsidRPr="007224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Общие сведения о компании ОАО «СОГАЗ»</w:t>
      </w:r>
    </w:p>
    <w:p w:rsidR="00722421" w:rsidRPr="00722421" w:rsidRDefault="009620C2" w:rsidP="0072242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Toc30976575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22421"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траховая Группа «СОГАЗ» основана в 1993 году и является на сегодняшний день одним из крупнейших в России универсальных страховщиков федерального масштаба.</w:t>
      </w:r>
    </w:p>
    <w:p w:rsidR="00722421" w:rsidRPr="00722421" w:rsidRDefault="00722421" w:rsidP="0072242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Группы входят:</w:t>
      </w:r>
    </w:p>
    <w:p w:rsidR="00722421" w:rsidRPr="00722421" w:rsidRDefault="00722421" w:rsidP="0072242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ОАО «СОГАЗ» (универсальная страховая компания)</w:t>
      </w:r>
    </w:p>
    <w:p w:rsidR="00722421" w:rsidRPr="00722421" w:rsidRDefault="00722421" w:rsidP="0072242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ООО СК «СОГАЗ-ЖИЗНЬ» (страхование жизни)</w:t>
      </w:r>
    </w:p>
    <w:p w:rsidR="00722421" w:rsidRPr="00722421" w:rsidRDefault="00722421" w:rsidP="0072242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ОАО СК «СОГАЗ-МЕД» (обязательное медицинское страхование)</w:t>
      </w:r>
    </w:p>
    <w:p w:rsidR="00722421" w:rsidRPr="00722421" w:rsidRDefault="00722421" w:rsidP="0072242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ООО СК «СОГАЗ-АГРО» (</w:t>
      </w:r>
      <w:proofErr w:type="spellStart"/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агрострахование</w:t>
      </w:r>
      <w:proofErr w:type="spellEnd"/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22421" w:rsidRPr="00722421" w:rsidRDefault="00722421" w:rsidP="0072242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- SOVAG (страховая компания в Германии)</w:t>
      </w:r>
    </w:p>
    <w:p w:rsidR="00722421" w:rsidRPr="00722421" w:rsidRDefault="00722421" w:rsidP="0072242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«SOGAZ </w:t>
      </w:r>
      <w:proofErr w:type="spellStart"/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a.d.o</w:t>
      </w:r>
      <w:proofErr w:type="spellEnd"/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NoviSad</w:t>
      </w:r>
      <w:proofErr w:type="spellEnd"/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» (страховая компания в Сербии)</w:t>
      </w:r>
    </w:p>
    <w:p w:rsidR="00722421" w:rsidRPr="00722421" w:rsidRDefault="00722421" w:rsidP="0072242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proofErr w:type="spellStart"/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Газпроммедсервис</w:t>
      </w:r>
      <w:proofErr w:type="spellEnd"/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» (организация медицинского обслуживания)</w:t>
      </w:r>
    </w:p>
    <w:p w:rsidR="00722421" w:rsidRPr="00722421" w:rsidRDefault="00722421" w:rsidP="0072242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ООО «ММЦ СОГАЗ» (международный медицинский центр)</w:t>
      </w:r>
    </w:p>
    <w:p w:rsidR="00722421" w:rsidRPr="00722421" w:rsidRDefault="00722421" w:rsidP="0072242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ЗАО «Лидер»</w:t>
      </w:r>
    </w:p>
    <w:p w:rsidR="00722421" w:rsidRPr="00722421" w:rsidRDefault="00722421" w:rsidP="0072242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уверенного и стабильного развития Группы лежит ее высокая капитализация. По итогам 2011 года общий размер активов российских страховых компаний, входящих в Группу «СОГАЗ» достиг 108,11 млрд. рублей. Страховые резервы (брутто) Группы выросли до 77,00 млрд. рублей. По размеру собственного капитала «СОГАЗ» занимает первое место в России – по итогам 2012 года он составил 34,3 млрд. рублей.</w:t>
      </w:r>
    </w:p>
    <w:p w:rsidR="00722421" w:rsidRPr="00722421" w:rsidRDefault="00722421" w:rsidP="0072242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проводит политику максимальной открытости и финансовой прозрачности по отношению к своим клиентам, акционерам и партнерам. «СОГАЗ» – один из наиболее динамично развивающихся участников отечественного страхового рынка. По итогам 2012 года совокупный объем начисленной страховой премии Группы по МСФО составил более 60 млрд. рублей, что на 18% больше, чем годом ранее.</w:t>
      </w:r>
    </w:p>
    <w:p w:rsidR="00722421" w:rsidRPr="00722421" w:rsidRDefault="00722421" w:rsidP="0072242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большинству видов страхования «СОГАЗ» входит в число лидеров, занимая существенную долю рынка. По данным ФССН за 2012 год, «СОГАЗ» занял 2-е место в рейтинге российских страховщиков по всем видам </w:t>
      </w:r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страхования, а по прямому добровольному (классическому) страхованию — 1-е место.</w:t>
      </w:r>
    </w:p>
    <w:p w:rsidR="00722421" w:rsidRPr="00722421" w:rsidRDefault="00722421" w:rsidP="0072242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«СОГАЗ» традиционно ориентируется на страхование корпоративного сектора, обеспечивая страховую защиту предприятий и корпораций, представляющих самые разные отрасли промышленности: топливно-энергетическую, транспортную, химическую, металлургическую, машиностроительную, авиакосмическую, банковскую и другие. Группа защищает имущественные интересы таких системообразующих предприятий российской экономики, как ОАО "Газпром", ОАО "Газпром нефть", ОАО "НК "Роснефть", предприятия атомной (ГК "</w:t>
      </w:r>
      <w:proofErr w:type="spellStart"/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Росатом</w:t>
      </w:r>
      <w:proofErr w:type="spellEnd"/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") и электроэнергетики, ОАО "РЖД", ОАО "Силовые машины", ОАО "Объединенные машиностроительные заводы". Кроме того, «СОГАЗ» активно сотрудничает с Управлением делами Президента РФ, Федеральной таможенной службой, а также ведущими кредитно-финансовыми организациями страны – Сбербанком, Внешторгбанком, Газпромбанком и многими другими.</w:t>
      </w:r>
    </w:p>
    <w:p w:rsidR="00722421" w:rsidRPr="00722421" w:rsidRDefault="00722421" w:rsidP="0072242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внимание Группа уделяет страхованию физических лиц, а также малого и среднего бизнеса, для которых разработаны специальные страховые программы.</w:t>
      </w:r>
    </w:p>
    <w:p w:rsidR="00722421" w:rsidRPr="00722421" w:rsidRDefault="00722421" w:rsidP="0072242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Стратегия развития Страховой Группы «СОГАЗ» предусматривает последовательную интеграцию в международный страховой рынок. </w:t>
      </w:r>
    </w:p>
    <w:p w:rsidR="00722421" w:rsidRPr="00722421" w:rsidRDefault="00722421" w:rsidP="0072242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 из ключевых преимуществ </w:t>
      </w:r>
      <w:proofErr w:type="spellStart"/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СОГАЗа</w:t>
      </w:r>
      <w:proofErr w:type="spellEnd"/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широкая региональная сеть. На сегодняшний день она насчитывает свыше 600 подразделений и офисов продаж по всей России. В целях развития системы качественного, надежного и доступного страхового сервиса </w:t>
      </w:r>
      <w:proofErr w:type="spellStart"/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СОГАЗом</w:t>
      </w:r>
      <w:proofErr w:type="spellEnd"/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и внедряется в регионах РФ модель Единых страховых центров (ЕСЦ), которые направлены на предоставление максимально широкого спектра услуг различных компаний Группы.</w:t>
      </w:r>
    </w:p>
    <w:p w:rsidR="00722421" w:rsidRPr="00722421" w:rsidRDefault="00722421" w:rsidP="0072242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Страховая Группа «СОГАЗ» предоставляет полный спектр страховых услуг – более 130 продуктов и программ по обязательным и добровольным видам страхования. Это позволяет Группе использовать комплексный подход </w:t>
      </w:r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 управлению рисками и обеспечивать всеобъемлющую защиту финансовых интересов своих клиентов. Высокий уровень системы менеджмента качества, принятый в </w:t>
      </w:r>
      <w:proofErr w:type="spellStart"/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СОГАЗе</w:t>
      </w:r>
      <w:proofErr w:type="spellEnd"/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подтвержден сертификатом соответствия требованиям ГОСТ Р ИСО 9001-2008 (ISO 9001:2008). Действие сертификата распространяется на все ключевые для компании виды деятельности.</w:t>
      </w:r>
    </w:p>
    <w:p w:rsidR="00722421" w:rsidRDefault="00722421" w:rsidP="0072242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4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Компании Страховой Группы «СОГАЗ» пользуются заслуженным авторитето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в профессиональном сообществе.</w:t>
      </w:r>
    </w:p>
    <w:p w:rsidR="009620C2" w:rsidRPr="009620C2" w:rsidRDefault="009620C2" w:rsidP="0072242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0"/>
    <w:p w:rsidR="00722421" w:rsidRPr="009620C2" w:rsidRDefault="009620C2" w:rsidP="009620C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20C2">
        <w:rPr>
          <w:rFonts w:ascii="Times New Roman" w:hAnsi="Times New Roman" w:cs="Times New Roman"/>
          <w:b/>
          <w:sz w:val="28"/>
          <w:szCs w:val="28"/>
        </w:rPr>
        <w:t>2. Динамика изменения уставного капитала</w:t>
      </w:r>
    </w:p>
    <w:p w:rsidR="0060347D" w:rsidRPr="0060347D" w:rsidRDefault="0060347D" w:rsidP="00CE1243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347D">
        <w:rPr>
          <w:rFonts w:ascii="Times New Roman" w:hAnsi="Times New Roman" w:cs="Times New Roman"/>
          <w:i/>
          <w:sz w:val="28"/>
          <w:szCs w:val="28"/>
        </w:rPr>
        <w:t>Таб.1.Динамика изменения уставного капитала</w:t>
      </w:r>
      <w:r w:rsidR="00672199">
        <w:rPr>
          <w:rFonts w:ascii="Times New Roman" w:hAnsi="Times New Roman" w:cs="Times New Roman"/>
          <w:i/>
          <w:sz w:val="28"/>
          <w:szCs w:val="28"/>
        </w:rPr>
        <w:t>, тыс. руб.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64"/>
        <w:gridCol w:w="1870"/>
        <w:gridCol w:w="1870"/>
        <w:gridCol w:w="1870"/>
        <w:gridCol w:w="1871"/>
      </w:tblGrid>
      <w:tr w:rsidR="0060347D" w:rsidTr="0060347D">
        <w:tc>
          <w:tcPr>
            <w:tcW w:w="1914" w:type="dxa"/>
          </w:tcPr>
          <w:p w:rsidR="0060347D" w:rsidRDefault="0060347D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914" w:type="dxa"/>
          </w:tcPr>
          <w:p w:rsidR="0060347D" w:rsidRDefault="0060347D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914" w:type="dxa"/>
          </w:tcPr>
          <w:p w:rsidR="0060347D" w:rsidRDefault="0060347D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914" w:type="dxa"/>
          </w:tcPr>
          <w:p w:rsidR="0060347D" w:rsidRDefault="0060347D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5" w:type="dxa"/>
          </w:tcPr>
          <w:p w:rsidR="0060347D" w:rsidRDefault="0060347D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60347D" w:rsidTr="0060347D">
        <w:tc>
          <w:tcPr>
            <w:tcW w:w="1914" w:type="dxa"/>
          </w:tcPr>
          <w:p w:rsidR="0060347D" w:rsidRDefault="0060347D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8 042 002</w:t>
            </w:r>
          </w:p>
        </w:tc>
        <w:tc>
          <w:tcPr>
            <w:tcW w:w="1914" w:type="dxa"/>
          </w:tcPr>
          <w:p w:rsidR="0060347D" w:rsidRDefault="0060347D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15 111 483</w:t>
            </w:r>
          </w:p>
        </w:tc>
        <w:tc>
          <w:tcPr>
            <w:tcW w:w="1914" w:type="dxa"/>
          </w:tcPr>
          <w:p w:rsidR="0060347D" w:rsidRDefault="0060347D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15 111 483</w:t>
            </w:r>
          </w:p>
        </w:tc>
        <w:tc>
          <w:tcPr>
            <w:tcW w:w="1914" w:type="dxa"/>
          </w:tcPr>
          <w:p w:rsidR="0060347D" w:rsidRDefault="0060347D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15 111 483</w:t>
            </w:r>
          </w:p>
        </w:tc>
        <w:tc>
          <w:tcPr>
            <w:tcW w:w="1915" w:type="dxa"/>
          </w:tcPr>
          <w:p w:rsidR="0060347D" w:rsidRDefault="0060347D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25 061 122</w:t>
            </w:r>
          </w:p>
        </w:tc>
      </w:tr>
    </w:tbl>
    <w:p w:rsidR="00722421" w:rsidRDefault="00722421" w:rsidP="00CE124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47D" w:rsidRDefault="0060347D" w:rsidP="001F6FB6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таблицы №1 мы видим динамику изменения ус</w:t>
      </w:r>
      <w:r w:rsidR="001F6FB6">
        <w:rPr>
          <w:rFonts w:ascii="Times New Roman" w:hAnsi="Times New Roman" w:cs="Times New Roman"/>
          <w:sz w:val="28"/>
          <w:szCs w:val="28"/>
        </w:rPr>
        <w:t>тавного капитала компании «СОГАЗ</w:t>
      </w:r>
      <w:r>
        <w:rPr>
          <w:rFonts w:ascii="Times New Roman" w:hAnsi="Times New Roman" w:cs="Times New Roman"/>
          <w:sz w:val="28"/>
          <w:szCs w:val="28"/>
        </w:rPr>
        <w:t>» за последние 5 лет, за 5 лет он вырос более чем в 3 раза, причём за 3 года он не менялся, и в последний год вырос более чем в 1,5 ра</w:t>
      </w:r>
      <w:r w:rsidR="001F6FB6">
        <w:rPr>
          <w:rFonts w:ascii="Times New Roman" w:hAnsi="Times New Roman" w:cs="Times New Roman"/>
          <w:sz w:val="28"/>
          <w:szCs w:val="28"/>
        </w:rPr>
        <w:t>за, составив 25 </w:t>
      </w:r>
      <w:r>
        <w:rPr>
          <w:rFonts w:ascii="Times New Roman" w:hAnsi="Times New Roman" w:cs="Times New Roman"/>
          <w:sz w:val="28"/>
          <w:szCs w:val="28"/>
        </w:rPr>
        <w:t>061</w:t>
      </w:r>
      <w:r w:rsidR="001F6FB6">
        <w:rPr>
          <w:rFonts w:ascii="Times New Roman" w:hAnsi="Times New Roman" w:cs="Times New Roman"/>
          <w:sz w:val="28"/>
          <w:szCs w:val="28"/>
        </w:rPr>
        <w:t xml:space="preserve"> 122 </w:t>
      </w:r>
      <w:r>
        <w:rPr>
          <w:rFonts w:ascii="Times New Roman" w:hAnsi="Times New Roman" w:cs="Times New Roman"/>
          <w:sz w:val="28"/>
          <w:szCs w:val="28"/>
        </w:rPr>
        <w:t>000 рублей.</w:t>
      </w:r>
    </w:p>
    <w:p w:rsidR="0060347D" w:rsidRDefault="0060347D" w:rsidP="00CE124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47D" w:rsidRPr="009620C2" w:rsidRDefault="009620C2" w:rsidP="009620C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60347D" w:rsidRPr="009620C2">
        <w:rPr>
          <w:rFonts w:ascii="Times New Roman" w:hAnsi="Times New Roman" w:cs="Times New Roman"/>
          <w:b/>
          <w:sz w:val="28"/>
          <w:szCs w:val="28"/>
        </w:rPr>
        <w:t>. Проанализировать количество договоров, страховые премии и выплаты.</w:t>
      </w:r>
    </w:p>
    <w:p w:rsidR="00672199" w:rsidRDefault="00672199" w:rsidP="00CE124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2199" w:rsidRDefault="00672199" w:rsidP="00CE1243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2199">
        <w:rPr>
          <w:rFonts w:ascii="Times New Roman" w:hAnsi="Times New Roman" w:cs="Times New Roman"/>
          <w:i/>
          <w:sz w:val="28"/>
          <w:szCs w:val="28"/>
        </w:rPr>
        <w:t>Таблица 2. Динамика страховых премий и выплат, млн. руб.</w:t>
      </w:r>
    </w:p>
    <w:p w:rsidR="00672199" w:rsidRDefault="00672199" w:rsidP="00CE1243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468"/>
        <w:gridCol w:w="1576"/>
        <w:gridCol w:w="1575"/>
        <w:gridCol w:w="1575"/>
        <w:gridCol w:w="1575"/>
        <w:gridCol w:w="1576"/>
      </w:tblGrid>
      <w:tr w:rsidR="00672199" w:rsidTr="00672199">
        <w:trPr>
          <w:trHeight w:val="730"/>
        </w:trPr>
        <w:tc>
          <w:tcPr>
            <w:tcW w:w="1468" w:type="dxa"/>
          </w:tcPr>
          <w:p w:rsidR="00672199" w:rsidRDefault="00672199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11" w:type="dxa"/>
          </w:tcPr>
          <w:p w:rsidR="00672199" w:rsidRPr="00672199" w:rsidRDefault="00672199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721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2011</w:t>
            </w:r>
          </w:p>
        </w:tc>
        <w:tc>
          <w:tcPr>
            <w:tcW w:w="1611" w:type="dxa"/>
          </w:tcPr>
          <w:p w:rsidR="00672199" w:rsidRPr="00672199" w:rsidRDefault="00672199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721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2012</w:t>
            </w:r>
          </w:p>
        </w:tc>
        <w:tc>
          <w:tcPr>
            <w:tcW w:w="1611" w:type="dxa"/>
          </w:tcPr>
          <w:p w:rsidR="00672199" w:rsidRPr="00672199" w:rsidRDefault="00672199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721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2013</w:t>
            </w:r>
          </w:p>
        </w:tc>
        <w:tc>
          <w:tcPr>
            <w:tcW w:w="1611" w:type="dxa"/>
          </w:tcPr>
          <w:p w:rsidR="00672199" w:rsidRPr="00672199" w:rsidRDefault="00672199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721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2014</w:t>
            </w:r>
          </w:p>
        </w:tc>
        <w:tc>
          <w:tcPr>
            <w:tcW w:w="1612" w:type="dxa"/>
          </w:tcPr>
          <w:p w:rsidR="00672199" w:rsidRPr="00672199" w:rsidRDefault="00672199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721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2015 </w:t>
            </w:r>
          </w:p>
        </w:tc>
      </w:tr>
      <w:tr w:rsidR="00672199" w:rsidTr="00672199">
        <w:trPr>
          <w:trHeight w:val="730"/>
        </w:trPr>
        <w:tc>
          <w:tcPr>
            <w:tcW w:w="1468" w:type="dxa"/>
          </w:tcPr>
          <w:p w:rsidR="00672199" w:rsidRPr="00672199" w:rsidRDefault="00672199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721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Премия</w:t>
            </w:r>
          </w:p>
        </w:tc>
        <w:tc>
          <w:tcPr>
            <w:tcW w:w="1611" w:type="dxa"/>
          </w:tcPr>
          <w:p w:rsidR="00672199" w:rsidRDefault="00672199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58 379</w:t>
            </w:r>
          </w:p>
        </w:tc>
        <w:tc>
          <w:tcPr>
            <w:tcW w:w="1611" w:type="dxa"/>
          </w:tcPr>
          <w:p w:rsidR="00672199" w:rsidRDefault="00672199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80 443</w:t>
            </w:r>
          </w:p>
        </w:tc>
        <w:tc>
          <w:tcPr>
            <w:tcW w:w="1611" w:type="dxa"/>
          </w:tcPr>
          <w:p w:rsidR="00672199" w:rsidRDefault="00672199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90 411</w:t>
            </w:r>
          </w:p>
        </w:tc>
        <w:tc>
          <w:tcPr>
            <w:tcW w:w="1611" w:type="dxa"/>
          </w:tcPr>
          <w:p w:rsidR="00672199" w:rsidRDefault="00672199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111 120</w:t>
            </w:r>
          </w:p>
        </w:tc>
        <w:tc>
          <w:tcPr>
            <w:tcW w:w="1612" w:type="dxa"/>
          </w:tcPr>
          <w:p w:rsidR="00672199" w:rsidRDefault="00672199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131 147</w:t>
            </w:r>
          </w:p>
        </w:tc>
      </w:tr>
      <w:tr w:rsidR="00672199" w:rsidTr="00672199">
        <w:trPr>
          <w:trHeight w:val="730"/>
        </w:trPr>
        <w:tc>
          <w:tcPr>
            <w:tcW w:w="1468" w:type="dxa"/>
          </w:tcPr>
          <w:p w:rsidR="00672199" w:rsidRPr="00672199" w:rsidRDefault="00672199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721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Выплаты</w:t>
            </w:r>
          </w:p>
        </w:tc>
        <w:tc>
          <w:tcPr>
            <w:tcW w:w="1611" w:type="dxa"/>
          </w:tcPr>
          <w:p w:rsidR="00672199" w:rsidRDefault="00672199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26 635</w:t>
            </w:r>
          </w:p>
        </w:tc>
        <w:tc>
          <w:tcPr>
            <w:tcW w:w="1611" w:type="dxa"/>
          </w:tcPr>
          <w:p w:rsidR="00672199" w:rsidRDefault="00672199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31 572</w:t>
            </w:r>
          </w:p>
        </w:tc>
        <w:tc>
          <w:tcPr>
            <w:tcW w:w="1611" w:type="dxa"/>
          </w:tcPr>
          <w:p w:rsidR="00672199" w:rsidRDefault="00672199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40 448</w:t>
            </w:r>
          </w:p>
        </w:tc>
        <w:tc>
          <w:tcPr>
            <w:tcW w:w="1611" w:type="dxa"/>
          </w:tcPr>
          <w:p w:rsidR="00672199" w:rsidRDefault="00672199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44 442</w:t>
            </w:r>
          </w:p>
        </w:tc>
        <w:tc>
          <w:tcPr>
            <w:tcW w:w="1612" w:type="dxa"/>
          </w:tcPr>
          <w:p w:rsidR="00672199" w:rsidRDefault="00672199" w:rsidP="00CE1243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66 949</w:t>
            </w:r>
          </w:p>
        </w:tc>
      </w:tr>
    </w:tbl>
    <w:p w:rsidR="00672199" w:rsidRPr="00672199" w:rsidRDefault="00672199" w:rsidP="00CE1243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72199" w:rsidRDefault="00672199" w:rsidP="00CE124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09CF" w:rsidRDefault="001B09CF" w:rsidP="00CE1243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09CF">
        <w:rPr>
          <w:rFonts w:ascii="Times New Roman" w:hAnsi="Times New Roman" w:cs="Times New Roman"/>
          <w:i/>
          <w:sz w:val="28"/>
          <w:szCs w:val="28"/>
        </w:rPr>
        <w:lastRenderedPageBreak/>
        <w:t>2011 год</w:t>
      </w:r>
    </w:p>
    <w:p w:rsidR="001B09CF" w:rsidRPr="00EF168E" w:rsidRDefault="001F6FB6" w:rsidP="00EF168E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Страховая премия ОАО «СОГАЗ</w:t>
      </w:r>
      <w:r w:rsidR="001B09CF" w:rsidRPr="00EF168E">
        <w:rPr>
          <w:rFonts w:ascii="Times New Roman" w:hAnsi="Times New Roman" w:cs="Times New Roman"/>
          <w:sz w:val="28"/>
          <w:szCs w:val="28"/>
        </w:rPr>
        <w:t xml:space="preserve">» за 2011г. </w:t>
      </w:r>
      <w:r w:rsidR="00EF168E" w:rsidRPr="00EF168E">
        <w:rPr>
          <w:rFonts w:ascii="Times New Roman" w:hAnsi="Times New Roman" w:cs="Times New Roman"/>
          <w:sz w:val="28"/>
          <w:szCs w:val="28"/>
        </w:rPr>
        <w:t>составила 58 379 млн. руб., темп роста 117 %. Исполнение годового плана составило 114%</w:t>
      </w:r>
      <w:r w:rsidR="00EF168E">
        <w:rPr>
          <w:rFonts w:ascii="Times New Roman" w:hAnsi="Times New Roman" w:cs="Times New Roman"/>
          <w:sz w:val="28"/>
          <w:szCs w:val="28"/>
        </w:rPr>
        <w:t>.</w:t>
      </w:r>
      <w:r w:rsidR="00EF168E" w:rsidRPr="00EF16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68E" w:rsidRDefault="00EF168E" w:rsidP="00EF168E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168E">
        <w:rPr>
          <w:rFonts w:ascii="Times New Roman" w:hAnsi="Times New Roman" w:cs="Times New Roman"/>
          <w:sz w:val="28"/>
          <w:szCs w:val="28"/>
        </w:rPr>
        <w:t>Страховые выплаты за 2011г. составили 26 635 млн. руб., что на 15% больше, чем за 2010г.</w:t>
      </w:r>
    </w:p>
    <w:p w:rsidR="00EF168E" w:rsidRDefault="00EF168E" w:rsidP="00CE124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68E" w:rsidRPr="00EF168E" w:rsidRDefault="00EF168E" w:rsidP="00CE1243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168E">
        <w:rPr>
          <w:rFonts w:ascii="Times New Roman" w:hAnsi="Times New Roman" w:cs="Times New Roman"/>
          <w:i/>
          <w:sz w:val="28"/>
          <w:szCs w:val="28"/>
        </w:rPr>
        <w:t>2012 год</w:t>
      </w:r>
    </w:p>
    <w:p w:rsidR="00EF168E" w:rsidRPr="00EF168E" w:rsidRDefault="001F6FB6" w:rsidP="00EF168E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Страховая премия ОАО «СОГАЗ</w:t>
      </w:r>
      <w:r w:rsidR="00EF168E" w:rsidRPr="00EF168E">
        <w:rPr>
          <w:rFonts w:ascii="Times New Roman" w:hAnsi="Times New Roman" w:cs="Times New Roman"/>
          <w:sz w:val="28"/>
          <w:szCs w:val="28"/>
        </w:rPr>
        <w:t>» за 201</w:t>
      </w:r>
      <w:r w:rsidR="00EF168E">
        <w:rPr>
          <w:rFonts w:ascii="Times New Roman" w:hAnsi="Times New Roman" w:cs="Times New Roman"/>
          <w:sz w:val="28"/>
          <w:szCs w:val="28"/>
        </w:rPr>
        <w:t>2</w:t>
      </w:r>
      <w:r w:rsidR="00EF168E" w:rsidRPr="00EF168E">
        <w:rPr>
          <w:rFonts w:ascii="Times New Roman" w:hAnsi="Times New Roman" w:cs="Times New Roman"/>
          <w:sz w:val="28"/>
          <w:szCs w:val="28"/>
        </w:rPr>
        <w:t xml:space="preserve">г. составила </w:t>
      </w:r>
      <w:r w:rsidR="00EF168E">
        <w:rPr>
          <w:rFonts w:ascii="Times New Roman" w:hAnsi="Times New Roman" w:cs="Times New Roman"/>
          <w:sz w:val="28"/>
          <w:szCs w:val="28"/>
        </w:rPr>
        <w:t>80 443</w:t>
      </w:r>
      <w:r w:rsidR="00EF168E" w:rsidRPr="00EF168E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="00EF168E">
        <w:rPr>
          <w:rFonts w:ascii="Times New Roman" w:hAnsi="Times New Roman" w:cs="Times New Roman"/>
          <w:sz w:val="28"/>
          <w:szCs w:val="28"/>
        </w:rPr>
        <w:t>, темп роста 136</w:t>
      </w:r>
      <w:r w:rsidR="00EF168E" w:rsidRPr="00EF168E">
        <w:rPr>
          <w:rFonts w:ascii="Times New Roman" w:hAnsi="Times New Roman" w:cs="Times New Roman"/>
          <w:sz w:val="28"/>
          <w:szCs w:val="28"/>
        </w:rPr>
        <w:t xml:space="preserve"> %. Исполнение годового плана составило 11</w:t>
      </w:r>
      <w:r w:rsidR="00EF168E">
        <w:rPr>
          <w:rFonts w:ascii="Times New Roman" w:hAnsi="Times New Roman" w:cs="Times New Roman"/>
          <w:sz w:val="28"/>
          <w:szCs w:val="28"/>
        </w:rPr>
        <w:t>9</w:t>
      </w:r>
      <w:r w:rsidR="00EF168E" w:rsidRPr="00EF168E">
        <w:rPr>
          <w:rFonts w:ascii="Times New Roman" w:hAnsi="Times New Roman" w:cs="Times New Roman"/>
          <w:sz w:val="28"/>
          <w:szCs w:val="28"/>
        </w:rPr>
        <w:t>%</w:t>
      </w:r>
      <w:r w:rsidR="00EF168E">
        <w:rPr>
          <w:rFonts w:ascii="Times New Roman" w:hAnsi="Times New Roman" w:cs="Times New Roman"/>
          <w:sz w:val="28"/>
          <w:szCs w:val="28"/>
        </w:rPr>
        <w:t>.</w:t>
      </w:r>
      <w:r w:rsidR="00EF168E" w:rsidRPr="00EF16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68E" w:rsidRDefault="00EF168E" w:rsidP="00EF168E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168E">
        <w:rPr>
          <w:rFonts w:ascii="Times New Roman" w:hAnsi="Times New Roman" w:cs="Times New Roman"/>
          <w:sz w:val="28"/>
          <w:szCs w:val="28"/>
        </w:rPr>
        <w:t>Страховы</w:t>
      </w:r>
      <w:r>
        <w:rPr>
          <w:rFonts w:ascii="Times New Roman" w:hAnsi="Times New Roman" w:cs="Times New Roman"/>
          <w:sz w:val="28"/>
          <w:szCs w:val="28"/>
        </w:rPr>
        <w:t>е выплаты за 2012г. составили 31</w:t>
      </w:r>
      <w:r w:rsidRPr="00EF168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572</w:t>
      </w:r>
      <w:r w:rsidRPr="00EF168E">
        <w:rPr>
          <w:rFonts w:ascii="Times New Roman" w:hAnsi="Times New Roman" w:cs="Times New Roman"/>
          <w:sz w:val="28"/>
          <w:szCs w:val="28"/>
        </w:rPr>
        <w:t xml:space="preserve"> млн. руб., что на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F168E">
        <w:rPr>
          <w:rFonts w:ascii="Times New Roman" w:hAnsi="Times New Roman" w:cs="Times New Roman"/>
          <w:sz w:val="28"/>
          <w:szCs w:val="28"/>
        </w:rPr>
        <w:t>% больше, чем за 201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F168E">
        <w:rPr>
          <w:rFonts w:ascii="Times New Roman" w:hAnsi="Times New Roman" w:cs="Times New Roman"/>
          <w:sz w:val="28"/>
          <w:szCs w:val="28"/>
        </w:rPr>
        <w:t>г.</w:t>
      </w:r>
    </w:p>
    <w:p w:rsidR="00EF168E" w:rsidRPr="00EF168E" w:rsidRDefault="00EF168E" w:rsidP="00CE1243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09CF" w:rsidRPr="001B09CF" w:rsidRDefault="001B09CF" w:rsidP="00CE1243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09CF">
        <w:rPr>
          <w:rFonts w:ascii="Times New Roman" w:hAnsi="Times New Roman" w:cs="Times New Roman"/>
          <w:i/>
          <w:sz w:val="28"/>
          <w:szCs w:val="28"/>
        </w:rPr>
        <w:t>2013 год</w:t>
      </w:r>
    </w:p>
    <w:p w:rsidR="001B09CF" w:rsidRDefault="001B09CF" w:rsidP="001B09C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09CF">
        <w:rPr>
          <w:rFonts w:ascii="Times New Roman" w:hAnsi="Times New Roman" w:cs="Times New Roman"/>
          <w:sz w:val="28"/>
          <w:szCs w:val="28"/>
        </w:rPr>
        <w:t>Темпы роста начисленной страховой премии ОАО «СОГАЗ» за 2013 г. составил 90.411 млн. руб., т</w:t>
      </w:r>
      <w:r>
        <w:rPr>
          <w:rFonts w:ascii="Times New Roman" w:hAnsi="Times New Roman" w:cs="Times New Roman"/>
          <w:sz w:val="28"/>
          <w:szCs w:val="28"/>
        </w:rPr>
        <w:t xml:space="preserve">емп роста – 112%, в том числе: </w:t>
      </w:r>
    </w:p>
    <w:p w:rsidR="001B09CF" w:rsidRDefault="001B09CF" w:rsidP="001B09C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09CF">
        <w:rPr>
          <w:rFonts w:ascii="Times New Roman" w:hAnsi="Times New Roman" w:cs="Times New Roman"/>
          <w:sz w:val="28"/>
          <w:szCs w:val="28"/>
        </w:rPr>
        <w:t xml:space="preserve"> по договорам с ОАО «Газпром» и его дочерними обществами: 28.567 млн. руб., темп роста - 112%;7 </w:t>
      </w:r>
    </w:p>
    <w:p w:rsidR="001B09CF" w:rsidRDefault="001B09CF" w:rsidP="001B09C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09CF">
        <w:rPr>
          <w:rFonts w:ascii="Times New Roman" w:hAnsi="Times New Roman" w:cs="Times New Roman"/>
          <w:sz w:val="28"/>
          <w:szCs w:val="28"/>
        </w:rPr>
        <w:t xml:space="preserve"> по договорам, заключенным с иными страхователями: 61.844 млн. руб., темп роста – 113%. </w:t>
      </w:r>
    </w:p>
    <w:p w:rsidR="001B09CF" w:rsidRDefault="001B09CF" w:rsidP="001B09C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09CF">
        <w:rPr>
          <w:rFonts w:ascii="Times New Roman" w:hAnsi="Times New Roman" w:cs="Times New Roman"/>
          <w:sz w:val="28"/>
          <w:szCs w:val="28"/>
        </w:rPr>
        <w:t>Исполнение годового плана составило 117%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09CF" w:rsidRDefault="001B09CF" w:rsidP="001B09C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09CF">
        <w:rPr>
          <w:rFonts w:ascii="Times New Roman" w:hAnsi="Times New Roman" w:cs="Times New Roman"/>
          <w:sz w:val="28"/>
          <w:szCs w:val="28"/>
        </w:rPr>
        <w:t>Страховые выплаты ОАО «СОГАЗ» по страхованию иному, чем страхование жизни за 2013 г. составили 40.448 млн. руб., что на 28% больше, чем за 2012 г. Уровень выплат от начисленной страховой премии за 2013г. составляет 45%, что выше показателя 2012 г. (39%).</w:t>
      </w:r>
    </w:p>
    <w:p w:rsidR="00EF168E" w:rsidRDefault="00EF168E" w:rsidP="001B09C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168E" w:rsidRPr="00672199" w:rsidRDefault="00EF168E" w:rsidP="001B09C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2199">
        <w:rPr>
          <w:rFonts w:ascii="Times New Roman" w:hAnsi="Times New Roman" w:cs="Times New Roman"/>
          <w:i/>
          <w:sz w:val="28"/>
          <w:szCs w:val="28"/>
        </w:rPr>
        <w:t>2014 год</w:t>
      </w:r>
    </w:p>
    <w:p w:rsidR="00EF168E" w:rsidRPr="00EF168E" w:rsidRDefault="00EF168E" w:rsidP="00EF168E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168E">
        <w:rPr>
          <w:rFonts w:ascii="Times New Roman" w:hAnsi="Times New Roman" w:cs="Times New Roman"/>
          <w:sz w:val="28"/>
          <w:szCs w:val="28"/>
        </w:rPr>
        <w:t>Страховая премия ОАО «</w:t>
      </w:r>
      <w:proofErr w:type="spellStart"/>
      <w:r w:rsidRPr="00EF168E">
        <w:rPr>
          <w:rFonts w:ascii="Times New Roman" w:hAnsi="Times New Roman" w:cs="Times New Roman"/>
          <w:sz w:val="28"/>
          <w:szCs w:val="28"/>
        </w:rPr>
        <w:t>Согаз</w:t>
      </w:r>
      <w:proofErr w:type="spellEnd"/>
      <w:r w:rsidRPr="00EF168E">
        <w:rPr>
          <w:rFonts w:ascii="Times New Roman" w:hAnsi="Times New Roman" w:cs="Times New Roman"/>
          <w:sz w:val="28"/>
          <w:szCs w:val="28"/>
        </w:rPr>
        <w:t>» за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F168E">
        <w:rPr>
          <w:rFonts w:ascii="Times New Roman" w:hAnsi="Times New Roman" w:cs="Times New Roman"/>
          <w:sz w:val="28"/>
          <w:szCs w:val="28"/>
        </w:rPr>
        <w:t xml:space="preserve">г. составила </w:t>
      </w:r>
      <w:r>
        <w:rPr>
          <w:rFonts w:ascii="Times New Roman" w:hAnsi="Times New Roman" w:cs="Times New Roman"/>
          <w:sz w:val="28"/>
          <w:szCs w:val="28"/>
        </w:rPr>
        <w:t>111 120</w:t>
      </w:r>
      <w:r w:rsidRPr="00EF168E">
        <w:rPr>
          <w:rFonts w:ascii="Times New Roman" w:hAnsi="Times New Roman" w:cs="Times New Roman"/>
          <w:sz w:val="28"/>
          <w:szCs w:val="28"/>
        </w:rPr>
        <w:t xml:space="preserve"> млн. руб., темп роста 1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EF168E">
        <w:rPr>
          <w:rFonts w:ascii="Times New Roman" w:hAnsi="Times New Roman" w:cs="Times New Roman"/>
          <w:sz w:val="28"/>
          <w:szCs w:val="28"/>
        </w:rPr>
        <w:t xml:space="preserve"> %. </w:t>
      </w:r>
      <w:r>
        <w:rPr>
          <w:rFonts w:ascii="Times New Roman" w:hAnsi="Times New Roman" w:cs="Times New Roman"/>
          <w:sz w:val="28"/>
          <w:szCs w:val="28"/>
        </w:rPr>
        <w:t xml:space="preserve">Прирост к 2013г. 20 709 млн. руб. </w:t>
      </w:r>
      <w:r w:rsidRPr="00EF168E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672199">
        <w:rPr>
          <w:rFonts w:ascii="Times New Roman" w:hAnsi="Times New Roman" w:cs="Times New Roman"/>
          <w:sz w:val="28"/>
          <w:szCs w:val="28"/>
        </w:rPr>
        <w:t>годового плана составило 129</w:t>
      </w:r>
      <w:r w:rsidRPr="00EF168E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F16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68E" w:rsidRDefault="00EF168E" w:rsidP="00EF168E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168E">
        <w:rPr>
          <w:rFonts w:ascii="Times New Roman" w:hAnsi="Times New Roman" w:cs="Times New Roman"/>
          <w:sz w:val="28"/>
          <w:szCs w:val="28"/>
        </w:rPr>
        <w:lastRenderedPageBreak/>
        <w:t>Страховые выплаты за 201</w:t>
      </w:r>
      <w:r w:rsidR="00672199">
        <w:rPr>
          <w:rFonts w:ascii="Times New Roman" w:hAnsi="Times New Roman" w:cs="Times New Roman"/>
          <w:sz w:val="28"/>
          <w:szCs w:val="28"/>
        </w:rPr>
        <w:t>4</w:t>
      </w:r>
      <w:r w:rsidRPr="00EF168E">
        <w:rPr>
          <w:rFonts w:ascii="Times New Roman" w:hAnsi="Times New Roman" w:cs="Times New Roman"/>
          <w:sz w:val="28"/>
          <w:szCs w:val="28"/>
        </w:rPr>
        <w:t xml:space="preserve">г. составили </w:t>
      </w:r>
      <w:r w:rsidR="00672199">
        <w:rPr>
          <w:rFonts w:ascii="Times New Roman" w:hAnsi="Times New Roman" w:cs="Times New Roman"/>
          <w:sz w:val="28"/>
          <w:szCs w:val="28"/>
        </w:rPr>
        <w:t>44 442</w:t>
      </w:r>
      <w:r w:rsidRPr="00EF168E">
        <w:rPr>
          <w:rFonts w:ascii="Times New Roman" w:hAnsi="Times New Roman" w:cs="Times New Roman"/>
          <w:sz w:val="28"/>
          <w:szCs w:val="28"/>
        </w:rPr>
        <w:t xml:space="preserve"> млн. руб., что на 1</w:t>
      </w:r>
      <w:r w:rsidR="00672199">
        <w:rPr>
          <w:rFonts w:ascii="Times New Roman" w:hAnsi="Times New Roman" w:cs="Times New Roman"/>
          <w:sz w:val="28"/>
          <w:szCs w:val="28"/>
        </w:rPr>
        <w:t>0</w:t>
      </w:r>
      <w:r w:rsidRPr="00EF168E">
        <w:rPr>
          <w:rFonts w:ascii="Times New Roman" w:hAnsi="Times New Roman" w:cs="Times New Roman"/>
          <w:sz w:val="28"/>
          <w:szCs w:val="28"/>
        </w:rPr>
        <w:t>% больше, чем за 201</w:t>
      </w:r>
      <w:r w:rsidR="00672199">
        <w:rPr>
          <w:rFonts w:ascii="Times New Roman" w:hAnsi="Times New Roman" w:cs="Times New Roman"/>
          <w:sz w:val="28"/>
          <w:szCs w:val="28"/>
        </w:rPr>
        <w:t>3</w:t>
      </w:r>
      <w:r w:rsidRPr="00EF168E">
        <w:rPr>
          <w:rFonts w:ascii="Times New Roman" w:hAnsi="Times New Roman" w:cs="Times New Roman"/>
          <w:sz w:val="28"/>
          <w:szCs w:val="28"/>
        </w:rPr>
        <w:t>г.</w:t>
      </w:r>
    </w:p>
    <w:p w:rsidR="00672199" w:rsidRDefault="00672199" w:rsidP="00EF168E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2199" w:rsidRPr="00672199" w:rsidRDefault="00672199" w:rsidP="00EF168E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2199">
        <w:rPr>
          <w:rFonts w:ascii="Times New Roman" w:hAnsi="Times New Roman" w:cs="Times New Roman"/>
          <w:i/>
          <w:sz w:val="28"/>
          <w:szCs w:val="28"/>
        </w:rPr>
        <w:t>2015 год</w:t>
      </w:r>
    </w:p>
    <w:p w:rsidR="00672199" w:rsidRDefault="00672199" w:rsidP="00672199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168E">
        <w:rPr>
          <w:rFonts w:ascii="Times New Roman" w:hAnsi="Times New Roman" w:cs="Times New Roman"/>
          <w:sz w:val="28"/>
          <w:szCs w:val="28"/>
        </w:rPr>
        <w:t>Страховая премия ОАО «</w:t>
      </w:r>
      <w:proofErr w:type="spellStart"/>
      <w:r w:rsidRPr="00EF168E">
        <w:rPr>
          <w:rFonts w:ascii="Times New Roman" w:hAnsi="Times New Roman" w:cs="Times New Roman"/>
          <w:sz w:val="28"/>
          <w:szCs w:val="28"/>
        </w:rPr>
        <w:t>Согаз</w:t>
      </w:r>
      <w:proofErr w:type="spellEnd"/>
      <w:r w:rsidRPr="00EF168E">
        <w:rPr>
          <w:rFonts w:ascii="Times New Roman" w:hAnsi="Times New Roman" w:cs="Times New Roman"/>
          <w:sz w:val="28"/>
          <w:szCs w:val="28"/>
        </w:rPr>
        <w:t>» за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F168E">
        <w:rPr>
          <w:rFonts w:ascii="Times New Roman" w:hAnsi="Times New Roman" w:cs="Times New Roman"/>
          <w:sz w:val="28"/>
          <w:szCs w:val="28"/>
        </w:rPr>
        <w:t xml:space="preserve">г. составила </w:t>
      </w:r>
      <w:r>
        <w:rPr>
          <w:rFonts w:ascii="Times New Roman" w:hAnsi="Times New Roman" w:cs="Times New Roman"/>
          <w:sz w:val="28"/>
          <w:szCs w:val="28"/>
        </w:rPr>
        <w:t>131 147</w:t>
      </w:r>
      <w:r w:rsidRPr="00EF168E">
        <w:rPr>
          <w:rFonts w:ascii="Times New Roman" w:hAnsi="Times New Roman" w:cs="Times New Roman"/>
          <w:sz w:val="28"/>
          <w:szCs w:val="28"/>
        </w:rPr>
        <w:t xml:space="preserve"> млн. руб., темп роста 11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F168E">
        <w:rPr>
          <w:rFonts w:ascii="Times New Roman" w:hAnsi="Times New Roman" w:cs="Times New Roman"/>
          <w:sz w:val="28"/>
          <w:szCs w:val="28"/>
        </w:rPr>
        <w:t xml:space="preserve"> %.</w:t>
      </w:r>
      <w:r>
        <w:rPr>
          <w:rFonts w:ascii="Times New Roman" w:hAnsi="Times New Roman" w:cs="Times New Roman"/>
          <w:sz w:val="28"/>
          <w:szCs w:val="28"/>
        </w:rPr>
        <w:t xml:space="preserve"> Прирост к 2013 г. 20 027 млн. руб. </w:t>
      </w:r>
      <w:r w:rsidRPr="00EF16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199" w:rsidRDefault="00672199" w:rsidP="00672199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168E">
        <w:rPr>
          <w:rFonts w:ascii="Times New Roman" w:hAnsi="Times New Roman" w:cs="Times New Roman"/>
          <w:sz w:val="28"/>
          <w:szCs w:val="28"/>
        </w:rPr>
        <w:t>Страховые выплаты за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F168E">
        <w:rPr>
          <w:rFonts w:ascii="Times New Roman" w:hAnsi="Times New Roman" w:cs="Times New Roman"/>
          <w:sz w:val="28"/>
          <w:szCs w:val="28"/>
        </w:rPr>
        <w:t xml:space="preserve">г. составили </w:t>
      </w:r>
      <w:r>
        <w:rPr>
          <w:rFonts w:ascii="Times New Roman" w:hAnsi="Times New Roman" w:cs="Times New Roman"/>
          <w:sz w:val="28"/>
          <w:szCs w:val="28"/>
        </w:rPr>
        <w:t>66 949</w:t>
      </w:r>
      <w:r w:rsidRPr="00EF168E">
        <w:rPr>
          <w:rFonts w:ascii="Times New Roman" w:hAnsi="Times New Roman" w:cs="Times New Roman"/>
          <w:sz w:val="28"/>
          <w:szCs w:val="28"/>
        </w:rPr>
        <w:t xml:space="preserve"> млн. руб., что на </w:t>
      </w:r>
      <w:r>
        <w:rPr>
          <w:rFonts w:ascii="Times New Roman" w:hAnsi="Times New Roman" w:cs="Times New Roman"/>
          <w:sz w:val="28"/>
          <w:szCs w:val="28"/>
        </w:rPr>
        <w:t>51% больше, чем за 2014</w:t>
      </w:r>
      <w:r w:rsidRPr="00EF168E">
        <w:rPr>
          <w:rFonts w:ascii="Times New Roman" w:hAnsi="Times New Roman" w:cs="Times New Roman"/>
          <w:sz w:val="28"/>
          <w:szCs w:val="28"/>
        </w:rPr>
        <w:t>г.</w:t>
      </w:r>
    </w:p>
    <w:p w:rsidR="00EF168E" w:rsidRDefault="00EF168E" w:rsidP="001B09C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2199" w:rsidRPr="009620C2" w:rsidRDefault="002A1C97" w:rsidP="001B09C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672199" w:rsidRPr="009620C2">
        <w:rPr>
          <w:rFonts w:ascii="Times New Roman" w:hAnsi="Times New Roman" w:cs="Times New Roman"/>
          <w:b/>
          <w:sz w:val="28"/>
          <w:szCs w:val="28"/>
        </w:rPr>
        <w:t>. Выявить динамику соотношений премий к выплатам.</w:t>
      </w:r>
    </w:p>
    <w:p w:rsidR="00672199" w:rsidRDefault="00672199" w:rsidP="001B09C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данных таблицы № 2, мы видим динамику соотношения страховой премии к выплатам.</w:t>
      </w:r>
    </w:p>
    <w:p w:rsidR="00672199" w:rsidRDefault="00672199" w:rsidP="001B09C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2011г. преми</w:t>
      </w:r>
      <w:r w:rsidR="00F51E17">
        <w:rPr>
          <w:rFonts w:ascii="Times New Roman" w:hAnsi="Times New Roman" w:cs="Times New Roman"/>
          <w:sz w:val="28"/>
          <w:szCs w:val="28"/>
        </w:rPr>
        <w:t>и на 219 % выше выплат;</w:t>
      </w:r>
    </w:p>
    <w:p w:rsidR="00F51E17" w:rsidRDefault="00F51E17" w:rsidP="001B09C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2012г. -  на 254 % выше;</w:t>
      </w:r>
    </w:p>
    <w:p w:rsidR="00F51E17" w:rsidRDefault="00F51E17" w:rsidP="001B09C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2013г. – на 223% выше;</w:t>
      </w:r>
    </w:p>
    <w:p w:rsidR="00F51E17" w:rsidRDefault="00F51E17" w:rsidP="001B09C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2014г. – на 250 % выше;</w:t>
      </w:r>
    </w:p>
    <w:p w:rsidR="00F51E17" w:rsidRDefault="00F51E17" w:rsidP="001B09C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2015г. – на 195 % выше.</w:t>
      </w:r>
    </w:p>
    <w:p w:rsidR="00330B8B" w:rsidRDefault="00330B8B" w:rsidP="001B09C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0B8B" w:rsidRDefault="00330B8B" w:rsidP="001B09C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968FBCC" wp14:editId="32A40FD5">
            <wp:extent cx="5067300" cy="2886075"/>
            <wp:effectExtent l="0" t="0" r="0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330B8B" w:rsidRDefault="00330B8B" w:rsidP="001B09C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0B8B" w:rsidRDefault="00330B8B" w:rsidP="001B09C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0B8B" w:rsidRPr="002A1C97" w:rsidRDefault="002A1C97" w:rsidP="00330B8B">
      <w:pPr>
        <w:pStyle w:val="a4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1C97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Таб. 3. </w:t>
      </w:r>
      <w:r w:rsidR="00330B8B" w:rsidRPr="002A1C97">
        <w:rPr>
          <w:rFonts w:ascii="Times New Roman" w:hAnsi="Times New Roman" w:cs="Times New Roman"/>
          <w:i/>
          <w:sz w:val="28"/>
          <w:szCs w:val="28"/>
        </w:rPr>
        <w:t>Динамика количества договоров АО «СОГАЗ» за 2011-2016г.</w:t>
      </w:r>
    </w:p>
    <w:p w:rsidR="00330B8B" w:rsidRPr="00330B8B" w:rsidRDefault="00330B8B" w:rsidP="00330B8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4602" w:type="pct"/>
        <w:tblInd w:w="817" w:type="dxa"/>
        <w:tblLook w:val="04A0" w:firstRow="1" w:lastRow="0" w:firstColumn="1" w:lastColumn="0" w:noHBand="0" w:noVBand="1"/>
      </w:tblPr>
      <w:tblGrid>
        <w:gridCol w:w="921"/>
        <w:gridCol w:w="1615"/>
        <w:gridCol w:w="3132"/>
        <w:gridCol w:w="2933"/>
      </w:tblGrid>
      <w:tr w:rsidR="00330B8B" w:rsidRPr="00330B8B" w:rsidTr="00330B8B">
        <w:trPr>
          <w:trHeight w:val="1646"/>
        </w:trPr>
        <w:tc>
          <w:tcPr>
            <w:tcW w:w="535" w:type="pct"/>
            <w:vAlign w:val="center"/>
            <w:hideMark/>
          </w:tcPr>
          <w:p w:rsidR="00330B8B" w:rsidRPr="00330B8B" w:rsidRDefault="00330B8B" w:rsidP="00330B8B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Год</w:t>
            </w:r>
          </w:p>
        </w:tc>
        <w:tc>
          <w:tcPr>
            <w:tcW w:w="939" w:type="pct"/>
            <w:vAlign w:val="center"/>
            <w:hideMark/>
          </w:tcPr>
          <w:p w:rsidR="00330B8B" w:rsidRPr="00330B8B" w:rsidRDefault="00330B8B" w:rsidP="00330B8B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bCs/>
                <w:sz w:val="24"/>
                <w:szCs w:val="28"/>
              </w:rPr>
              <w:t>Период</w:t>
            </w:r>
          </w:p>
        </w:tc>
        <w:tc>
          <w:tcPr>
            <w:tcW w:w="1821" w:type="pct"/>
            <w:vAlign w:val="center"/>
            <w:hideMark/>
          </w:tcPr>
          <w:p w:rsidR="00330B8B" w:rsidRPr="00330B8B" w:rsidRDefault="00330B8B" w:rsidP="00330B8B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bCs/>
                <w:sz w:val="24"/>
                <w:szCs w:val="28"/>
              </w:rPr>
              <w:t>Действовавших договоров страхования,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330B8B">
              <w:rPr>
                <w:rFonts w:ascii="Times New Roman" w:hAnsi="Times New Roman" w:cs="Times New Roman"/>
                <w:bCs/>
                <w:sz w:val="24"/>
                <w:szCs w:val="28"/>
              </w:rPr>
              <w:t>шт.</w:t>
            </w:r>
          </w:p>
        </w:tc>
        <w:tc>
          <w:tcPr>
            <w:tcW w:w="1705" w:type="pct"/>
            <w:vAlign w:val="center"/>
            <w:hideMark/>
          </w:tcPr>
          <w:p w:rsidR="00330B8B" w:rsidRPr="00330B8B" w:rsidRDefault="00330B8B" w:rsidP="00330B8B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bCs/>
                <w:sz w:val="24"/>
                <w:szCs w:val="28"/>
              </w:rPr>
              <w:t>Заключенных (новых) договоров страхования,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330B8B">
              <w:rPr>
                <w:rFonts w:ascii="Times New Roman" w:hAnsi="Times New Roman" w:cs="Times New Roman"/>
                <w:bCs/>
                <w:sz w:val="24"/>
                <w:szCs w:val="28"/>
              </w:rPr>
              <w:t>шт.</w:t>
            </w:r>
          </w:p>
        </w:tc>
      </w:tr>
      <w:tr w:rsidR="00330B8B" w:rsidRPr="00330B8B" w:rsidTr="00330B8B">
        <w:trPr>
          <w:trHeight w:val="206"/>
        </w:trPr>
        <w:tc>
          <w:tcPr>
            <w:tcW w:w="535" w:type="pct"/>
            <w:vAlign w:val="center"/>
            <w:hideMark/>
          </w:tcPr>
          <w:p w:rsidR="00330B8B" w:rsidRPr="00330B8B" w:rsidRDefault="00330B8B" w:rsidP="00330B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bCs/>
                <w:sz w:val="24"/>
                <w:szCs w:val="28"/>
              </w:rPr>
              <w:t>2016</w:t>
            </w:r>
          </w:p>
        </w:tc>
        <w:tc>
          <w:tcPr>
            <w:tcW w:w="939" w:type="pct"/>
            <w:vAlign w:val="center"/>
            <w:hideMark/>
          </w:tcPr>
          <w:p w:rsidR="00330B8B" w:rsidRPr="00330B8B" w:rsidRDefault="00330B8B" w:rsidP="00330B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sz w:val="24"/>
                <w:szCs w:val="28"/>
              </w:rPr>
              <w:t>6 месяцев</w:t>
            </w:r>
          </w:p>
        </w:tc>
        <w:tc>
          <w:tcPr>
            <w:tcW w:w="1821" w:type="pct"/>
            <w:vAlign w:val="center"/>
            <w:hideMark/>
          </w:tcPr>
          <w:p w:rsidR="00330B8B" w:rsidRPr="00330B8B" w:rsidRDefault="00330B8B" w:rsidP="00330B8B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sz w:val="24"/>
                <w:szCs w:val="28"/>
              </w:rPr>
              <w:t>2 646 828</w:t>
            </w:r>
          </w:p>
        </w:tc>
        <w:tc>
          <w:tcPr>
            <w:tcW w:w="1705" w:type="pct"/>
            <w:vAlign w:val="center"/>
            <w:hideMark/>
          </w:tcPr>
          <w:p w:rsidR="00330B8B" w:rsidRPr="00330B8B" w:rsidRDefault="00330B8B" w:rsidP="00330B8B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sz w:val="24"/>
                <w:szCs w:val="28"/>
              </w:rPr>
              <w:t>1 903 220</w:t>
            </w:r>
          </w:p>
        </w:tc>
      </w:tr>
      <w:tr w:rsidR="00330B8B" w:rsidRPr="00330B8B" w:rsidTr="00330B8B">
        <w:trPr>
          <w:trHeight w:val="361"/>
        </w:trPr>
        <w:tc>
          <w:tcPr>
            <w:tcW w:w="535" w:type="pct"/>
            <w:vAlign w:val="center"/>
            <w:hideMark/>
          </w:tcPr>
          <w:p w:rsidR="00330B8B" w:rsidRPr="00330B8B" w:rsidRDefault="00330B8B" w:rsidP="00330B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bCs/>
                <w:sz w:val="24"/>
                <w:szCs w:val="28"/>
              </w:rPr>
              <w:t>2015</w:t>
            </w:r>
          </w:p>
        </w:tc>
        <w:tc>
          <w:tcPr>
            <w:tcW w:w="939" w:type="pct"/>
            <w:vAlign w:val="center"/>
            <w:hideMark/>
          </w:tcPr>
          <w:p w:rsidR="00330B8B" w:rsidRPr="00330B8B" w:rsidRDefault="00330B8B" w:rsidP="00330B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год</w:t>
            </w:r>
          </w:p>
        </w:tc>
        <w:tc>
          <w:tcPr>
            <w:tcW w:w="1821" w:type="pct"/>
            <w:vAlign w:val="center"/>
            <w:hideMark/>
          </w:tcPr>
          <w:p w:rsidR="00330B8B" w:rsidRPr="00330B8B" w:rsidRDefault="00330B8B" w:rsidP="00330B8B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sz w:val="24"/>
                <w:szCs w:val="28"/>
              </w:rPr>
              <w:t>2 997 223</w:t>
            </w:r>
          </w:p>
        </w:tc>
        <w:tc>
          <w:tcPr>
            <w:tcW w:w="1705" w:type="pct"/>
            <w:vAlign w:val="center"/>
            <w:hideMark/>
          </w:tcPr>
          <w:p w:rsidR="00330B8B" w:rsidRPr="00330B8B" w:rsidRDefault="00330B8B" w:rsidP="00330B8B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sz w:val="24"/>
                <w:szCs w:val="28"/>
              </w:rPr>
              <w:t>3 003 132</w:t>
            </w:r>
          </w:p>
        </w:tc>
      </w:tr>
      <w:tr w:rsidR="00330B8B" w:rsidRPr="00330B8B" w:rsidTr="00330B8B">
        <w:trPr>
          <w:trHeight w:val="361"/>
        </w:trPr>
        <w:tc>
          <w:tcPr>
            <w:tcW w:w="535" w:type="pct"/>
            <w:vAlign w:val="center"/>
            <w:hideMark/>
          </w:tcPr>
          <w:p w:rsidR="00330B8B" w:rsidRPr="00330B8B" w:rsidRDefault="00330B8B" w:rsidP="00330B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bCs/>
                <w:sz w:val="24"/>
                <w:szCs w:val="28"/>
              </w:rPr>
              <w:t>2014</w:t>
            </w:r>
          </w:p>
        </w:tc>
        <w:tc>
          <w:tcPr>
            <w:tcW w:w="939" w:type="pct"/>
            <w:vAlign w:val="center"/>
          </w:tcPr>
          <w:p w:rsidR="00330B8B" w:rsidRPr="00330B8B" w:rsidRDefault="00330B8B" w:rsidP="00330B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sz w:val="24"/>
                <w:szCs w:val="28"/>
              </w:rPr>
              <w:t>1 год</w:t>
            </w:r>
          </w:p>
        </w:tc>
        <w:tc>
          <w:tcPr>
            <w:tcW w:w="1821" w:type="pct"/>
            <w:vAlign w:val="center"/>
            <w:hideMark/>
          </w:tcPr>
          <w:p w:rsidR="00330B8B" w:rsidRPr="00330B8B" w:rsidRDefault="00330B8B" w:rsidP="00330B8B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sz w:val="24"/>
                <w:szCs w:val="28"/>
              </w:rPr>
              <w:t>2 523 277</w:t>
            </w:r>
          </w:p>
        </w:tc>
        <w:tc>
          <w:tcPr>
            <w:tcW w:w="1705" w:type="pct"/>
            <w:vAlign w:val="center"/>
            <w:hideMark/>
          </w:tcPr>
          <w:p w:rsidR="00330B8B" w:rsidRPr="00330B8B" w:rsidRDefault="00330B8B" w:rsidP="00330B8B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sz w:val="24"/>
                <w:szCs w:val="28"/>
              </w:rPr>
              <w:t>2 503 010</w:t>
            </w:r>
          </w:p>
        </w:tc>
      </w:tr>
      <w:tr w:rsidR="00330B8B" w:rsidRPr="00330B8B" w:rsidTr="00330B8B">
        <w:trPr>
          <w:trHeight w:val="361"/>
        </w:trPr>
        <w:tc>
          <w:tcPr>
            <w:tcW w:w="535" w:type="pct"/>
            <w:vAlign w:val="center"/>
            <w:hideMark/>
          </w:tcPr>
          <w:p w:rsidR="00330B8B" w:rsidRPr="00330B8B" w:rsidRDefault="00330B8B" w:rsidP="00330B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bCs/>
                <w:sz w:val="24"/>
                <w:szCs w:val="28"/>
              </w:rPr>
              <w:t>2013</w:t>
            </w:r>
          </w:p>
        </w:tc>
        <w:tc>
          <w:tcPr>
            <w:tcW w:w="939" w:type="pct"/>
            <w:vAlign w:val="center"/>
          </w:tcPr>
          <w:p w:rsidR="00330B8B" w:rsidRPr="00330B8B" w:rsidRDefault="00330B8B" w:rsidP="00330B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sz w:val="24"/>
                <w:szCs w:val="28"/>
              </w:rPr>
              <w:t>1 год</w:t>
            </w:r>
          </w:p>
        </w:tc>
        <w:tc>
          <w:tcPr>
            <w:tcW w:w="1821" w:type="pct"/>
            <w:vAlign w:val="center"/>
            <w:hideMark/>
          </w:tcPr>
          <w:p w:rsidR="00330B8B" w:rsidRPr="00330B8B" w:rsidRDefault="00330B8B" w:rsidP="00330B8B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sz w:val="24"/>
                <w:szCs w:val="28"/>
              </w:rPr>
              <w:t>1 643 695</w:t>
            </w:r>
          </w:p>
        </w:tc>
        <w:tc>
          <w:tcPr>
            <w:tcW w:w="1705" w:type="pct"/>
            <w:vAlign w:val="center"/>
            <w:hideMark/>
          </w:tcPr>
          <w:p w:rsidR="00330B8B" w:rsidRPr="00330B8B" w:rsidRDefault="00330B8B" w:rsidP="00330B8B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sz w:val="24"/>
                <w:szCs w:val="28"/>
              </w:rPr>
              <w:t>1 709 921</w:t>
            </w:r>
          </w:p>
        </w:tc>
      </w:tr>
      <w:tr w:rsidR="00330B8B" w:rsidRPr="00330B8B" w:rsidTr="00330B8B">
        <w:trPr>
          <w:trHeight w:val="361"/>
        </w:trPr>
        <w:tc>
          <w:tcPr>
            <w:tcW w:w="535" w:type="pct"/>
            <w:vAlign w:val="center"/>
            <w:hideMark/>
          </w:tcPr>
          <w:p w:rsidR="00330B8B" w:rsidRPr="00330B8B" w:rsidRDefault="00330B8B" w:rsidP="00330B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bCs/>
                <w:sz w:val="24"/>
                <w:szCs w:val="28"/>
              </w:rPr>
              <w:t>2012</w:t>
            </w:r>
          </w:p>
        </w:tc>
        <w:tc>
          <w:tcPr>
            <w:tcW w:w="939" w:type="pct"/>
            <w:vAlign w:val="center"/>
          </w:tcPr>
          <w:p w:rsidR="00330B8B" w:rsidRPr="00330B8B" w:rsidRDefault="00330B8B" w:rsidP="00330B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sz w:val="24"/>
                <w:szCs w:val="28"/>
              </w:rPr>
              <w:t>1 год</w:t>
            </w:r>
          </w:p>
        </w:tc>
        <w:tc>
          <w:tcPr>
            <w:tcW w:w="1821" w:type="pct"/>
            <w:vAlign w:val="center"/>
            <w:hideMark/>
          </w:tcPr>
          <w:p w:rsidR="00330B8B" w:rsidRPr="00330B8B" w:rsidRDefault="00330B8B" w:rsidP="00330B8B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sz w:val="24"/>
                <w:szCs w:val="28"/>
              </w:rPr>
              <w:t>994 314</w:t>
            </w:r>
          </w:p>
        </w:tc>
        <w:tc>
          <w:tcPr>
            <w:tcW w:w="1705" w:type="pct"/>
            <w:vAlign w:val="center"/>
            <w:hideMark/>
          </w:tcPr>
          <w:p w:rsidR="00330B8B" w:rsidRPr="00330B8B" w:rsidRDefault="00330B8B" w:rsidP="00330B8B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sz w:val="24"/>
                <w:szCs w:val="28"/>
              </w:rPr>
              <w:t>1 025 980</w:t>
            </w:r>
          </w:p>
        </w:tc>
      </w:tr>
      <w:tr w:rsidR="00330B8B" w:rsidRPr="00330B8B" w:rsidTr="00330B8B">
        <w:trPr>
          <w:trHeight w:val="361"/>
        </w:trPr>
        <w:tc>
          <w:tcPr>
            <w:tcW w:w="535" w:type="pct"/>
            <w:vAlign w:val="center"/>
            <w:hideMark/>
          </w:tcPr>
          <w:p w:rsidR="00330B8B" w:rsidRPr="00330B8B" w:rsidRDefault="00330B8B" w:rsidP="00330B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bCs/>
                <w:sz w:val="24"/>
                <w:szCs w:val="28"/>
              </w:rPr>
              <w:t>2011</w:t>
            </w:r>
          </w:p>
        </w:tc>
        <w:tc>
          <w:tcPr>
            <w:tcW w:w="939" w:type="pct"/>
            <w:vAlign w:val="center"/>
          </w:tcPr>
          <w:p w:rsidR="00330B8B" w:rsidRPr="00330B8B" w:rsidRDefault="00330B8B" w:rsidP="00330B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sz w:val="24"/>
                <w:szCs w:val="28"/>
              </w:rPr>
              <w:t>1 год</w:t>
            </w:r>
          </w:p>
        </w:tc>
        <w:tc>
          <w:tcPr>
            <w:tcW w:w="1821" w:type="pct"/>
            <w:vAlign w:val="center"/>
            <w:hideMark/>
          </w:tcPr>
          <w:p w:rsidR="00330B8B" w:rsidRPr="00330B8B" w:rsidRDefault="00330B8B" w:rsidP="00330B8B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sz w:val="24"/>
                <w:szCs w:val="28"/>
              </w:rPr>
              <w:t>875 720</w:t>
            </w:r>
          </w:p>
        </w:tc>
        <w:tc>
          <w:tcPr>
            <w:tcW w:w="1705" w:type="pct"/>
            <w:vAlign w:val="center"/>
            <w:hideMark/>
          </w:tcPr>
          <w:p w:rsidR="00330B8B" w:rsidRPr="00330B8B" w:rsidRDefault="00330B8B" w:rsidP="00330B8B">
            <w:pPr>
              <w:pStyle w:val="a4"/>
              <w:ind w:firstLine="70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0B8B">
              <w:rPr>
                <w:rFonts w:ascii="Times New Roman" w:hAnsi="Times New Roman" w:cs="Times New Roman"/>
                <w:sz w:val="24"/>
                <w:szCs w:val="28"/>
              </w:rPr>
              <w:t>829 420</w:t>
            </w:r>
          </w:p>
        </w:tc>
      </w:tr>
    </w:tbl>
    <w:p w:rsidR="00330B8B" w:rsidRPr="00330B8B" w:rsidRDefault="00330B8B" w:rsidP="00330B8B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F51E17" w:rsidRDefault="00330B8B" w:rsidP="001B09C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4C3596B" wp14:editId="25B79AD5">
            <wp:extent cx="5038725" cy="334327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330B8B" w:rsidRDefault="00330B8B" w:rsidP="001B09C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1E17" w:rsidRPr="009620C2" w:rsidRDefault="002A1C97" w:rsidP="002A1C97">
      <w:pPr>
        <w:pStyle w:val="a4"/>
        <w:spacing w:line="360" w:lineRule="auto"/>
        <w:ind w:left="720" w:firstLine="69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F51E17" w:rsidRPr="009620C2">
        <w:rPr>
          <w:rFonts w:ascii="Times New Roman" w:hAnsi="Times New Roman" w:cs="Times New Roman"/>
          <w:b/>
          <w:sz w:val="28"/>
          <w:szCs w:val="28"/>
        </w:rPr>
        <w:t xml:space="preserve">Выявить динамику соотношения прибыли от основной деятельности к прибыли от прочей деятельности. </w:t>
      </w:r>
    </w:p>
    <w:p w:rsidR="009620C2" w:rsidRPr="002A1C97" w:rsidRDefault="002A1C97" w:rsidP="001B09C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1C97">
        <w:rPr>
          <w:rFonts w:ascii="Times New Roman" w:hAnsi="Times New Roman" w:cs="Times New Roman"/>
          <w:i/>
          <w:sz w:val="28"/>
          <w:szCs w:val="28"/>
        </w:rPr>
        <w:t>Таб.4.</w:t>
      </w:r>
    </w:p>
    <w:tbl>
      <w:tblPr>
        <w:tblStyle w:val="a9"/>
        <w:tblW w:w="8647" w:type="dxa"/>
        <w:tblInd w:w="817" w:type="dxa"/>
        <w:tblLook w:val="04A0" w:firstRow="1" w:lastRow="0" w:firstColumn="1" w:lastColumn="0" w:noHBand="0" w:noVBand="1"/>
      </w:tblPr>
      <w:tblGrid>
        <w:gridCol w:w="1101"/>
        <w:gridCol w:w="2726"/>
        <w:gridCol w:w="2694"/>
        <w:gridCol w:w="2126"/>
      </w:tblGrid>
      <w:tr w:rsidR="009620C2" w:rsidRPr="00794F67" w:rsidTr="00467B40">
        <w:tc>
          <w:tcPr>
            <w:tcW w:w="1101" w:type="dxa"/>
            <w:vAlign w:val="center"/>
          </w:tcPr>
          <w:p w:rsidR="009620C2" w:rsidRPr="00794F67" w:rsidRDefault="009620C2" w:rsidP="00467B40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 w:rsidRPr="00794F67">
              <w:rPr>
                <w:color w:val="000000"/>
              </w:rPr>
              <w:t>Период</w:t>
            </w:r>
          </w:p>
        </w:tc>
        <w:tc>
          <w:tcPr>
            <w:tcW w:w="2726" w:type="dxa"/>
            <w:vAlign w:val="center"/>
          </w:tcPr>
          <w:p w:rsidR="009620C2" w:rsidRPr="00794F67" w:rsidRDefault="009620C2" w:rsidP="00467B40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 w:rsidRPr="00794F67">
              <w:rPr>
                <w:color w:val="000000"/>
              </w:rPr>
              <w:t>Прибыль от основной деятельности, тыс. руб.</w:t>
            </w:r>
          </w:p>
        </w:tc>
        <w:tc>
          <w:tcPr>
            <w:tcW w:w="2694" w:type="dxa"/>
            <w:vAlign w:val="center"/>
          </w:tcPr>
          <w:p w:rsidR="009620C2" w:rsidRPr="00794F67" w:rsidRDefault="009620C2" w:rsidP="00467B40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 w:rsidRPr="00794F67">
              <w:rPr>
                <w:color w:val="000000"/>
              </w:rPr>
              <w:t>Прибыль от прочей деятельности, тыс. руб.</w:t>
            </w:r>
          </w:p>
        </w:tc>
        <w:tc>
          <w:tcPr>
            <w:tcW w:w="2126" w:type="dxa"/>
            <w:vAlign w:val="center"/>
          </w:tcPr>
          <w:p w:rsidR="009620C2" w:rsidRPr="00794F67" w:rsidRDefault="009620C2" w:rsidP="00467B40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 w:rsidRPr="00794F67">
              <w:rPr>
                <w:color w:val="000000"/>
              </w:rPr>
              <w:t>Соотношение прибыли ОД к прибыли ПД,%</w:t>
            </w:r>
          </w:p>
        </w:tc>
      </w:tr>
      <w:tr w:rsidR="009620C2" w:rsidRPr="00794F67" w:rsidTr="00467B40">
        <w:tc>
          <w:tcPr>
            <w:tcW w:w="1101" w:type="dxa"/>
            <w:vAlign w:val="center"/>
          </w:tcPr>
          <w:p w:rsidR="009620C2" w:rsidRPr="00794F67" w:rsidRDefault="009620C2" w:rsidP="00467B40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 w:rsidRPr="00794F67">
              <w:rPr>
                <w:color w:val="000000"/>
              </w:rPr>
              <w:t>2011</w:t>
            </w:r>
          </w:p>
        </w:tc>
        <w:tc>
          <w:tcPr>
            <w:tcW w:w="2726" w:type="dxa"/>
            <w:vAlign w:val="center"/>
          </w:tcPr>
          <w:p w:rsidR="009620C2" w:rsidRPr="00794F67" w:rsidRDefault="009620C2" w:rsidP="00467B40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 w:rsidRPr="00794F67">
              <w:rPr>
                <w:color w:val="000000"/>
              </w:rPr>
              <w:t>45 371 265</w:t>
            </w:r>
          </w:p>
        </w:tc>
        <w:tc>
          <w:tcPr>
            <w:tcW w:w="2694" w:type="dxa"/>
            <w:vAlign w:val="center"/>
          </w:tcPr>
          <w:p w:rsidR="009620C2" w:rsidRPr="00794F67" w:rsidRDefault="009620C2" w:rsidP="00467B40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 w:rsidRPr="00794F67">
              <w:rPr>
                <w:color w:val="000000"/>
              </w:rPr>
              <w:t>8 339 171</w:t>
            </w:r>
          </w:p>
        </w:tc>
        <w:tc>
          <w:tcPr>
            <w:tcW w:w="2126" w:type="dxa"/>
            <w:vAlign w:val="center"/>
          </w:tcPr>
          <w:p w:rsidR="009620C2" w:rsidRPr="00794F67" w:rsidRDefault="009620C2" w:rsidP="00467B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5,44</w:t>
            </w:r>
          </w:p>
        </w:tc>
      </w:tr>
      <w:tr w:rsidR="009620C2" w:rsidRPr="00794F67" w:rsidTr="00467B40">
        <w:tc>
          <w:tcPr>
            <w:tcW w:w="1101" w:type="dxa"/>
            <w:vAlign w:val="center"/>
          </w:tcPr>
          <w:p w:rsidR="009620C2" w:rsidRPr="00794F67" w:rsidRDefault="009620C2" w:rsidP="00467B40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 w:rsidRPr="00794F67">
              <w:rPr>
                <w:color w:val="000000"/>
              </w:rPr>
              <w:t>2012</w:t>
            </w:r>
          </w:p>
        </w:tc>
        <w:tc>
          <w:tcPr>
            <w:tcW w:w="2726" w:type="dxa"/>
            <w:vAlign w:val="center"/>
          </w:tcPr>
          <w:p w:rsidR="009620C2" w:rsidRPr="00794F67" w:rsidRDefault="009620C2" w:rsidP="00467B40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 w:rsidRPr="00794F67">
              <w:rPr>
                <w:color w:val="000000"/>
              </w:rPr>
              <w:t>58 818 523</w:t>
            </w:r>
          </w:p>
        </w:tc>
        <w:tc>
          <w:tcPr>
            <w:tcW w:w="2694" w:type="dxa"/>
            <w:vAlign w:val="center"/>
          </w:tcPr>
          <w:p w:rsidR="009620C2" w:rsidRPr="00794F67" w:rsidRDefault="009620C2" w:rsidP="00467B40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 w:rsidRPr="00794F67">
              <w:rPr>
                <w:color w:val="000000"/>
              </w:rPr>
              <w:t>7 218 696</w:t>
            </w:r>
          </w:p>
        </w:tc>
        <w:tc>
          <w:tcPr>
            <w:tcW w:w="2126" w:type="dxa"/>
            <w:vAlign w:val="center"/>
          </w:tcPr>
          <w:p w:rsidR="009620C2" w:rsidRPr="00794F67" w:rsidRDefault="009620C2" w:rsidP="00467B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8,15</w:t>
            </w:r>
          </w:p>
        </w:tc>
      </w:tr>
      <w:tr w:rsidR="009620C2" w:rsidRPr="00794F67" w:rsidTr="00467B40">
        <w:tc>
          <w:tcPr>
            <w:tcW w:w="1101" w:type="dxa"/>
            <w:vAlign w:val="center"/>
          </w:tcPr>
          <w:p w:rsidR="009620C2" w:rsidRPr="00794F67" w:rsidRDefault="009620C2" w:rsidP="00467B40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 w:rsidRPr="00794F67">
              <w:rPr>
                <w:color w:val="000000"/>
              </w:rPr>
              <w:lastRenderedPageBreak/>
              <w:t>2013</w:t>
            </w:r>
          </w:p>
        </w:tc>
        <w:tc>
          <w:tcPr>
            <w:tcW w:w="2726" w:type="dxa"/>
            <w:vAlign w:val="center"/>
          </w:tcPr>
          <w:p w:rsidR="009620C2" w:rsidRPr="00794F67" w:rsidRDefault="009620C2" w:rsidP="00467B40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 w:rsidRPr="00794F67">
              <w:rPr>
                <w:color w:val="000000"/>
              </w:rPr>
              <w:t>69 353 424</w:t>
            </w:r>
          </w:p>
        </w:tc>
        <w:tc>
          <w:tcPr>
            <w:tcW w:w="2694" w:type="dxa"/>
            <w:vAlign w:val="center"/>
          </w:tcPr>
          <w:p w:rsidR="009620C2" w:rsidRPr="00794F67" w:rsidRDefault="009620C2" w:rsidP="00467B40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 w:rsidRPr="00794F67">
              <w:rPr>
                <w:color w:val="000000"/>
              </w:rPr>
              <w:t>6 336 056</w:t>
            </w:r>
          </w:p>
        </w:tc>
        <w:tc>
          <w:tcPr>
            <w:tcW w:w="2126" w:type="dxa"/>
            <w:vAlign w:val="center"/>
          </w:tcPr>
          <w:p w:rsidR="009620C2" w:rsidRPr="00794F67" w:rsidRDefault="009620C2" w:rsidP="00467B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10,95</w:t>
            </w:r>
          </w:p>
        </w:tc>
      </w:tr>
      <w:tr w:rsidR="009620C2" w:rsidRPr="00794F67" w:rsidTr="00467B40">
        <w:tc>
          <w:tcPr>
            <w:tcW w:w="1101" w:type="dxa"/>
            <w:vAlign w:val="center"/>
          </w:tcPr>
          <w:p w:rsidR="009620C2" w:rsidRPr="00794F67" w:rsidRDefault="009620C2" w:rsidP="00467B40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 w:rsidRPr="00794F67">
              <w:rPr>
                <w:color w:val="000000"/>
              </w:rPr>
              <w:t>2014</w:t>
            </w:r>
          </w:p>
        </w:tc>
        <w:tc>
          <w:tcPr>
            <w:tcW w:w="2726" w:type="dxa"/>
            <w:vAlign w:val="center"/>
          </w:tcPr>
          <w:p w:rsidR="009620C2" w:rsidRPr="00794F67" w:rsidRDefault="009620C2" w:rsidP="00467B40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 w:rsidRPr="00794F67">
              <w:rPr>
                <w:color w:val="000000"/>
              </w:rPr>
              <w:t>80 289 664</w:t>
            </w:r>
          </w:p>
        </w:tc>
        <w:tc>
          <w:tcPr>
            <w:tcW w:w="2694" w:type="dxa"/>
            <w:vAlign w:val="center"/>
          </w:tcPr>
          <w:p w:rsidR="009620C2" w:rsidRPr="00794F67" w:rsidRDefault="009620C2" w:rsidP="00467B40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 w:rsidRPr="00794F67">
              <w:rPr>
                <w:color w:val="000000"/>
              </w:rPr>
              <w:t>20 604 970</w:t>
            </w:r>
          </w:p>
        </w:tc>
        <w:tc>
          <w:tcPr>
            <w:tcW w:w="2126" w:type="dxa"/>
            <w:vAlign w:val="center"/>
          </w:tcPr>
          <w:p w:rsidR="009620C2" w:rsidRPr="00794F67" w:rsidRDefault="009620C2" w:rsidP="00467B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3,90</w:t>
            </w:r>
          </w:p>
        </w:tc>
      </w:tr>
      <w:tr w:rsidR="009620C2" w:rsidRPr="00794F67" w:rsidTr="00467B40">
        <w:tc>
          <w:tcPr>
            <w:tcW w:w="1101" w:type="dxa"/>
            <w:vAlign w:val="center"/>
          </w:tcPr>
          <w:p w:rsidR="009620C2" w:rsidRPr="00794F67" w:rsidRDefault="009620C2" w:rsidP="00467B40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 w:rsidRPr="00794F67">
              <w:rPr>
                <w:color w:val="000000"/>
              </w:rPr>
              <w:t>2015</w:t>
            </w:r>
          </w:p>
        </w:tc>
        <w:tc>
          <w:tcPr>
            <w:tcW w:w="2726" w:type="dxa"/>
            <w:vAlign w:val="center"/>
          </w:tcPr>
          <w:p w:rsidR="009620C2" w:rsidRPr="00794F67" w:rsidRDefault="009620C2" w:rsidP="00467B40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 w:rsidRPr="00794F67">
              <w:rPr>
                <w:color w:val="000000"/>
              </w:rPr>
              <w:t>99 480 911</w:t>
            </w:r>
          </w:p>
        </w:tc>
        <w:tc>
          <w:tcPr>
            <w:tcW w:w="2694" w:type="dxa"/>
            <w:vAlign w:val="center"/>
          </w:tcPr>
          <w:p w:rsidR="009620C2" w:rsidRPr="00794F67" w:rsidRDefault="009620C2" w:rsidP="00467B40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 w:rsidRPr="00794F67">
              <w:rPr>
                <w:color w:val="000000"/>
              </w:rPr>
              <w:t>31 631 262</w:t>
            </w:r>
          </w:p>
        </w:tc>
        <w:tc>
          <w:tcPr>
            <w:tcW w:w="2126" w:type="dxa"/>
            <w:vAlign w:val="center"/>
          </w:tcPr>
          <w:p w:rsidR="009620C2" w:rsidRPr="00794F67" w:rsidRDefault="009620C2" w:rsidP="00467B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3,15</w:t>
            </w:r>
          </w:p>
        </w:tc>
      </w:tr>
    </w:tbl>
    <w:p w:rsidR="009620C2" w:rsidRDefault="009620C2" w:rsidP="009620C2">
      <w:pPr>
        <w:pStyle w:val="aa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9620C2" w:rsidRPr="00105CD6" w:rsidRDefault="009620C2" w:rsidP="009620C2">
      <w:pPr>
        <w:pStyle w:val="aa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05CD6">
        <w:rPr>
          <w:color w:val="000000"/>
          <w:sz w:val="28"/>
          <w:szCs w:val="28"/>
        </w:rPr>
        <w:t>Из</w:t>
      </w:r>
      <w:r>
        <w:rPr>
          <w:color w:val="000000"/>
          <w:sz w:val="28"/>
          <w:szCs w:val="28"/>
        </w:rPr>
        <w:t xml:space="preserve"> </w:t>
      </w:r>
      <w:r w:rsidRPr="00105CD6">
        <w:rPr>
          <w:color w:val="000000"/>
          <w:sz w:val="28"/>
          <w:szCs w:val="28"/>
        </w:rPr>
        <w:t>данных таблицы видим, что в период с 2011</w:t>
      </w:r>
      <w:r>
        <w:rPr>
          <w:color w:val="000000"/>
          <w:sz w:val="28"/>
          <w:szCs w:val="28"/>
        </w:rPr>
        <w:t xml:space="preserve"> </w:t>
      </w:r>
      <w:r w:rsidRPr="00105CD6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105CD6">
        <w:rPr>
          <w:color w:val="000000"/>
          <w:sz w:val="28"/>
          <w:szCs w:val="28"/>
        </w:rPr>
        <w:t xml:space="preserve">2013 год соотношение прибыли от основной деятельности к прибыли от прочей </w:t>
      </w:r>
      <w:proofErr w:type="gramStart"/>
      <w:r w:rsidRPr="00105CD6">
        <w:rPr>
          <w:color w:val="000000"/>
          <w:sz w:val="28"/>
          <w:szCs w:val="28"/>
        </w:rPr>
        <w:t>деятельности</w:t>
      </w:r>
      <w:proofErr w:type="gramEnd"/>
      <w:r w:rsidRPr="00105CD6">
        <w:rPr>
          <w:color w:val="000000"/>
          <w:sz w:val="28"/>
          <w:szCs w:val="28"/>
        </w:rPr>
        <w:t xml:space="preserve"> растет за счет роста первой и уменьшения второй. Затем в 2014-2015 </w:t>
      </w:r>
      <w:proofErr w:type="spellStart"/>
      <w:r w:rsidRPr="00105CD6">
        <w:rPr>
          <w:color w:val="000000"/>
          <w:sz w:val="28"/>
          <w:szCs w:val="28"/>
        </w:rPr>
        <w:t>г.г</w:t>
      </w:r>
      <w:proofErr w:type="spellEnd"/>
      <w:r w:rsidRPr="00105CD6">
        <w:rPr>
          <w:color w:val="000000"/>
          <w:sz w:val="28"/>
          <w:szCs w:val="28"/>
        </w:rPr>
        <w:t xml:space="preserve">. соотношение резко упало, несмотря на то, что оба вида прибыли </w:t>
      </w:r>
      <w:proofErr w:type="gramStart"/>
      <w:r w:rsidRPr="00105CD6">
        <w:rPr>
          <w:color w:val="000000"/>
          <w:sz w:val="28"/>
          <w:szCs w:val="28"/>
        </w:rPr>
        <w:t>стали</w:t>
      </w:r>
      <w:proofErr w:type="gramEnd"/>
      <w:r w:rsidRPr="00105CD6">
        <w:rPr>
          <w:color w:val="000000"/>
          <w:sz w:val="28"/>
          <w:szCs w:val="28"/>
        </w:rPr>
        <w:t xml:space="preserve"> расти.</w:t>
      </w:r>
    </w:p>
    <w:p w:rsidR="009620C2" w:rsidRDefault="009620C2" w:rsidP="001B09CF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620C2" w:rsidRPr="00105CD6" w:rsidRDefault="009620C2" w:rsidP="009620C2">
      <w:pPr>
        <w:pStyle w:val="aa"/>
        <w:spacing w:before="0" w:beforeAutospacing="0" w:after="0" w:afterAutospacing="0" w:line="360" w:lineRule="auto"/>
        <w:ind w:left="709"/>
        <w:jc w:val="center"/>
        <w:rPr>
          <w:color w:val="000000"/>
          <w:sz w:val="28"/>
          <w:szCs w:val="28"/>
        </w:rPr>
      </w:pPr>
    </w:p>
    <w:p w:rsidR="009620C2" w:rsidRPr="002E2647" w:rsidRDefault="002A1C97" w:rsidP="002A1C97">
      <w:pPr>
        <w:pStyle w:val="aa"/>
        <w:tabs>
          <w:tab w:val="left" w:pos="993"/>
        </w:tabs>
        <w:spacing w:before="0" w:beforeAutospacing="0" w:after="0" w:afterAutospacing="0" w:line="360" w:lineRule="auto"/>
        <w:ind w:left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6.</w:t>
      </w:r>
      <w:r w:rsidR="009620C2" w:rsidRPr="002E2647">
        <w:rPr>
          <w:b/>
          <w:color w:val="000000"/>
          <w:sz w:val="28"/>
          <w:szCs w:val="28"/>
        </w:rPr>
        <w:t xml:space="preserve">Рентабельность страховых операций АО «СОГАЗ» </w:t>
      </w:r>
      <w:r w:rsidR="009620C2">
        <w:rPr>
          <w:b/>
          <w:color w:val="000000"/>
          <w:sz w:val="28"/>
          <w:szCs w:val="28"/>
        </w:rPr>
        <w:t>по годам</w:t>
      </w:r>
    </w:p>
    <w:p w:rsidR="009620C2" w:rsidRPr="00105CD6" w:rsidRDefault="009620C2" w:rsidP="009620C2">
      <w:pPr>
        <w:pStyle w:val="aa"/>
        <w:tabs>
          <w:tab w:val="left" w:pos="993"/>
        </w:tabs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620C2" w:rsidRPr="00105CD6" w:rsidRDefault="009620C2" w:rsidP="009620C2">
      <w:pPr>
        <w:pStyle w:val="aa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05CD6">
        <w:rPr>
          <w:color w:val="000000"/>
          <w:sz w:val="28"/>
          <w:szCs w:val="28"/>
        </w:rPr>
        <w:t xml:space="preserve">Рентабельность страховой деятельности </w:t>
      </w:r>
      <w:r w:rsidR="002A1C97">
        <w:rPr>
          <w:color w:val="000000"/>
          <w:sz w:val="28"/>
          <w:szCs w:val="28"/>
        </w:rPr>
        <w:t>рассчитывается как</w:t>
      </w:r>
      <w:r w:rsidRPr="00105CD6">
        <w:rPr>
          <w:color w:val="000000"/>
          <w:sz w:val="28"/>
          <w:szCs w:val="28"/>
        </w:rPr>
        <w:t xml:space="preserve"> отношение прибыли, которая получена от страховой деятельности, к сумме расходов и отчислений страховой организации.</w:t>
      </w:r>
    </w:p>
    <w:p w:rsidR="009620C2" w:rsidRPr="00105CD6" w:rsidRDefault="009620C2" w:rsidP="009620C2">
      <w:pPr>
        <w:pStyle w:val="aa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105CD6">
        <w:rPr>
          <w:color w:val="000000"/>
          <w:sz w:val="28"/>
          <w:szCs w:val="28"/>
        </w:rPr>
        <w:t>Рассчитаем рентабельность страховой деятельности АО «СОГАЗ» за 5 лет.</w:t>
      </w:r>
    </w:p>
    <w:p w:rsidR="009620C2" w:rsidRPr="00105CD6" w:rsidRDefault="009620C2" w:rsidP="009620C2">
      <w:pPr>
        <w:pStyle w:val="aa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105CD6">
        <w:rPr>
          <w:color w:val="000000"/>
          <w:sz w:val="28"/>
          <w:szCs w:val="28"/>
        </w:rPr>
        <w:t>Рентабельность рассчитывается по следующей формуле:</w:t>
      </w:r>
    </w:p>
    <w:p w:rsidR="009620C2" w:rsidRPr="00105CD6" w:rsidRDefault="009620C2" w:rsidP="009620C2">
      <w:pPr>
        <w:pStyle w:val="aa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Кр.с.д</w:t>
      </w:r>
      <w:proofErr w:type="spellEnd"/>
      <w:r>
        <w:rPr>
          <w:color w:val="000000"/>
          <w:sz w:val="28"/>
          <w:szCs w:val="28"/>
        </w:rPr>
        <w:t xml:space="preserve">.= </w:t>
      </w:r>
      <w:proofErr w:type="spellStart"/>
      <w:proofErr w:type="gramStart"/>
      <w:r w:rsidR="002A1C97">
        <w:rPr>
          <w:color w:val="000000"/>
          <w:sz w:val="28"/>
          <w:szCs w:val="28"/>
        </w:rPr>
        <w:t>Пб:РВД</w:t>
      </w:r>
      <w:proofErr w:type="spellEnd"/>
      <w:proofErr w:type="gramEnd"/>
      <w:r w:rsidRPr="00105CD6">
        <w:rPr>
          <w:color w:val="000000"/>
          <w:sz w:val="28"/>
          <w:szCs w:val="28"/>
        </w:rPr>
        <w:t>(1)</w:t>
      </w:r>
    </w:p>
    <w:p w:rsidR="009620C2" w:rsidRPr="00105CD6" w:rsidRDefault="009620C2" w:rsidP="009620C2">
      <w:pPr>
        <w:pStyle w:val="aa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05CD6">
        <w:rPr>
          <w:color w:val="000000"/>
          <w:sz w:val="28"/>
          <w:szCs w:val="28"/>
        </w:rPr>
        <w:t>где Пб – прибыль, руб.</w:t>
      </w:r>
    </w:p>
    <w:p w:rsidR="009620C2" w:rsidRDefault="009620C2" w:rsidP="009620C2">
      <w:pPr>
        <w:pStyle w:val="aa"/>
        <w:spacing w:before="0" w:beforeAutospacing="0" w:after="0" w:afterAutospacing="0" w:line="360" w:lineRule="auto"/>
        <w:ind w:firstLine="426"/>
        <w:rPr>
          <w:color w:val="000000"/>
          <w:sz w:val="28"/>
          <w:szCs w:val="28"/>
        </w:rPr>
      </w:pPr>
      <w:r w:rsidRPr="00105CD6">
        <w:rPr>
          <w:color w:val="000000"/>
          <w:sz w:val="28"/>
          <w:szCs w:val="28"/>
        </w:rPr>
        <w:t xml:space="preserve">РВД – расходы на ведение дела, руб. </w:t>
      </w:r>
    </w:p>
    <w:p w:rsidR="002A1C97" w:rsidRPr="002A1C97" w:rsidRDefault="002A1C97" w:rsidP="009620C2">
      <w:pPr>
        <w:pStyle w:val="aa"/>
        <w:spacing w:before="0" w:beforeAutospacing="0" w:after="0" w:afterAutospacing="0" w:line="360" w:lineRule="auto"/>
        <w:ind w:firstLine="426"/>
        <w:rPr>
          <w:i/>
          <w:color w:val="000000"/>
          <w:sz w:val="28"/>
          <w:szCs w:val="28"/>
        </w:rPr>
      </w:pPr>
      <w:r w:rsidRPr="002A1C97">
        <w:rPr>
          <w:i/>
          <w:color w:val="000000"/>
          <w:sz w:val="28"/>
          <w:szCs w:val="28"/>
        </w:rPr>
        <w:t>Таб. 5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89"/>
        <w:gridCol w:w="3060"/>
        <w:gridCol w:w="2913"/>
        <w:gridCol w:w="2483"/>
      </w:tblGrid>
      <w:tr w:rsidR="00F048D9" w:rsidTr="00F048D9">
        <w:trPr>
          <w:trHeight w:val="413"/>
        </w:trPr>
        <w:tc>
          <w:tcPr>
            <w:tcW w:w="897" w:type="dxa"/>
          </w:tcPr>
          <w:p w:rsidR="00F048D9" w:rsidRPr="002A1C97" w:rsidRDefault="00F048D9" w:rsidP="009620C2">
            <w:pPr>
              <w:pStyle w:val="aa"/>
              <w:spacing w:before="0" w:beforeAutospacing="0"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A1C97">
              <w:rPr>
                <w:color w:val="000000"/>
                <w:sz w:val="26"/>
                <w:szCs w:val="26"/>
              </w:rPr>
              <w:t>Год</w:t>
            </w:r>
          </w:p>
        </w:tc>
        <w:tc>
          <w:tcPr>
            <w:tcW w:w="3158" w:type="dxa"/>
          </w:tcPr>
          <w:p w:rsidR="00F048D9" w:rsidRPr="002A1C97" w:rsidRDefault="00F048D9" w:rsidP="002A1C97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A1C97">
              <w:rPr>
                <w:color w:val="000000"/>
                <w:sz w:val="26"/>
                <w:szCs w:val="26"/>
              </w:rPr>
              <w:t>Прибыль</w:t>
            </w:r>
          </w:p>
        </w:tc>
        <w:tc>
          <w:tcPr>
            <w:tcW w:w="3002" w:type="dxa"/>
          </w:tcPr>
          <w:p w:rsidR="00F048D9" w:rsidRPr="002A1C97" w:rsidRDefault="00F048D9" w:rsidP="002A1C97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РВД</w:t>
            </w:r>
          </w:p>
        </w:tc>
        <w:tc>
          <w:tcPr>
            <w:tcW w:w="2514" w:type="dxa"/>
          </w:tcPr>
          <w:p w:rsidR="00F048D9" w:rsidRDefault="00F048D9" w:rsidP="002A1C97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Рентабельность</w:t>
            </w:r>
          </w:p>
        </w:tc>
      </w:tr>
      <w:tr w:rsidR="00F048D9" w:rsidTr="00F048D9">
        <w:trPr>
          <w:trHeight w:val="399"/>
        </w:trPr>
        <w:tc>
          <w:tcPr>
            <w:tcW w:w="897" w:type="dxa"/>
          </w:tcPr>
          <w:p w:rsidR="00F048D9" w:rsidRPr="002A1C97" w:rsidRDefault="00F048D9" w:rsidP="009620C2">
            <w:pPr>
              <w:pStyle w:val="aa"/>
              <w:spacing w:before="0" w:beforeAutospacing="0"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A1C97">
              <w:rPr>
                <w:color w:val="000000"/>
                <w:sz w:val="26"/>
                <w:szCs w:val="26"/>
              </w:rPr>
              <w:t>2011</w:t>
            </w:r>
          </w:p>
        </w:tc>
        <w:tc>
          <w:tcPr>
            <w:tcW w:w="3158" w:type="dxa"/>
          </w:tcPr>
          <w:p w:rsidR="00F048D9" w:rsidRPr="002A1C97" w:rsidRDefault="00F048D9" w:rsidP="002A1C97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A1C97">
              <w:rPr>
                <w:color w:val="000000"/>
                <w:sz w:val="26"/>
                <w:szCs w:val="26"/>
              </w:rPr>
              <w:t>7 456 928</w:t>
            </w:r>
          </w:p>
        </w:tc>
        <w:tc>
          <w:tcPr>
            <w:tcW w:w="3002" w:type="dxa"/>
          </w:tcPr>
          <w:p w:rsidR="00F048D9" w:rsidRPr="002A1C97" w:rsidRDefault="00F048D9" w:rsidP="002A1C97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7 174 391</w:t>
            </w:r>
          </w:p>
        </w:tc>
        <w:tc>
          <w:tcPr>
            <w:tcW w:w="2514" w:type="dxa"/>
          </w:tcPr>
          <w:p w:rsidR="00F048D9" w:rsidRDefault="00F048D9" w:rsidP="002A1C97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1,04</w:t>
            </w:r>
          </w:p>
        </w:tc>
      </w:tr>
      <w:tr w:rsidR="00F048D9" w:rsidTr="00F048D9">
        <w:trPr>
          <w:trHeight w:val="413"/>
        </w:trPr>
        <w:tc>
          <w:tcPr>
            <w:tcW w:w="897" w:type="dxa"/>
          </w:tcPr>
          <w:p w:rsidR="00F048D9" w:rsidRPr="002A1C97" w:rsidRDefault="00F048D9" w:rsidP="009620C2">
            <w:pPr>
              <w:pStyle w:val="aa"/>
              <w:spacing w:before="0" w:beforeAutospacing="0"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A1C97">
              <w:rPr>
                <w:color w:val="000000"/>
                <w:sz w:val="26"/>
                <w:szCs w:val="26"/>
              </w:rPr>
              <w:t>2012</w:t>
            </w:r>
          </w:p>
        </w:tc>
        <w:tc>
          <w:tcPr>
            <w:tcW w:w="3158" w:type="dxa"/>
          </w:tcPr>
          <w:p w:rsidR="00F048D9" w:rsidRPr="002A1C97" w:rsidRDefault="00F048D9" w:rsidP="002A1C97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A1C97">
              <w:rPr>
                <w:color w:val="000000"/>
                <w:sz w:val="26"/>
                <w:szCs w:val="26"/>
              </w:rPr>
              <w:t>10 915 758</w:t>
            </w:r>
          </w:p>
        </w:tc>
        <w:tc>
          <w:tcPr>
            <w:tcW w:w="3002" w:type="dxa"/>
          </w:tcPr>
          <w:p w:rsidR="00F048D9" w:rsidRPr="002A1C97" w:rsidRDefault="00F048D9" w:rsidP="002A1C97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A1C97">
              <w:rPr>
                <w:color w:val="000000"/>
                <w:sz w:val="26"/>
                <w:szCs w:val="26"/>
              </w:rPr>
              <w:t xml:space="preserve">9 </w:t>
            </w:r>
            <w:r>
              <w:rPr>
                <w:color w:val="000000"/>
                <w:sz w:val="26"/>
                <w:szCs w:val="26"/>
              </w:rPr>
              <w:t>252 708</w:t>
            </w:r>
          </w:p>
        </w:tc>
        <w:tc>
          <w:tcPr>
            <w:tcW w:w="2514" w:type="dxa"/>
          </w:tcPr>
          <w:p w:rsidR="00F048D9" w:rsidRPr="002A1C97" w:rsidRDefault="00F048D9" w:rsidP="002A1C97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1,18</w:t>
            </w:r>
          </w:p>
        </w:tc>
      </w:tr>
      <w:tr w:rsidR="00F048D9" w:rsidTr="00F048D9">
        <w:trPr>
          <w:trHeight w:val="399"/>
        </w:trPr>
        <w:tc>
          <w:tcPr>
            <w:tcW w:w="897" w:type="dxa"/>
          </w:tcPr>
          <w:p w:rsidR="00F048D9" w:rsidRPr="002A1C97" w:rsidRDefault="00F048D9" w:rsidP="009620C2">
            <w:pPr>
              <w:pStyle w:val="aa"/>
              <w:spacing w:before="0" w:beforeAutospacing="0"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A1C97">
              <w:rPr>
                <w:color w:val="000000"/>
                <w:sz w:val="26"/>
                <w:szCs w:val="26"/>
              </w:rPr>
              <w:t>2013</w:t>
            </w:r>
          </w:p>
        </w:tc>
        <w:tc>
          <w:tcPr>
            <w:tcW w:w="3158" w:type="dxa"/>
          </w:tcPr>
          <w:p w:rsidR="00F048D9" w:rsidRPr="002A1C97" w:rsidRDefault="00F048D9" w:rsidP="002A1C97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A1C97">
              <w:rPr>
                <w:color w:val="000000"/>
                <w:sz w:val="26"/>
                <w:szCs w:val="26"/>
              </w:rPr>
              <w:t>15 426 371</w:t>
            </w:r>
          </w:p>
        </w:tc>
        <w:tc>
          <w:tcPr>
            <w:tcW w:w="3002" w:type="dxa"/>
          </w:tcPr>
          <w:p w:rsidR="00F048D9" w:rsidRPr="002A1C97" w:rsidRDefault="00F048D9" w:rsidP="002A1C97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A1C97">
              <w:rPr>
                <w:color w:val="000000"/>
                <w:sz w:val="26"/>
                <w:szCs w:val="26"/>
              </w:rPr>
              <w:t>9 171 045</w:t>
            </w:r>
          </w:p>
        </w:tc>
        <w:tc>
          <w:tcPr>
            <w:tcW w:w="2514" w:type="dxa"/>
          </w:tcPr>
          <w:p w:rsidR="00F048D9" w:rsidRPr="002A1C97" w:rsidRDefault="00F048D9" w:rsidP="002A1C97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1,68</w:t>
            </w:r>
          </w:p>
        </w:tc>
      </w:tr>
      <w:tr w:rsidR="00F048D9" w:rsidTr="00F048D9">
        <w:trPr>
          <w:trHeight w:val="413"/>
        </w:trPr>
        <w:tc>
          <w:tcPr>
            <w:tcW w:w="897" w:type="dxa"/>
          </w:tcPr>
          <w:p w:rsidR="00F048D9" w:rsidRPr="002A1C97" w:rsidRDefault="00F048D9" w:rsidP="009620C2">
            <w:pPr>
              <w:pStyle w:val="aa"/>
              <w:spacing w:before="0" w:beforeAutospacing="0" w:after="0" w:afterAutospacing="0" w:line="360" w:lineRule="auto"/>
              <w:rPr>
                <w:color w:val="000000"/>
                <w:sz w:val="26"/>
                <w:szCs w:val="26"/>
              </w:rPr>
            </w:pPr>
            <w:r w:rsidRPr="002A1C97">
              <w:rPr>
                <w:color w:val="000000"/>
                <w:sz w:val="26"/>
                <w:szCs w:val="26"/>
              </w:rPr>
              <w:t>2014</w:t>
            </w:r>
          </w:p>
        </w:tc>
        <w:tc>
          <w:tcPr>
            <w:tcW w:w="3158" w:type="dxa"/>
          </w:tcPr>
          <w:p w:rsidR="00F048D9" w:rsidRPr="002A1C97" w:rsidRDefault="00F048D9" w:rsidP="002A1C97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A1C97">
              <w:rPr>
                <w:color w:val="000000"/>
                <w:sz w:val="26"/>
                <w:szCs w:val="26"/>
              </w:rPr>
              <w:t>17 084 179</w:t>
            </w:r>
          </w:p>
        </w:tc>
        <w:tc>
          <w:tcPr>
            <w:tcW w:w="3002" w:type="dxa"/>
          </w:tcPr>
          <w:p w:rsidR="00F048D9" w:rsidRPr="002A1C97" w:rsidRDefault="00F048D9" w:rsidP="002A1C97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A1C97">
              <w:rPr>
                <w:color w:val="000000"/>
                <w:sz w:val="26"/>
                <w:szCs w:val="26"/>
              </w:rPr>
              <w:t>8 711 082</w:t>
            </w:r>
          </w:p>
        </w:tc>
        <w:tc>
          <w:tcPr>
            <w:tcW w:w="2514" w:type="dxa"/>
          </w:tcPr>
          <w:p w:rsidR="00F048D9" w:rsidRPr="002A1C97" w:rsidRDefault="00F048D9" w:rsidP="002A1C97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1,96</w:t>
            </w:r>
          </w:p>
        </w:tc>
      </w:tr>
      <w:tr w:rsidR="00F048D9" w:rsidTr="00F048D9">
        <w:trPr>
          <w:trHeight w:val="399"/>
        </w:trPr>
        <w:tc>
          <w:tcPr>
            <w:tcW w:w="897" w:type="dxa"/>
          </w:tcPr>
          <w:p w:rsidR="00F048D9" w:rsidRPr="002A1C97" w:rsidRDefault="00F048D9" w:rsidP="009620C2">
            <w:pPr>
              <w:pStyle w:val="aa"/>
              <w:spacing w:before="0" w:beforeAutospacing="0" w:after="0" w:afterAutospacing="0" w:line="36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2015</w:t>
            </w:r>
          </w:p>
        </w:tc>
        <w:tc>
          <w:tcPr>
            <w:tcW w:w="3158" w:type="dxa"/>
          </w:tcPr>
          <w:p w:rsidR="00F048D9" w:rsidRPr="002A1C97" w:rsidRDefault="00F048D9" w:rsidP="002A1C97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A1C97">
              <w:rPr>
                <w:color w:val="000000"/>
                <w:sz w:val="26"/>
                <w:szCs w:val="26"/>
              </w:rPr>
              <w:t>24 717 813</w:t>
            </w:r>
          </w:p>
        </w:tc>
        <w:tc>
          <w:tcPr>
            <w:tcW w:w="3002" w:type="dxa"/>
          </w:tcPr>
          <w:p w:rsidR="00F048D9" w:rsidRPr="002A1C97" w:rsidRDefault="00F048D9" w:rsidP="002A1C97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A1C97">
              <w:rPr>
                <w:color w:val="000000"/>
                <w:sz w:val="26"/>
                <w:szCs w:val="26"/>
              </w:rPr>
              <w:t>10 245 313</w:t>
            </w:r>
          </w:p>
        </w:tc>
        <w:tc>
          <w:tcPr>
            <w:tcW w:w="2514" w:type="dxa"/>
          </w:tcPr>
          <w:p w:rsidR="00F048D9" w:rsidRPr="002A1C97" w:rsidRDefault="00F048D9" w:rsidP="002A1C97">
            <w:pPr>
              <w:pStyle w:val="aa"/>
              <w:spacing w:before="0" w:beforeAutospacing="0" w:after="0" w:afterAutospacing="0" w:line="36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2,41</w:t>
            </w:r>
          </w:p>
        </w:tc>
      </w:tr>
    </w:tbl>
    <w:p w:rsidR="009620C2" w:rsidRPr="00105CD6" w:rsidRDefault="009620C2" w:rsidP="00F048D9">
      <w:pPr>
        <w:pStyle w:val="aa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9620C2" w:rsidRDefault="00F048D9" w:rsidP="009620C2">
      <w:pPr>
        <w:pStyle w:val="aa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Согласно</w:t>
      </w:r>
      <w:r w:rsidR="009620C2" w:rsidRPr="00105CD6">
        <w:rPr>
          <w:color w:val="000000"/>
          <w:sz w:val="28"/>
          <w:szCs w:val="28"/>
        </w:rPr>
        <w:t xml:space="preserve"> проведенного анализа рентабельности можно сделать вывод о том, что в страховой компании рентабельность </w:t>
      </w:r>
      <w:r w:rsidR="002A1C97">
        <w:rPr>
          <w:color w:val="000000"/>
          <w:sz w:val="28"/>
          <w:szCs w:val="28"/>
        </w:rPr>
        <w:t>с каждым годом идет на увеличение</w:t>
      </w:r>
      <w:r w:rsidR="009620C2" w:rsidRPr="00105CD6">
        <w:rPr>
          <w:color w:val="000000"/>
          <w:sz w:val="28"/>
          <w:szCs w:val="28"/>
        </w:rPr>
        <w:t>.</w:t>
      </w:r>
    </w:p>
    <w:p w:rsidR="002A1C97" w:rsidRPr="00105CD6" w:rsidRDefault="002A1C97" w:rsidP="009620C2">
      <w:pPr>
        <w:pStyle w:val="aa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</w:p>
    <w:p w:rsidR="009620C2" w:rsidRPr="002E2647" w:rsidRDefault="00F048D9" w:rsidP="00F048D9">
      <w:pPr>
        <w:pStyle w:val="aa"/>
        <w:tabs>
          <w:tab w:val="left" w:pos="993"/>
        </w:tabs>
        <w:spacing w:before="0" w:beforeAutospacing="0" w:after="0" w:afterAutospacing="0" w:line="360" w:lineRule="auto"/>
        <w:ind w:left="709" w:right="-1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7.</w:t>
      </w:r>
      <w:r w:rsidR="009620C2" w:rsidRPr="002E2647">
        <w:rPr>
          <w:b/>
          <w:color w:val="000000"/>
          <w:sz w:val="28"/>
          <w:szCs w:val="28"/>
        </w:rPr>
        <w:t>Новые договора страхования, предлагаемые/разработанные страховой компанией АО «СОГАЗ»</w:t>
      </w:r>
    </w:p>
    <w:p w:rsidR="009620C2" w:rsidRPr="00105CD6" w:rsidRDefault="009620C2" w:rsidP="009620C2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05CD6">
        <w:rPr>
          <w:sz w:val="28"/>
          <w:szCs w:val="28"/>
        </w:rPr>
        <w:t xml:space="preserve">В конце 2015 г. АО «СОГАЗ» стало единственной российской страховой компанией, получившей регистрацию в Китайской Народной Республике в качестве иностранного перестраховщика. СОГАЗ стал первым российским страховщиком, получившим долгосрочный кредитный рейтинг китайского агентства </w:t>
      </w:r>
      <w:proofErr w:type="spellStart"/>
      <w:r w:rsidRPr="00105CD6">
        <w:rPr>
          <w:sz w:val="28"/>
          <w:szCs w:val="28"/>
        </w:rPr>
        <w:t>Dagong</w:t>
      </w:r>
      <w:proofErr w:type="spellEnd"/>
      <w:r w:rsidRPr="00105CD6">
        <w:rPr>
          <w:sz w:val="28"/>
          <w:szCs w:val="28"/>
        </w:rPr>
        <w:t xml:space="preserve"> на уровне "ВВВ+" в российский и иностранной валюте (прогноз по рейтингу </w:t>
      </w:r>
      <w:r>
        <w:rPr>
          <w:sz w:val="28"/>
          <w:szCs w:val="28"/>
        </w:rPr>
        <w:t>«</w:t>
      </w:r>
      <w:r w:rsidRPr="00105CD6">
        <w:rPr>
          <w:sz w:val="28"/>
          <w:szCs w:val="28"/>
        </w:rPr>
        <w:t>стабильный</w:t>
      </w:r>
      <w:r>
        <w:rPr>
          <w:sz w:val="28"/>
          <w:szCs w:val="28"/>
        </w:rPr>
        <w:t>»</w:t>
      </w:r>
      <w:r w:rsidRPr="00105CD6">
        <w:rPr>
          <w:sz w:val="28"/>
          <w:szCs w:val="28"/>
        </w:rPr>
        <w:t>). СОГАЗ стал единственным российским страховщиком, получившим допуск к осуществлению трансграничных операций по облигаторному и факультативному перестрахованию с контрагентами в КНР.</w:t>
      </w:r>
    </w:p>
    <w:p w:rsidR="009620C2" w:rsidRPr="00105CD6" w:rsidRDefault="009620C2" w:rsidP="009620C2">
      <w:pPr>
        <w:pStyle w:val="aa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05CD6">
        <w:rPr>
          <w:color w:val="000000"/>
          <w:sz w:val="28"/>
          <w:szCs w:val="28"/>
        </w:rPr>
        <w:t>СОГАЗ стал страховщиком первого в мире плавучего энергоблока для плавучей атомной теплоэлектростанции «Академик Ломоносов».</w:t>
      </w:r>
    </w:p>
    <w:p w:rsidR="009620C2" w:rsidRPr="00105CD6" w:rsidRDefault="009620C2" w:rsidP="009620C2">
      <w:pPr>
        <w:pStyle w:val="aa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05CD6">
        <w:rPr>
          <w:sz w:val="28"/>
          <w:szCs w:val="28"/>
        </w:rPr>
        <w:t xml:space="preserve">СОГАЗ является одним из ключевых игроков на российском рынке страхования ответственности директоров и должностных лиц (D&amp;O </w:t>
      </w:r>
      <w:proofErr w:type="spellStart"/>
      <w:r w:rsidRPr="00105CD6">
        <w:rPr>
          <w:sz w:val="28"/>
          <w:szCs w:val="28"/>
        </w:rPr>
        <w:t>insurance</w:t>
      </w:r>
      <w:proofErr w:type="spellEnd"/>
      <w:r w:rsidRPr="00105CD6">
        <w:rPr>
          <w:sz w:val="28"/>
          <w:szCs w:val="28"/>
        </w:rPr>
        <w:t>). Полисы D&amp;O позволяют компенсировать убытки, причиненные третьим лицам в результате ошибок и непреднамеренных действий руководителей компаний при осуществлении ими управленческой деятельности.</w:t>
      </w:r>
    </w:p>
    <w:p w:rsidR="009620C2" w:rsidRPr="00105CD6" w:rsidRDefault="009620C2" w:rsidP="009620C2">
      <w:pPr>
        <w:pStyle w:val="aa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</w:p>
    <w:p w:rsidR="009620C2" w:rsidRPr="002E2647" w:rsidRDefault="00F048D9" w:rsidP="00F048D9">
      <w:pPr>
        <w:pStyle w:val="aa"/>
        <w:tabs>
          <w:tab w:val="left" w:pos="709"/>
          <w:tab w:val="left" w:pos="993"/>
        </w:tabs>
        <w:spacing w:before="0" w:beforeAutospacing="0" w:after="0" w:afterAutospacing="0" w:line="360" w:lineRule="auto"/>
        <w:ind w:left="70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8.</w:t>
      </w:r>
      <w:r w:rsidR="009620C2" w:rsidRPr="002E2647">
        <w:rPr>
          <w:b/>
          <w:color w:val="000000"/>
          <w:sz w:val="28"/>
          <w:szCs w:val="28"/>
        </w:rPr>
        <w:t>Самые крупные страховые случаи</w:t>
      </w:r>
    </w:p>
    <w:p w:rsidR="009620C2" w:rsidRDefault="009620C2" w:rsidP="009620C2">
      <w:pPr>
        <w:pStyle w:val="aa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05CD6">
        <w:rPr>
          <w:color w:val="000000"/>
          <w:sz w:val="28"/>
          <w:szCs w:val="28"/>
        </w:rPr>
        <w:t>В 1999г. СОГАЗ осуществил одну из крупнейших в истории современного российского страхования выплат в размере 50,5 млн. долларов США. Надежная перестраховочная защита позволила своевременно и полностью возместить ОАО «Газпром» потерю одного из спутников связи «Ямал».</w:t>
      </w:r>
    </w:p>
    <w:p w:rsidR="009620C2" w:rsidRPr="00105CD6" w:rsidRDefault="009620C2" w:rsidP="009620C2">
      <w:pPr>
        <w:pStyle w:val="aa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05CD6">
        <w:rPr>
          <w:color w:val="000000"/>
          <w:sz w:val="28"/>
          <w:szCs w:val="28"/>
        </w:rPr>
        <w:lastRenderedPageBreak/>
        <w:t>В 2000</w:t>
      </w:r>
      <w:r>
        <w:rPr>
          <w:color w:val="000000"/>
          <w:sz w:val="28"/>
          <w:szCs w:val="28"/>
        </w:rPr>
        <w:t xml:space="preserve"> г. </w:t>
      </w:r>
      <w:r w:rsidRPr="00105CD6">
        <w:rPr>
          <w:color w:val="000000"/>
          <w:sz w:val="28"/>
          <w:szCs w:val="28"/>
        </w:rPr>
        <w:t>СОГАЗ произвел страховую выплату в размере 780 млн рублей, связанную с транзитом газа через Украину (в связи с несанкционированным отбором экспортного газа).</w:t>
      </w:r>
    </w:p>
    <w:p w:rsidR="009620C2" w:rsidRPr="00105CD6" w:rsidRDefault="009620C2" w:rsidP="009620C2">
      <w:pPr>
        <w:pStyle w:val="aa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05CD6">
        <w:rPr>
          <w:color w:val="000000"/>
          <w:sz w:val="28"/>
          <w:szCs w:val="28"/>
        </w:rPr>
        <w:t>Также СОГАЗ завершил выплату страхового возмещения ООО «</w:t>
      </w:r>
      <w:proofErr w:type="spellStart"/>
      <w:r w:rsidRPr="00105CD6">
        <w:rPr>
          <w:color w:val="000000"/>
          <w:sz w:val="28"/>
          <w:szCs w:val="28"/>
        </w:rPr>
        <w:t>Оренбурггазпром</w:t>
      </w:r>
      <w:proofErr w:type="spellEnd"/>
      <w:r w:rsidRPr="00105CD6">
        <w:rPr>
          <w:color w:val="000000"/>
          <w:sz w:val="28"/>
          <w:szCs w:val="28"/>
        </w:rPr>
        <w:t>» и ООО «</w:t>
      </w:r>
      <w:proofErr w:type="spellStart"/>
      <w:r w:rsidRPr="00105CD6">
        <w:rPr>
          <w:color w:val="000000"/>
          <w:sz w:val="28"/>
          <w:szCs w:val="28"/>
        </w:rPr>
        <w:t>Уралтрансгаз</w:t>
      </w:r>
      <w:proofErr w:type="spellEnd"/>
      <w:r w:rsidRPr="00105CD6">
        <w:rPr>
          <w:color w:val="000000"/>
          <w:sz w:val="28"/>
          <w:szCs w:val="28"/>
        </w:rPr>
        <w:t>» в размере 750 млн. рублей в связи с пожаром на гелиевом заводе в августе 2004 г.</w:t>
      </w:r>
    </w:p>
    <w:p w:rsidR="009620C2" w:rsidRPr="00105CD6" w:rsidRDefault="009620C2" w:rsidP="009620C2">
      <w:pPr>
        <w:pStyle w:val="aa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05CD6">
        <w:rPr>
          <w:color w:val="000000"/>
          <w:sz w:val="28"/>
          <w:szCs w:val="28"/>
        </w:rPr>
        <w:t>В 2012 г. выплачено 90,5 млн рублей родственникам и наследникам игроков ХК «Локомотив», погибших в результате авиакатастрофы 7 сентября 2011 г.</w:t>
      </w:r>
    </w:p>
    <w:p w:rsidR="009620C2" w:rsidRPr="00105CD6" w:rsidRDefault="009620C2" w:rsidP="009620C2">
      <w:pPr>
        <w:pStyle w:val="aa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05CD6">
        <w:rPr>
          <w:color w:val="000000"/>
          <w:sz w:val="28"/>
          <w:szCs w:val="28"/>
        </w:rPr>
        <w:t>Выплачено 73,09 млн евро в связи с частичной гибелью спутника связи «Ямал-402», запуск которого состоялся 8 декабря 2012 года</w:t>
      </w:r>
    </w:p>
    <w:p w:rsidR="009620C2" w:rsidRPr="00105CD6" w:rsidRDefault="009620C2" w:rsidP="009620C2">
      <w:pPr>
        <w:pStyle w:val="aa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05CD6">
        <w:rPr>
          <w:color w:val="000000"/>
          <w:sz w:val="28"/>
          <w:szCs w:val="28"/>
        </w:rPr>
        <w:t>Выплачено 16,7 млн евро в связи с гибелью спутника «Ямал-201».</w:t>
      </w:r>
    </w:p>
    <w:p w:rsidR="009620C2" w:rsidRPr="00105CD6" w:rsidRDefault="009620C2" w:rsidP="009620C2">
      <w:pPr>
        <w:pStyle w:val="aa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05CD6">
        <w:rPr>
          <w:color w:val="000000"/>
          <w:sz w:val="28"/>
          <w:szCs w:val="28"/>
        </w:rPr>
        <w:t>В 2015г.Совершены выплаты в связи с обрушением казармы под Омском, в результате которой погибли 24 человека, пострадали еще 18 человек. В течение 2-х недель в качестве страхового возмещения выплачено около 60 млн рублей.</w:t>
      </w:r>
    </w:p>
    <w:p w:rsidR="009620C2" w:rsidRPr="00105CD6" w:rsidRDefault="009620C2" w:rsidP="009620C2">
      <w:pPr>
        <w:pStyle w:val="aa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05CD6">
        <w:rPr>
          <w:color w:val="000000"/>
          <w:sz w:val="28"/>
          <w:szCs w:val="28"/>
        </w:rPr>
        <w:t>1,9 млрд рублей страхового возмещения в связи с гибелью космического корабля «Прогресс» в апреле 2015 года.</w:t>
      </w:r>
    </w:p>
    <w:p w:rsidR="009620C2" w:rsidRPr="00105CD6" w:rsidRDefault="009620C2" w:rsidP="009620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C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2016 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05C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СОГАЗ завершил страховые выплаты от произошедшей в июне 2014 года аварии на Ачинском нефтеперерабатывающем заводе. Общая сумма страховых выплат составила 16,7 млрд рублей.</w:t>
      </w:r>
    </w:p>
    <w:p w:rsidR="009620C2" w:rsidRDefault="009620C2" w:rsidP="009620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5C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Также СОГАЗ выплатил более 2,2 млрд рублей в связи с аварией на </w:t>
      </w:r>
      <w:proofErr w:type="spellStart"/>
      <w:r w:rsidRPr="00105C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Загорской</w:t>
      </w:r>
      <w:proofErr w:type="spellEnd"/>
      <w:r w:rsidRPr="00105C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ГАЭС-2.</w:t>
      </w:r>
    </w:p>
    <w:p w:rsidR="008D3E50" w:rsidRDefault="008D3E50" w:rsidP="009620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3E50" w:rsidRDefault="008D3E50" w:rsidP="009620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3E50" w:rsidRPr="00105CD6" w:rsidRDefault="008D3E50" w:rsidP="009620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20C2" w:rsidRPr="00CE1243" w:rsidRDefault="008D3E50" w:rsidP="008D3E50">
      <w:pPr>
        <w:pStyle w:val="a4"/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24100" cy="114389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ogaz_logo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204" cy="1148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9620C2" w:rsidRPr="00CE1243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699" w:rsidRDefault="00047699" w:rsidP="00CE1243">
      <w:pPr>
        <w:spacing w:after="0" w:line="240" w:lineRule="auto"/>
      </w:pPr>
      <w:r>
        <w:separator/>
      </w:r>
    </w:p>
  </w:endnote>
  <w:endnote w:type="continuationSeparator" w:id="0">
    <w:p w:rsidR="00047699" w:rsidRDefault="00047699" w:rsidP="00CE1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547785"/>
      <w:docPartObj>
        <w:docPartGallery w:val="Page Numbers (Bottom of Page)"/>
        <w:docPartUnique/>
      </w:docPartObj>
    </w:sdtPr>
    <w:sdtEndPr/>
    <w:sdtContent>
      <w:p w:rsidR="00CE1243" w:rsidRDefault="00CE124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3E50">
          <w:rPr>
            <w:noProof/>
          </w:rPr>
          <w:t>12</w:t>
        </w:r>
        <w:r>
          <w:fldChar w:fldCharType="end"/>
        </w:r>
      </w:p>
    </w:sdtContent>
  </w:sdt>
  <w:p w:rsidR="00CE1243" w:rsidRDefault="00CE124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699" w:rsidRDefault="00047699" w:rsidP="00CE1243">
      <w:pPr>
        <w:spacing w:after="0" w:line="240" w:lineRule="auto"/>
      </w:pPr>
      <w:r>
        <w:separator/>
      </w:r>
    </w:p>
  </w:footnote>
  <w:footnote w:type="continuationSeparator" w:id="0">
    <w:p w:rsidR="00047699" w:rsidRDefault="00047699" w:rsidP="00CE1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A5A94"/>
    <w:multiLevelType w:val="hybridMultilevel"/>
    <w:tmpl w:val="336AE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4258D"/>
    <w:multiLevelType w:val="hybridMultilevel"/>
    <w:tmpl w:val="B4E2E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EF67A9"/>
    <w:multiLevelType w:val="multilevel"/>
    <w:tmpl w:val="A55AE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6"/>
      <w:numFmt w:val="decimal"/>
      <w:lvlText w:val="%4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F12635"/>
    <w:multiLevelType w:val="hybridMultilevel"/>
    <w:tmpl w:val="C382CF5C"/>
    <w:lvl w:ilvl="0" w:tplc="E6E8F0FE">
      <w:numFmt w:val="bullet"/>
      <w:lvlText w:val=""/>
      <w:lvlJc w:val="left"/>
      <w:pPr>
        <w:ind w:left="735" w:hanging="37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243"/>
    <w:rsid w:val="00047699"/>
    <w:rsid w:val="001B09CF"/>
    <w:rsid w:val="001F6FB6"/>
    <w:rsid w:val="002A1C97"/>
    <w:rsid w:val="00330B8B"/>
    <w:rsid w:val="003F2012"/>
    <w:rsid w:val="004E3F1C"/>
    <w:rsid w:val="0060347D"/>
    <w:rsid w:val="00672199"/>
    <w:rsid w:val="00722421"/>
    <w:rsid w:val="008D3E50"/>
    <w:rsid w:val="009620C2"/>
    <w:rsid w:val="00BB1616"/>
    <w:rsid w:val="00C14B5B"/>
    <w:rsid w:val="00CD5527"/>
    <w:rsid w:val="00CE1243"/>
    <w:rsid w:val="00EF168E"/>
    <w:rsid w:val="00F048D9"/>
    <w:rsid w:val="00F51E17"/>
    <w:rsid w:val="00FA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A330C"/>
  <w15:docId w15:val="{845012C9-A541-4BEE-8DDB-9BE836301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243"/>
    <w:rPr>
      <w:color w:val="0000FF" w:themeColor="hyperlink"/>
      <w:u w:val="single"/>
    </w:rPr>
  </w:style>
  <w:style w:type="paragraph" w:styleId="a4">
    <w:name w:val="No Spacing"/>
    <w:uiPriority w:val="1"/>
    <w:qFormat/>
    <w:rsid w:val="00CE124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E1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1243"/>
  </w:style>
  <w:style w:type="paragraph" w:styleId="a7">
    <w:name w:val="footer"/>
    <w:basedOn w:val="a"/>
    <w:link w:val="a8"/>
    <w:uiPriority w:val="99"/>
    <w:unhideWhenUsed/>
    <w:rsid w:val="00CE1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1243"/>
  </w:style>
  <w:style w:type="table" w:styleId="a9">
    <w:name w:val="Table Grid"/>
    <w:basedOn w:val="a1"/>
    <w:uiPriority w:val="59"/>
    <w:rsid w:val="006034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9620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8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2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0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i.ru/wikibank/%D1%E8%F1%F2%E5%EC%E0+%F1%F2%F0%E0%F5%EE%E2%E0%ED%E8%FF+%E2%EA%EB%E0%E4%EE%E2/" TargetMode="External"/><Relationship Id="rId13" Type="http://schemas.openxmlformats.org/officeDocument/2006/relationships/hyperlink" Target="http://www.banki.ru/wikibank/%C2%EA%EB%E0%E4%F7%E8%EA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anki.ru/wikibank/%C4%E5%F4%EE%EB%F2/" TargetMode="External"/><Relationship Id="rId12" Type="http://schemas.openxmlformats.org/officeDocument/2006/relationships/hyperlink" Target="http://www.banki.ru/wikibank/%CE%E1%E5%E7%EB%E8%F7%E5%ED%ED%FB%E5+%EC%E5%F2%E0%EB%EB%E8%F7%E5%F1%EA%E8%E5+%F1%F7%E5%F2%E0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anki.ru/wikibank/%D1%F2%F0%E0%F5%EE%E2%EE%E5+%E2%EE%E7%EC%E5%F9%E5%ED%E8%E5+%EF%EE+%E2%EA%EB%E0%E4%F3/" TargetMode="External"/><Relationship Id="rId5" Type="http://schemas.openxmlformats.org/officeDocument/2006/relationships/footnotes" Target="footnotes.xml"/><Relationship Id="rId15" Type="http://schemas.openxmlformats.org/officeDocument/2006/relationships/chart" Target="charts/chart2.xml"/><Relationship Id="rId10" Type="http://schemas.openxmlformats.org/officeDocument/2006/relationships/hyperlink" Target="http://www.banki.ru/wikibank/%D0%EE%F1%F1%E8%E9%F1%EA%E8%E9+%F0%F3%E1%EB%FC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banki.ru/wikibank/%C0%E3%E5%ED%F2%F1%F2%E2%EE+%EF%EE+%F1%F2%F0%E0%F5%EE%E2%E0%ED%E8%FE+%E2%EA%EB%E0%E4%EE%E2+/" TargetMode="Externa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none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/>
              <a:t>Отношение премии к выплатам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none" spc="0" normalizeH="0" baseline="0">
              <a:solidFill>
                <a:schemeClr val="dk1">
                  <a:lumMod val="50000"/>
                  <a:lumOff val="50000"/>
                </a:schemeClr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Лист1!$A$26</c:f>
              <c:strCache>
                <c:ptCount val="1"/>
                <c:pt idx="0">
                  <c:v>Премия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Лист1!$B$25:$F$25</c:f>
              <c:numCache>
                <c:formatCode>General</c:formatCode>
                <c:ptCount val="5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Лист1!$B$26:$F$26</c:f>
              <c:numCache>
                <c:formatCode>#,##0</c:formatCode>
                <c:ptCount val="5"/>
                <c:pt idx="0">
                  <c:v>58379</c:v>
                </c:pt>
                <c:pt idx="1">
                  <c:v>80443</c:v>
                </c:pt>
                <c:pt idx="2">
                  <c:v>90411</c:v>
                </c:pt>
                <c:pt idx="3">
                  <c:v>111120</c:v>
                </c:pt>
                <c:pt idx="4">
                  <c:v>131147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CEE-464F-814D-15F69CC9506F}"/>
            </c:ext>
          </c:extLst>
        </c:ser>
        <c:ser>
          <c:idx val="1"/>
          <c:order val="1"/>
          <c:tx>
            <c:strRef>
              <c:f>Лист1!$A$27</c:f>
              <c:strCache>
                <c:ptCount val="1"/>
                <c:pt idx="0">
                  <c:v>Выплаты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Лист1!$B$25:$F$25</c:f>
              <c:numCache>
                <c:formatCode>General</c:formatCode>
                <c:ptCount val="5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Лист1!$B$27:$F$27</c:f>
              <c:numCache>
                <c:formatCode>#,##0</c:formatCode>
                <c:ptCount val="5"/>
                <c:pt idx="0">
                  <c:v>26635</c:v>
                </c:pt>
                <c:pt idx="1">
                  <c:v>31572</c:v>
                </c:pt>
                <c:pt idx="2">
                  <c:v>40448</c:v>
                </c:pt>
                <c:pt idx="3">
                  <c:v>44442</c:v>
                </c:pt>
                <c:pt idx="4">
                  <c:v>66949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CEE-464F-814D-15F69CC9506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67"/>
        <c:overlap val="-43"/>
        <c:axId val="454490232"/>
        <c:axId val="454491216"/>
      </c:barChart>
      <c:catAx>
        <c:axId val="45449023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54491216"/>
        <c:crosses val="autoZero"/>
        <c:auto val="1"/>
        <c:lblAlgn val="ctr"/>
        <c:lblOffset val="100"/>
        <c:noMultiLvlLbl val="0"/>
      </c:catAx>
      <c:valAx>
        <c:axId val="4544912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54490232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none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/>
              <a:t>Анализ заключенных договоров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none" spc="0" normalizeH="0" baseline="0">
              <a:solidFill>
                <a:schemeClr val="dk1">
                  <a:lumMod val="50000"/>
                  <a:lumOff val="50000"/>
                </a:schemeClr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Лист1!$C$1</c:f>
              <c:strCache>
                <c:ptCount val="1"/>
                <c:pt idx="0">
                  <c:v>Действовавших договоров страхования, шт.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multiLvlStrRef>
              <c:f>Лист1!$A$2:$B$7</c:f>
              <c:multiLvlStrCache>
                <c:ptCount val="6"/>
                <c:lvl>
                  <c:pt idx="0">
                    <c:v>6 месяцев</c:v>
                  </c:pt>
                  <c:pt idx="1">
                    <c:v>1 год</c:v>
                  </c:pt>
                  <c:pt idx="2">
                    <c:v>1 год</c:v>
                  </c:pt>
                  <c:pt idx="3">
                    <c:v>1 год</c:v>
                  </c:pt>
                  <c:pt idx="4">
                    <c:v>1 год</c:v>
                  </c:pt>
                  <c:pt idx="5">
                    <c:v>1 год</c:v>
                  </c:pt>
                </c:lvl>
                <c:lvl>
                  <c:pt idx="0">
                    <c:v>2016</c:v>
                  </c:pt>
                  <c:pt idx="1">
                    <c:v>2015</c:v>
                  </c:pt>
                  <c:pt idx="2">
                    <c:v>2014</c:v>
                  </c:pt>
                  <c:pt idx="3">
                    <c:v>2013</c:v>
                  </c:pt>
                  <c:pt idx="4">
                    <c:v>2012</c:v>
                  </c:pt>
                  <c:pt idx="5">
                    <c:v>2011</c:v>
                  </c:pt>
                </c:lvl>
              </c:multiLvlStrCache>
            </c:multiLvlStrRef>
          </c:cat>
          <c:val>
            <c:numRef>
              <c:f>Лист1!$C$2:$C$7</c:f>
              <c:numCache>
                <c:formatCode>#,##0</c:formatCode>
                <c:ptCount val="6"/>
                <c:pt idx="0">
                  <c:v>2646828</c:v>
                </c:pt>
                <c:pt idx="1">
                  <c:v>2997223</c:v>
                </c:pt>
                <c:pt idx="2">
                  <c:v>2523277</c:v>
                </c:pt>
                <c:pt idx="3">
                  <c:v>1643695</c:v>
                </c:pt>
                <c:pt idx="4">
                  <c:v>994314</c:v>
                </c:pt>
                <c:pt idx="5">
                  <c:v>875720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5D7-42AF-B0EB-8B6BF9E6FAFA}"/>
            </c:ext>
          </c:extLst>
        </c:ser>
        <c:ser>
          <c:idx val="1"/>
          <c:order val="1"/>
          <c:tx>
            <c:strRef>
              <c:f>Лист1!$D$1</c:f>
              <c:strCache>
                <c:ptCount val="1"/>
                <c:pt idx="0">
                  <c:v>Заключенных (новых) договоров страхования, шт.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multiLvlStrRef>
              <c:f>Лист1!$A$2:$B$7</c:f>
              <c:multiLvlStrCache>
                <c:ptCount val="6"/>
                <c:lvl>
                  <c:pt idx="0">
                    <c:v>6 месяцев</c:v>
                  </c:pt>
                  <c:pt idx="1">
                    <c:v>1 год</c:v>
                  </c:pt>
                  <c:pt idx="2">
                    <c:v>1 год</c:v>
                  </c:pt>
                  <c:pt idx="3">
                    <c:v>1 год</c:v>
                  </c:pt>
                  <c:pt idx="4">
                    <c:v>1 год</c:v>
                  </c:pt>
                  <c:pt idx="5">
                    <c:v>1 год</c:v>
                  </c:pt>
                </c:lvl>
                <c:lvl>
                  <c:pt idx="0">
                    <c:v>2016</c:v>
                  </c:pt>
                  <c:pt idx="1">
                    <c:v>2015</c:v>
                  </c:pt>
                  <c:pt idx="2">
                    <c:v>2014</c:v>
                  </c:pt>
                  <c:pt idx="3">
                    <c:v>2013</c:v>
                  </c:pt>
                  <c:pt idx="4">
                    <c:v>2012</c:v>
                  </c:pt>
                  <c:pt idx="5">
                    <c:v>2011</c:v>
                  </c:pt>
                </c:lvl>
              </c:multiLvlStrCache>
            </c:multiLvlStrRef>
          </c:cat>
          <c:val>
            <c:numRef>
              <c:f>Лист1!$D$2:$D$7</c:f>
              <c:numCache>
                <c:formatCode>#,##0</c:formatCode>
                <c:ptCount val="6"/>
                <c:pt idx="0">
                  <c:v>1903220</c:v>
                </c:pt>
                <c:pt idx="1">
                  <c:v>3003132</c:v>
                </c:pt>
                <c:pt idx="2">
                  <c:v>2503010</c:v>
                </c:pt>
                <c:pt idx="3">
                  <c:v>1709921</c:v>
                </c:pt>
                <c:pt idx="4">
                  <c:v>1025980</c:v>
                </c:pt>
                <c:pt idx="5">
                  <c:v>829420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5D7-42AF-B0EB-8B6BF9E6FAF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67"/>
        <c:overlap val="-43"/>
        <c:axId val="453066760"/>
        <c:axId val="453067416"/>
      </c:barChart>
      <c:catAx>
        <c:axId val="4530667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53067416"/>
        <c:crosses val="autoZero"/>
        <c:auto val="1"/>
        <c:lblAlgn val="ctr"/>
        <c:lblOffset val="100"/>
        <c:noMultiLvlLbl val="0"/>
      </c:catAx>
      <c:valAx>
        <c:axId val="4530674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53066760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2515</Words>
  <Characters>14341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Лейла Зуфаровна</dc:creator>
  <cp:lastModifiedBy>1</cp:lastModifiedBy>
  <cp:revision>3</cp:revision>
  <dcterms:created xsi:type="dcterms:W3CDTF">2016-11-17T15:09:00Z</dcterms:created>
  <dcterms:modified xsi:type="dcterms:W3CDTF">2016-11-17T15:10:00Z</dcterms:modified>
</cp:coreProperties>
</file>