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17E" w:rsidRPr="000F317E" w:rsidRDefault="000F317E" w:rsidP="000F317E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17E">
        <w:rPr>
          <w:rFonts w:ascii="Times New Roman" w:eastAsia="Times New Roman" w:hAnsi="Times New Roman"/>
          <w:sz w:val="28"/>
          <w:szCs w:val="28"/>
          <w:lang w:eastAsia="ru-RU"/>
        </w:rPr>
        <w:t>Содержание</w:t>
      </w:r>
      <w:r w:rsidRPr="000F317E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834B00" w:rsidRDefault="000F317E" w:rsidP="00834B0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17E">
        <w:rPr>
          <w:rFonts w:ascii="Times New Roman" w:eastAsia="Times New Roman" w:hAnsi="Times New Roman"/>
          <w:sz w:val="28"/>
          <w:szCs w:val="28"/>
          <w:lang w:eastAsia="ru-RU"/>
        </w:rPr>
        <w:t>Введение</w:t>
      </w:r>
      <w:r w:rsidR="00C812B9">
        <w:rPr>
          <w:rFonts w:ascii="Times New Roman" w:eastAsia="Times New Roman" w:hAnsi="Times New Roman"/>
          <w:sz w:val="28"/>
          <w:szCs w:val="28"/>
          <w:lang w:eastAsia="ru-RU"/>
        </w:rPr>
        <w:t>……………………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……………………………………………………...</w:t>
      </w:r>
      <w:r w:rsidR="00C812B9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834B00" w:rsidRPr="00C61659" w:rsidRDefault="00834B00" w:rsidP="00834B0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34B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Теоретическая часть денежно-кредитной политики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……………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…………….</w:t>
      </w:r>
      <w:r w:rsidR="00C812B9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834B00" w:rsidRPr="00C61659" w:rsidRDefault="00834B00" w:rsidP="00834B0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Понятие, цели и зад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ачи денежно-кредитной политики……………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……….</w:t>
      </w:r>
      <w:r w:rsidR="00C812B9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C812B9" w:rsidRDefault="00C812B9" w:rsidP="00834B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="00FF16E1" w:rsidRPr="00C61659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экономики России и денежно-кредитной политики в 2014 году</w:t>
      </w:r>
      <w:r w:rsidR="00FF16E1"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……………………………………………………………………………..….7</w:t>
      </w:r>
    </w:p>
    <w:p w:rsidR="00834B00" w:rsidRDefault="00834B00" w:rsidP="00834B0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Макроэкономическое развитие……………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………………………………….13</w:t>
      </w:r>
    </w:p>
    <w:p w:rsidR="00834B00" w:rsidRDefault="00834B00" w:rsidP="00834B0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Варианты макроэкономического развития  на период 2015-2017 г.г., и реализация денежно – кредитной политики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…….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13</w:t>
      </w:r>
    </w:p>
    <w:p w:rsidR="00834B00" w:rsidRPr="000F317E" w:rsidRDefault="000F317E" w:rsidP="00834B0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17E">
        <w:rPr>
          <w:rFonts w:ascii="Times New Roman" w:hAnsi="Times New Roman"/>
          <w:sz w:val="28"/>
          <w:szCs w:val="28"/>
        </w:rPr>
        <w:t>2.2</w:t>
      </w:r>
      <w:r w:rsidR="00834B0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Политика валютного курса</w:t>
      </w:r>
      <w:r w:rsidR="00C812B9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года…………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……………………...</w:t>
      </w:r>
      <w:r w:rsidR="00C812B9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FF16E1">
        <w:rPr>
          <w:rFonts w:ascii="Times New Roman" w:eastAsia="Times New Roman" w:hAnsi="Times New Roman"/>
          <w:sz w:val="28"/>
          <w:szCs w:val="28"/>
          <w:lang w:eastAsia="ru-RU"/>
        </w:rPr>
        <w:t>18</w:t>
      </w:r>
    </w:p>
    <w:p w:rsidR="00834B00" w:rsidRPr="000F317E" w:rsidRDefault="00834B00" w:rsidP="000F3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812B9"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Инструменты денежно-кредитной политики в 2015-2017 годах</w:t>
      </w:r>
      <w:r w:rsidR="00C812B9">
        <w:rPr>
          <w:rFonts w:ascii="Times New Roman" w:eastAsia="Times New Roman" w:hAnsi="Times New Roman"/>
          <w:sz w:val="28"/>
          <w:szCs w:val="28"/>
          <w:lang w:eastAsia="ru-RU" w:bidi="ru-RU"/>
        </w:rPr>
        <w:t>……………</w:t>
      </w:r>
      <w:r w:rsidR="00FF16E1">
        <w:rPr>
          <w:rFonts w:ascii="Times New Roman" w:eastAsia="Times New Roman" w:hAnsi="Times New Roman"/>
          <w:sz w:val="28"/>
          <w:szCs w:val="28"/>
          <w:lang w:eastAsia="ru-RU" w:bidi="ru-RU"/>
        </w:rPr>
        <w:t>…………………………………………………………………20</w:t>
      </w:r>
    </w:p>
    <w:p w:rsidR="000F317E" w:rsidRPr="000F317E" w:rsidRDefault="000F317E" w:rsidP="000F3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F317E">
        <w:rPr>
          <w:rFonts w:ascii="Times New Roman" w:hAnsi="Times New Roman"/>
          <w:sz w:val="28"/>
          <w:szCs w:val="28"/>
        </w:rPr>
        <w:t>Заключение</w:t>
      </w:r>
      <w:r w:rsidR="00C812B9">
        <w:rPr>
          <w:rFonts w:ascii="Times New Roman" w:hAnsi="Times New Roman"/>
          <w:sz w:val="28"/>
          <w:szCs w:val="28"/>
        </w:rPr>
        <w:t>……</w:t>
      </w:r>
      <w:r w:rsidR="00FF16E1">
        <w:rPr>
          <w:rFonts w:ascii="Times New Roman" w:hAnsi="Times New Roman"/>
          <w:sz w:val="28"/>
          <w:szCs w:val="28"/>
        </w:rPr>
        <w:t>………………………………………………………………...</w:t>
      </w:r>
      <w:r w:rsidR="00C812B9">
        <w:rPr>
          <w:rFonts w:ascii="Times New Roman" w:hAnsi="Times New Roman"/>
          <w:sz w:val="28"/>
          <w:szCs w:val="28"/>
        </w:rPr>
        <w:t>..</w:t>
      </w:r>
      <w:r w:rsidR="00FF16E1">
        <w:rPr>
          <w:rFonts w:ascii="Times New Roman" w:hAnsi="Times New Roman"/>
          <w:sz w:val="28"/>
          <w:szCs w:val="28"/>
        </w:rPr>
        <w:t>26</w:t>
      </w:r>
    </w:p>
    <w:p w:rsidR="000F317E" w:rsidRPr="000F317E" w:rsidRDefault="000F317E" w:rsidP="000F3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F317E">
        <w:rPr>
          <w:rFonts w:ascii="Times New Roman" w:hAnsi="Times New Roman"/>
          <w:sz w:val="28"/>
          <w:szCs w:val="28"/>
        </w:rPr>
        <w:t>Список используемой литературы</w:t>
      </w:r>
      <w:r w:rsidR="00C812B9">
        <w:rPr>
          <w:rFonts w:ascii="Times New Roman" w:hAnsi="Times New Roman"/>
          <w:sz w:val="28"/>
          <w:szCs w:val="28"/>
        </w:rPr>
        <w:t>………</w:t>
      </w:r>
      <w:r w:rsidR="00FF16E1">
        <w:rPr>
          <w:rFonts w:ascii="Times New Roman" w:hAnsi="Times New Roman"/>
          <w:sz w:val="28"/>
          <w:szCs w:val="28"/>
        </w:rPr>
        <w:t>………………………………..</w:t>
      </w:r>
      <w:r w:rsidR="00C812B9">
        <w:rPr>
          <w:rFonts w:ascii="Times New Roman" w:hAnsi="Times New Roman"/>
          <w:sz w:val="28"/>
          <w:szCs w:val="28"/>
        </w:rPr>
        <w:t>…….</w:t>
      </w:r>
      <w:r w:rsidR="00FF16E1">
        <w:rPr>
          <w:rFonts w:ascii="Times New Roman" w:hAnsi="Times New Roman"/>
          <w:sz w:val="28"/>
          <w:szCs w:val="28"/>
        </w:rPr>
        <w:t>28</w:t>
      </w:r>
    </w:p>
    <w:p w:rsidR="000F317E" w:rsidRPr="000F317E" w:rsidRDefault="000F317E" w:rsidP="000F3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879" w:rsidRDefault="004A6879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Default="000F317E" w:rsidP="000F317E"/>
    <w:p w:rsidR="000F317E" w:rsidRPr="009871E9" w:rsidRDefault="000F317E" w:rsidP="000F317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71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Введение.</w:t>
      </w:r>
    </w:p>
    <w:p w:rsidR="000F317E" w:rsidRPr="0022678E" w:rsidRDefault="000F317E" w:rsidP="000F317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Денежно-кредитная политика – одно из четырех направлений единой финансовой политики государства, обеспечивающих устойчивость экономики и достижение экономического роста. Именно она контролирует инфляцию и рост денежной массы. Наличие в Российской Федерации достаточно высокого уровня инфляции и несбалансированного роста денежной массы обуславливает некоторые проблемы денежно-кредитной политики и представляет сегодня для нас определенный интерес.</w:t>
      </w:r>
      <w:r w:rsidRPr="00C6165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1659">
        <w:rPr>
          <w:rFonts w:ascii="Times New Roman" w:hAnsi="Times New Roman"/>
          <w:sz w:val="28"/>
          <w:szCs w:val="28"/>
        </w:rPr>
        <w:t>Актуальность данной курсовой работы обусловлена тем, что денежно-кредитная политика - одна из основных политик государства, направленная на регулирование экономического роста, сдерживание инфляции, обеспечение занятости и выравнивание платежного баланса, которая служит важным инструментом целенаправленного вмешательства государства в экономику страны.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bCs/>
          <w:sz w:val="28"/>
          <w:szCs w:val="28"/>
          <w:lang w:eastAsia="ru-RU"/>
        </w:rPr>
        <w:t>Целью данной работы является 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исследование денежно-кредитного механизма государственного регулирования экономики.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поставленной цели представляется необходимым решить следующие задачи:</w:t>
      </w:r>
    </w:p>
    <w:p w:rsidR="000F317E" w:rsidRPr="00C61659" w:rsidRDefault="000F317E" w:rsidP="00C6165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Описать теоретические аспекты денежно-кредитной политики</w:t>
      </w:r>
    </w:p>
    <w:p w:rsidR="000F317E" w:rsidRPr="00C61659" w:rsidRDefault="000F317E" w:rsidP="00C6165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Определить специфику Банка России</w:t>
      </w:r>
    </w:p>
    <w:p w:rsidR="000F317E" w:rsidRPr="00C61659" w:rsidRDefault="000F317E" w:rsidP="00C6165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определить основные направления единой государственной денежно-кредитной политики России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 Теоретическая часть денежно-кредитной политики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1.1. Понятие, цели и задачи денежно-кредитной политики. 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Одним из важнейших условий устойчивого равновесного развития народного хозяйства в рамках смешанной экономики является формирование четкого механизма денежно-кредитного регулирования. </w:t>
      </w:r>
      <w:r w:rsidRPr="00C61659">
        <w:rPr>
          <w:rFonts w:ascii="Times New Roman" w:eastAsia="Times New Roman" w:hAnsi="Times New Roman"/>
          <w:bCs/>
          <w:sz w:val="28"/>
          <w:szCs w:val="28"/>
          <w:lang w:eastAsia="ru-RU"/>
        </w:rPr>
        <w:t>Денежно-кредитная политика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 — это политика </w:t>
      </w:r>
      <w:hyperlink r:id="rId7" w:tooltip="Государство" w:history="1">
        <w:r w:rsidRPr="00C61659">
          <w:rPr>
            <w:rFonts w:ascii="Times New Roman" w:eastAsia="Times New Roman" w:hAnsi="Times New Roman"/>
            <w:sz w:val="28"/>
            <w:szCs w:val="28"/>
            <w:lang w:eastAsia="ru-RU"/>
          </w:rPr>
          <w:t>государства</w:t>
        </w:r>
      </w:hyperlink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, воздействующая на количество </w:t>
      </w:r>
      <w:hyperlink r:id="rId8" w:tooltip="Деньги" w:history="1">
        <w:r w:rsidRPr="00C61659">
          <w:rPr>
            <w:rFonts w:ascii="Times New Roman" w:eastAsia="Times New Roman" w:hAnsi="Times New Roman"/>
            <w:sz w:val="28"/>
            <w:szCs w:val="28"/>
            <w:lang w:eastAsia="ru-RU"/>
          </w:rPr>
          <w:t>денег</w:t>
        </w:r>
      </w:hyperlink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 в обращении с целью обеспечения стабильности цен, полной </w:t>
      </w:r>
      <w:hyperlink r:id="rId9" w:tooltip="Занятость населения (страница отсутствует)" w:history="1">
        <w:r w:rsidRPr="00C61659">
          <w:rPr>
            <w:rFonts w:ascii="Times New Roman" w:eastAsia="Times New Roman" w:hAnsi="Times New Roman"/>
            <w:sz w:val="28"/>
            <w:szCs w:val="28"/>
            <w:lang w:eastAsia="ru-RU"/>
          </w:rPr>
          <w:t>занятости населения</w:t>
        </w:r>
      </w:hyperlink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 и роста реального объема </w:t>
      </w:r>
      <w:hyperlink r:id="rId10" w:tooltip="Производство" w:history="1">
        <w:r w:rsidRPr="00C61659">
          <w:rPr>
            <w:rFonts w:ascii="Times New Roman" w:eastAsia="Times New Roman" w:hAnsi="Times New Roman"/>
            <w:sz w:val="28"/>
            <w:szCs w:val="28"/>
            <w:lang w:eastAsia="ru-RU"/>
          </w:rPr>
          <w:t>производства</w:t>
        </w:r>
      </w:hyperlink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. 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Денежно-кредитная политика приводит к изменению значений основных макроэкономических параметров: Валового Национального Продукта, инфляции, уровня безработицы. Это происходит потому, что посредством монетарных методов можно изменить предложение денег в экономической систе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softHyphen/>
        <w:t>ме. Воздействие на макроэкономические процессы осуществляется посредством денежно-кредитного регулирования.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bCs/>
          <w:sz w:val="28"/>
          <w:szCs w:val="28"/>
          <w:lang w:eastAsia="ru-RU"/>
        </w:rPr>
        <w:t>Денежно-кредитное регулирование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 — это совокупность конкретных мероприятий центрального банка, направленных на изменение денежной массы в обращении, объема кредитов, уровня процентных ставок и других показателей денежного обращения и рынка ссудных </w:t>
      </w:r>
      <w:hyperlink r:id="rId11" w:tooltip="Капитал" w:history="1">
        <w:r w:rsidRPr="00C61659">
          <w:rPr>
            <w:rFonts w:ascii="Times New Roman" w:eastAsia="Times New Roman" w:hAnsi="Times New Roman"/>
            <w:sz w:val="28"/>
            <w:szCs w:val="28"/>
            <w:lang w:eastAsia="ru-RU"/>
          </w:rPr>
          <w:t>капиталов</w:t>
        </w:r>
      </w:hyperlink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Цель денежно-кредитной политики - это контроль над денежной массой или уровнем ссудного процента – все это делается для регулирования денежного предложения в стране.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Механизм воздействия денежно-кредитной политики на основные переменные народнохозяйственного комплекса по-разному расценивается в кейнсианской и монетаристской теориях, используемых для принятия денежными властями практических решений. 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В качестве проводника денежно-кредитной политики выступает Центральный Банк государства.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Объектом денежно-кредитного регулирования со стороны Центрального банка выступает совокупные наличные и безналичные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денежные средства в экономике, от динамики которой зависит изменение совокупного платежеспособного спроса. 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Регулирующая деятельность Центрального Банка основана на анализе динамики макроэкономических показателей, в том числе валового национального продукта и национального дохода, индекса цен, дефицита госбюджета, совокупного фонда заработной платы. Она направлена на осуществление контроля над состоянием совокупных денежных средств в стране и имеет своей целью эффективное управление совокупным денежным оборотом, включая наличный и безналичный компоненты, путем установления границ прироста денежной массы. 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В основе денежно-кредитной политики лежит теория денег, которая включает исследования процессов воздействия денег и денежно-кредитной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политики на состояние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экономики в целом.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Длительное время среди экономистов ведутся дискуссии по проблемам значимости и роли денежно-кредитной политики в условиях рынка. Это обусловлено двумя различными подходами к теории денег: модернизированной кейнсианской теорией, с одной стороны, и современным монетаризмом - с другой.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И современные кейнсианцы и монетаристы признают, что состояние денежной сферы и изменения в ней под воздействием денежно-кредитной политики влияют на состояние национальной экономики в целом. Но они оценивают по-разному и значение этого влияния, и сам его механизм.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С точки зрения кейнсианцев, в основу денежно-кредитного регулирования должен быть положен определенный уровень процентной ставки, а с точки зрения монетаристов - спрос и предложение денег.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 активного государственного вмешательства в виде налогово-бюджетной и кредитно-денежной политики благодаря активному стимулированию эффективного спроса создана английским экономистом Джоном Мейнардом Кейнсом, нашедшая отражение в главном труде «Общая теория занятости, процента и денег» (1936 г.) Распространено понятие «кейнсианская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революция», отражающее новые подходы в экономической теории: необходимость государственного вмешательства в экономику на макро уровне для стабилизации внутренне неустойчивой экономики.</w:t>
      </w:r>
      <w:proofErr w:type="gramEnd"/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Сторонники </w:t>
      </w:r>
      <w:r w:rsidRPr="00C61659">
        <w:rPr>
          <w:rFonts w:ascii="Times New Roman" w:eastAsia="Times New Roman" w:hAnsi="Times New Roman"/>
          <w:bCs/>
          <w:sz w:val="28"/>
          <w:szCs w:val="28"/>
          <w:lang w:eastAsia="ru-RU"/>
        </w:rPr>
        <w:t>кейнсианства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 утверждают, что рыночная экономика представляет собой неустойчивую систему со многими внутренними «пороками». Поэтому государство должно активно использовать различные инструменты регулирования экономики, в том числе финансовые и денежно-кредитные. Механизм денежно-кредитного регулирования действует следующим образом. Изменение денежного предложения является причиной повышения или понижения процентной ставки, что в свою очередь приводит к колебаниям инвестиционного спроса и через мультипликативный эффект инвестиций - к изменению в уровне национального производства.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Кейнсианцы отмечают, что цепь причинно-следственных связей между предложением денег и уровнем национального производства достаточно велика. Центральный банк при проведении денежно-кредитной политики должен обладать значительным объемом экономической информации (например, о том, как скажется на инвестиционном спросе изменение процентной ставки). Кроме того, между приростом денег в обращении, инвестициями и наполнением рынка товарами и услугами существует определенный временной лаг.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Кейнсианцы считают денежно-кредитное регулирование не столь эффективным средством стабилизации экономики, как, например, использование инструментов фискальной или бюджетной политики.</w:t>
      </w:r>
      <w:r w:rsidRPr="00C61659">
        <w:rPr>
          <w:rFonts w:ascii="Times New Roman" w:hAnsi="Times New Roman"/>
          <w:sz w:val="28"/>
          <w:szCs w:val="28"/>
        </w:rPr>
        <w:t xml:space="preserve">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Кредитно-денежная политика государства направлена на изменение учетной ставки (ставки рефинансирования) с целью воздействия на уровень инвестиций при помощи банковской ставки процента.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Кейнс рассматривал модель стимулирующей политики (снижение учетной ставки ради роста инвестиций).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Государство должно увеличивать свои расходы. Дефицит государственного бюджета, возникающий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такой политики, может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покрываться кредитно-денежной эмиссией. Небольшие темпы инфляции, сопровождающие дефицитную политику, являются стимулирующими.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теории монетаризма в 60-70-х годах XX столетия происходило в рамках возрождения традиций неоклассического направления в экономической и количественной теории денег. Специфика монетаризма по сравнению с традиционными неоклассическими идеями состоит в том, что монетаризм особое значение придает денежно-кредитной сфере: деньги - главная движущая сила рыночной экономики. Монетаристы предлагают свести к минимуму государственное регулирование экономики, ограничив его денежно-кредитным регулированием, осуществляемым совместно с центральным банком. Методология монетаризма заключается в том, что рынки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в достаточной мере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конкурентные, рыночная система без особого вмешательства государства способна обеспечить значительную макроэкономическую стабильность. Инструментами саморегулирования экономики являются гибкие цены, заработная плата и ставки процента.  Для стимулирования деловой активности, стабилизации экономической системы необходимо поддерживать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устойчивый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обоснованный уровень инфляционных ожиданий. В этом случае уровень безработицы будет независим от уровня инфляции, поскольку «безработица связана не с инфляцией как таковой, а с неожидаемой инфляцией; устойчивого компромисса между инфляцией и безработицей не существует». Таким образом, приоритет принадлежит регулируемому росту денежной массы;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bCs/>
          <w:sz w:val="28"/>
          <w:szCs w:val="28"/>
          <w:lang w:eastAsia="ru-RU"/>
        </w:rPr>
        <w:t>1.2.Развитие экономики России и денежно-кредитной политики в 2014 году.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2014 году реализация Банком Рос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сии денежно-кредитной политики осуществлялась в нестандартных условиях. 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условиях повышения геополитической напряженности, масштабного оттока капита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ла с российского финансового рынка и ухуд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шения ожиданий экономических агентов от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носительно перспектив развития экономики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произошло падение инвестиционного спро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са, которое наложилось на структурное за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медление экономического роста, начав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шееся около двух лет назад. В результате состояние российской экономики в 2014 го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ду существенно отклонилось от сценария, описанного в качестве базового в «Основ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ных направлениях единой государственной денежно-кредитной политики на 2014 год и период 2015 и 2016 годов». Так, вместо ожидаемого ранее темпа роста ВВП на уров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не около 2% в 2014 году, Банк России про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гнозирует замедление экономического роста в указанный период до 0,4%.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Одновременно в силу специфики дей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ствия внешних факторов на поведение и ожидания субъектов экономики инфляци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онные риски существенно возросли. Курсо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вая динамика (постепенное снижение курса национальной валюты в конце 2013 - нача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 2014 года на фоне изменений в полити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ке Федеральной резервной системы (ФРС) США и резкое ослабление рубля в марте 2014 года в условиях роста геополитической напряженности) стала фактором ускорения роста потребительских цен, нарастания ин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фляционных и девальвационных ожиданий экономических агентов. Годовая инфляция повысилась до 7,5% в июле с 6,1% в январе 2014 года. Введенные в августе ограничения на импорт ряда продовольственных товаров из-за рубежа привели к ускорению роста по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требительских цен. Вместе с предполагае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мым воздействием на инфляционные ожи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дания обсуждаемых изменений в тарифной и налоговой политике это может привести к сохранению высокой инфляции до конца 2014 года.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этих условиях Банк России предпринял решительные действия. В целях ограниче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ния инфляционных рисков была существен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 повышена ключевая ставка. Наряду с вре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менным ужесточением механизма валютных интервенций это позволило стабилизировать ситуацию на валютном рынке и предотвра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тить реализацию значительных рисков для финансовой стабильности. Кроме того, на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метившийся рост процентных ставок по руб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левым вкладам банков способствовал вос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становлению притока средств в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депозиты в национальной валюте и снижению долла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ризации банковских вкладов.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Проводимая  Банком России умеренно жесткая денежно-кредитная политика соз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дает предпосылки для стабилизации курсо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вых и инфляционных ожиданий, восстанов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ления склонности населения к сбережениям до нормальных уровней и направлена на до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стижение среднесрочной цели по инфляции на уровне 4%.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январе-августе 2014 года в мировой экономике продолжалось плавное восста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новление на фоне невысокого, хотя и посте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пенно растущего инфляционного давления. При этом ситуация оставалась неоднород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ной: темпы роста ВВП и инфляции в разных странах демонстрировали существенно раз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личную динамику.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Кроме того, в 1 квартале ряд негатив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ных факторов (прежде всего неблагопри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ятные погодные условия в США и опасения участников рынка насчет возможного дол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гового кризиса в Китае, меры властей стра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 по сдерживанию роста закредитованности и цен на недвижимость) способствовали значительному снижению темпов роста ВВП во многих странах. Во 2 квартале темпы эко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номического роста в США и Китае повыси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лись. Однако замедление мировой эконо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мики в январе-марте оказалось достаточно сильным для того, чтобы прогнозы между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народных организаций относительно темпов роста мировой экономики в целом в 2014 году были снижены. В частности, прогноз Международного валютного фонда (МВФ) на 2014 год был снижен с 3,7 до 3,4%. Кро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ме того, экономика еврозоны продолжала замедляться во </w:t>
      </w:r>
      <w:r w:rsidRPr="00C61659">
        <w:rPr>
          <w:rFonts w:ascii="Times New Roman" w:eastAsia="Times New Roman" w:hAnsi="Times New Roman"/>
          <w:sz w:val="28"/>
          <w:szCs w:val="28"/>
          <w:lang w:eastAsia="ru-RU" w:bidi="en-US"/>
        </w:rPr>
        <w:t>II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квартале, а текущие инди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каторы деловой активности не позволяют го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ворить о ее ускорении в </w:t>
      </w:r>
      <w:r w:rsidR="00C227E4"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3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квартале.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Несмотря на постепенный рост инфляци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онного давления в январе-августе 2014 го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да, уровень инфляции в странах - торговых партнерах России оставался низким по срав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нению со средними историческими значе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ниями вследствие слабой экономической активности. Годовая инфляция в странах - членах Организации экономического со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трудничества и развития (ОЭСР) в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июле со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ставила 1,9%, что было выше, чем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начале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года (1,7%). Базовая инфляция сохраняет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ся на уровне 1,9%. Однако общая стабиль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ность цен маскировала расходящиеся трен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ды в разных странах.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Темпы прироста цен в США в течение рассматриваемого периода ускорялись, к 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густу темп инфляции за год достиг 1,7% (го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дом ранее - 1,5%). В еврозоне инфляция, напротив, продолжала нисходящий тренд, оставаясь на уровне значительно ниже целе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вого ориентира Европейского центрального банка (ЕЦБ). Так, к августу годовой прирост потребительских цен составил, по предвари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тельной оценке, 0,4% (годом ранее - 1,3%). В этих условиях ЕЦБ дважды за рассматрива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емый период, 11 июня и 10 сентября, сни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зил процентные ставки, а также ввел допол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нительные стимулирующие меры.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Финансовые условия в январе-августе 2014 года для большинства развивающих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ся экономик смягчались. Долгосрочные про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центные ставки и показатели ожидаемой </w:t>
      </w:r>
      <w:r w:rsidR="00C227E4"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изменчивости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цен в странах с развитой эко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номикой снизились, индексы рынка акций выросли, несколько раз обновив историче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ский максимум. В этих условиях приток ка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питала на рынки развивающихся экономик восстанавливался, несмотря на то, что они демонстрировали слабую экономическую активность, валюты большинства развиваю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щихся стран с февраля укреплялись относи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тельно доллара США.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Сохранение мягкой денежно-кредитной политики ФРС США и дополнительные сти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мулирующие меры, введенные ЕЦБ, поддер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живают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низкий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уровень доходности на рын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ках заемного капитала в развитых странах.</w:t>
      </w:r>
    </w:p>
    <w:p w:rsidR="000F317E" w:rsidRPr="00C61659" w:rsidRDefault="000F317E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2014 году наблюдались более низкие темпы экономического роста, чем предпо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лагалось в рамках базового сценария в «Ос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новных направлениях единой государствен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ной денежно-кредитной политики на 2014 год и период 2015 и 2016 годов» (2%). В </w:t>
      </w:r>
      <w:r w:rsidR="00C227E4"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1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</w:t>
      </w:r>
      <w:r w:rsidR="00C227E4"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кварталах 2014 года темпы прироста ВВП составили 0,9 и 0,8% к соответствующе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му периоду предыдущего года соответствен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но. Усиление неопределенности перспектив развития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российской экономики привело к сокращению инвестиционного спроса при существенном увеличении оттока капитала с внутреннего финансового рынка.</w:t>
      </w:r>
    </w:p>
    <w:p w:rsidR="00C227E4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Объем вложений в основной капи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тал в январе-августе 2014 года сократился по сравнению с соответствующим периодом 2013 года на 2,5% (в январе-августе 2013 года - на 0,4%). Вклад валового накопления в прирост ВВП в первой половине 2014 года, по оценкам, был отрицательным. Сжатие ин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вестиционного спроса определило уменьше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ние объемов производства в строительстве.</w:t>
      </w:r>
    </w:p>
    <w:p w:rsidR="00C227E4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2014 году Банк России осуществлял 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ализацию денежно-кредитной политики по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средством управления краткосрочными став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ками денежного рынка: на протяжении всего периода однодневные ставки межбанков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ского кредитования преимущественно фор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мировались в рамках процентного коридора Банка России (ключевая ставка ±1 процент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ный пункт). В целом динамика ставок де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нежного рынка определялась, прежде всего, изменениями ставок по операциям Банка России.</w:t>
      </w:r>
    </w:p>
    <w:p w:rsidR="000F317E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90825" cy="1383665"/>
            <wp:effectExtent l="19050" t="0" r="9525" b="0"/>
            <wp:docPr id="1" name="Рисунок 1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7E4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Рис. 1- Динамика ставок и доходности на отдельных сегментах российского финансового рынка.</w:t>
      </w:r>
    </w:p>
    <w:p w:rsidR="00C227E4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:rsidR="00C227E4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Снижение темпов роста кредитования экономики, являющегося основным источ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ником формирования денежной массы, ве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ло к замедлению роста денежных агрегатов. Наряду с указанным фактором этому способ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ствовало также изменение сальдо операций с внешним сектором, выразившееся в со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кращении чистых иностранных активов Бан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ка России вследствие проведения валютных интервенций в январе-апреле 2014 года, не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компенсируемое ростом чистых иностран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ных активов кредитных организаций. Кро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ме того, в 2014 году остатки на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бюджетных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счетах в Банке России росли быстрее, чем в предшествующем году, вследствие чего чи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стые требования банковской системы к рас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ширенному правительству уменьшались.</w:t>
      </w:r>
    </w:p>
    <w:p w:rsidR="00C227E4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результате по состоянию на 1.08.2014 годовой темп прироста широкой денежной массы (агрегат М2Х) составил 9,0% против 15,7% на 1.01.2014 и 17,5% на 1.08.2013.</w:t>
      </w:r>
    </w:p>
    <w:p w:rsidR="000F317E" w:rsidRPr="00C61659" w:rsidRDefault="00C227E4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Замедление темпов роста денежной мас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сы сопровождалось изменением ее струк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туры. В условиях экономической неопреде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ленности и номинального ослабления рубля в начале 2014 года отмечался некоторый от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ток средств вкладчиков из банков в сочета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нии с перетоком средств вкладчиков из руб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левых депозитов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валютные.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результате долларизация депозитов населения, входя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щих в денежную массу, возросла с 19,4% на 1.01.2014 до 23,8% на 1.04.2014, дол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ларизация депозитов организаций за тот же период увеличилась с 22,2 до 28,0%. Начи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ная с апреля, восстановился приток средств вкладчиков в российские банки, причем прирост средств на рублевых депозитах опе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режал прирост средств на валютных, что спо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собствовало постепенному снижению уровня долларизации депозитов.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этих условиях го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довой прирост агрегата М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снизился с 14,6% на 1.01.2014 до 6,2% на 1.08.2014, достиг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нув минимального значения с 2010 года.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4B00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834B00">
        <w:rPr>
          <w:rFonts w:ascii="Times New Roman" w:eastAsia="Times New Roman" w:hAnsi="Times New Roman"/>
          <w:sz w:val="28"/>
          <w:szCs w:val="28"/>
          <w:lang w:eastAsia="ru-RU"/>
        </w:rPr>
        <w:t>Макроэкономическое развитие</w:t>
      </w:r>
    </w:p>
    <w:p w:rsidR="00C61659" w:rsidRDefault="00834B00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 </w:t>
      </w:r>
      <w:r w:rsidR="00C61659" w:rsidRPr="00C61659">
        <w:rPr>
          <w:rFonts w:ascii="Times New Roman" w:eastAsia="Times New Roman" w:hAnsi="Times New Roman"/>
          <w:sz w:val="28"/>
          <w:szCs w:val="28"/>
          <w:lang w:eastAsia="ru-RU"/>
        </w:rPr>
        <w:t>Варианты макроэкономического развития  на период 2015-2017 г.г., и реализация денежно – кредитной политики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Условия развития российской экономи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ки на трехлетний период будут характеризоваться высокой неопределенно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стью. Прежде всего, она связана с внешними факторами, к которым относится возможное изменение геополитической ситуации, нео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пределенность относительно продолжитель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ности действия взаимных санкций и мас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штаба их влияния на российскую экономику. Помимо данного специфического фактора, существенная неопределенность сохраняется в отношении динамики традиционно значи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мых для России цен на нефть и другие энер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горесурсы, а также дальнейшей политики де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нежных властей крупнейших развитых стран, определяющей внешние финансовые усло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вия для России.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Перспективы экономического роста в среднесрочном периоде будут опреде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ляться скоростью и последовательностью не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обходимых структурных преобразований и способностью экономики к преодолению внутренних инфраструктурных и ресурсных ограничений, связанных, в том числе с небла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гоприятными демографическими тенденци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ями. Важный вклад в обеспечение устойчи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вого роста должно внести восстановление инвестиционной активности, которое соз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даст условия для повышения производитель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ности экономики и увеличения эффективно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сти на уровне отдельных отраслей и рынков.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Ключевым условием для преодоления спада инвестиций является снижение экономиче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ской неопределенности и улучшение дело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вого климата.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В этих условиях задачей Банка России является обеспечение ценовой и финансо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вой стабильности, что будет способствовать формированию условий для экономическо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го роста. В рамках реализации режима тар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гетирования инфляции Банк России будет стремиться обеспечить создание четких ори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ентиров для экономики относительно уров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ня инфляции. Решения по денежно-кредит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ной политике, направленные на достижение цели по 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lastRenderedPageBreak/>
        <w:t>инфляции, будут приниматься на ос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нове оценки текущего состояния экономики и среднесрочного прогноза ее дальнейше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го развития с учетом существующих внешних и внутренних рисков, которые могут оказать значительное влияние на финансовую систе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му и экономику в целом.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Важным каналом сглаживания воздей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ствия негативных внешних тенденций на вну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треннюю экономическую активность станет возможность изменения курса рубля в со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ответствии с динамикой фундаментальных факторов курсообразования в условиях ре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жима плавающего валютного курса.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Банк России рассмотрел три варианта развития российской экономики в пери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од </w:t>
      </w:r>
      <w:r w:rsidRPr="00C61659">
        <w:rPr>
          <w:rFonts w:ascii="Times New Roman" w:hAnsi="Times New Roman"/>
          <w:color w:val="000000"/>
          <w:spacing w:val="30"/>
          <w:sz w:val="28"/>
          <w:szCs w:val="28"/>
          <w:shd w:val="clear" w:color="auto" w:fill="FFFFFF"/>
          <w:lang w:eastAsia="ru-RU" w:bidi="ru-RU"/>
        </w:rPr>
        <w:t>2015-2017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годов, формирующие различные условия проведе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ния денежно-кредитной политики. В сцена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риях заложены различные предположения о развитии внешнеэкономической ситуации, в том числе с учетом возможных изменений параметров действия введенных в </w:t>
      </w:r>
      <w:r w:rsidRPr="00C61659">
        <w:rPr>
          <w:rFonts w:ascii="Times New Roman" w:hAnsi="Times New Roman"/>
          <w:color w:val="000000"/>
          <w:spacing w:val="30"/>
          <w:sz w:val="28"/>
          <w:szCs w:val="28"/>
          <w:shd w:val="clear" w:color="auto" w:fill="FFFFFF"/>
          <w:lang w:eastAsia="ru-RU" w:bidi="ru-RU"/>
        </w:rPr>
        <w:t>2014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го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ду обоюдных санкций, внешних финансо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вых условий, а также цен на мировых рынках энергоносителей, определяющих динамику условий торговли. В части внутренних фак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торов все варианты исходят из предпосылки об инерционном характере роста российской экономики в ближайшие три года. Вместе с тем предпосылки относительно принима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емых правительством мер в области налого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вой политики различаются.</w:t>
      </w:r>
    </w:p>
    <w:p w:rsidR="000F317E" w:rsidRPr="00C61659" w:rsidRDefault="00C61659" w:rsidP="00C6165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Вариант 1, рассматриваемый в качестве базового, исходит из предпосылки о посте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пенном восстановлении мировой экономи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ки, незначительном снижении цен на нефть, а также разрешении геополитических про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блем и снятии в течение </w:t>
      </w:r>
      <w:r w:rsidRPr="00C61659">
        <w:rPr>
          <w:rFonts w:ascii="Times New Roman" w:hAnsi="Times New Roman"/>
          <w:color w:val="000000"/>
          <w:spacing w:val="30"/>
          <w:sz w:val="28"/>
          <w:szCs w:val="28"/>
          <w:shd w:val="clear" w:color="auto" w:fill="FFFFFF"/>
          <w:lang w:eastAsia="ru-RU" w:bidi="ru-RU"/>
        </w:rPr>
        <w:t>2015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года большей части введенных в </w:t>
      </w:r>
      <w:r w:rsidRPr="00C61659">
        <w:rPr>
          <w:rFonts w:ascii="Times New Roman" w:hAnsi="Times New Roman"/>
          <w:color w:val="000000"/>
          <w:spacing w:val="30"/>
          <w:sz w:val="28"/>
          <w:szCs w:val="28"/>
          <w:shd w:val="clear" w:color="auto" w:fill="FFFFFF"/>
          <w:lang w:eastAsia="ru-RU" w:bidi="ru-RU"/>
        </w:rPr>
        <w:t>2014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году взаимных санк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ций. Данный вариант не предполагает по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вышения налоговой нагрузки на экономи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ку. Отличие варианта 2 от варианта 1 состоит в предположении об ухудшении геополити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ческой обстановки, более длительном дей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ствии санкций, а также повышении на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логовой нагрузки на экономику. Вариант 3 предполагает наиболее негативные с точ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ки зрения реализации денежно-кредитной политики 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lastRenderedPageBreak/>
        <w:t>внешние и внутренние условия, включая стагнацию внешнего спроса и зна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чительное ухудшение условий торговли.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Банк России определяет параметры де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нежно-кредитной </w:t>
      </w:r>
      <w:proofErr w:type="gramStart"/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политики с учетом необ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ходимости обеспечения замедления инфля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ции</w:t>
      </w:r>
      <w:proofErr w:type="gramEnd"/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до целевого уровня без создания рисков для устойчивости экономического роста. При принятии решений Банк России ориенти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руется на широкий спектр показателей, ха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рактеризующих инфляционное давление в экономике, прежде всего со стороны эконо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мической активности и состояния денежно-кредитной сферы.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Во всех рассмотренных вариантах воз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можна также реализация дополнительных рисков, которые могут повлиять на инфляци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онную динамику и условия проведения де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нежно-кредитной политики.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В частности, рисками для достижения це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ли по инфляции могут являться скачки цен на отдельные продовольственные товары, традиционно отличающиеся высоким изменением цен. Их краткосрочные изменения могут определяться факторами со стороны предложения на внутреннем или мировом рынке в зависимости от результатов сель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скохозяйственного года. Значительное влияние на ценовую динамику также могут оказать возможные изменения государственной тарифной и на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логовой политики.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Ускорение годовых темпов инфляции под действием указанных выше факторов, как правило, имеет краткосрочный харак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тер, то есть по мере его исчерпания на го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ризонте до одного - полутора лет происхо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дит соответствующее замедление инфляции. В этом случае уровень инфляции возвраща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ется на траекторию, соответствующую до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стижению целей в среднесрочном периоде, без дополнительного изменения направлен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ности денежно-кредитной политики. Вме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сте с тем важно учитывать влияние подобных факторов на динамику широкого круга це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новых показателей и инфляционные ожида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ния, в случае повышения которых ускорение инфляции может оказаться более продол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жительным и устойчивым.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lastRenderedPageBreak/>
        <w:t xml:space="preserve"> В случае действия указанных разовых факторов Банк России будет принимать решение о целесообраз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ности изменения направленности денежно-кредитной политики с учетом рисков для достижения среднесрочных целей по инфля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ции, принимая во внимание нежелатель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ность усиления волатильности финансовых и экономических показателей.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Существенным риском, реализация ко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торого может значительно повлиять на эко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номическую ситуацию и условия реализа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ции денежно-кредитной политики, может быть более глубокое снижение цен на нефть. В этом случае будет происходить, с одной сто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роны, ускорение темпов ослабления рубля, а с другой стороны - существенное снижение экономической активности, вплоть до отри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цательных темпов роста экономики. В случае если сформируется долгосрочная тенденция к снижению цен на нефть, замедление роста отечественной экономики будет носить, в том числе и структурный характер. В этих усло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виях стимулирование экономической актив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ности мерами денежно-кредитной политики может оказаться непродуктивным.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Другим фактором, который может усугу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биться с учетом расширения действия фор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мальных и неформальных ограничений доступа российского корпоративного сек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тора к внешним финансовым рынкам ли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бо быть расширенным следствием реализа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ции указанного выше сценария падения цен на нефть, является усиление оттока капитала из российской экономики. Форсированное погашение внешнего долга компаний и бан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ков и сохранение оттока капитала частно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го сектора в ближайшие годы на уровне, со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поставимом с </w:t>
      </w:r>
      <w:r w:rsidRPr="00C61659">
        <w:rPr>
          <w:rFonts w:ascii="Times New Roman" w:hAnsi="Times New Roman"/>
          <w:color w:val="000000"/>
          <w:spacing w:val="30"/>
          <w:sz w:val="28"/>
          <w:szCs w:val="28"/>
          <w:shd w:val="clear" w:color="auto" w:fill="FFFFFF"/>
          <w:lang w:eastAsia="ru-RU" w:bidi="ru-RU"/>
        </w:rPr>
        <w:t>2014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годом, приведут к более выраженному снижению экономической ак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тивности, в результате падения инвестици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онного и потребительского спроса в услови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ях сокращения прибыли и других доходов. Одновременно будет наблюдаться усиление рисков для ценовой и финансовой стабиль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ности, в первую очередь из-за ослабления рубля и ухудшения ожиданий. При этом ди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намика обменного курса рубля может харак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теризоваться уменьшением чувствительно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 xml:space="preserve">сти к изменениям внутренних 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lastRenderedPageBreak/>
        <w:t>процентных ставок, в том числе ключевой ставки Банка России, что в краткосрочном периоде может обусловить снижение действенности денеж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но-кредитной политики по данному каналу и препятствовать достижению целей по ин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фляции.</w:t>
      </w:r>
    </w:p>
    <w:p w:rsidR="00C61659" w:rsidRPr="00C61659" w:rsidRDefault="00C61659" w:rsidP="00C6165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В указанных выше случаях денежно-кре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дитная политика Банка России будет направ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лена на обеспечение ценовой и финансовой стабильности. В целях обеспечения устойчи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вости финансовой системы, сохранения до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верия к ней и недопущения развития небла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гоприятных вторичных эффектов изменения внешних условий, в том числе через ожида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ния субъектов экономики, Банк России бу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дет готов использовать широкий спектр ин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струментов, включая возможные операции на внутреннем валютном рынке. Направлен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ность денежно-кредитной политики будет определяться исходя из оценки характера за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медления роста экономики, состояния фи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нансовой системы, ожидаемого эффекта пе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реноса динамики валютного курса и влияния снижения деловой активности на динамику потребительских цен. При этом важным фак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тором будет являться изменение инфляци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онных ожиданий. Если следование политике инфляционного таргетирования повысит до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верие к способности Банка России обеспечи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вать достижение целевых ориентиров, при прочих равных условиях будет возможным поддержание более мягкой направленности денежно-кредитной политики.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  <w:lang w:eastAsia="ru-RU" w:bidi="ru-RU"/>
        </w:rPr>
        <w:t>1</w:t>
      </w:r>
    </w:p>
    <w:p w:rsidR="00C61659" w:rsidRDefault="00C61659" w:rsidP="00C6165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t>Банк России на регулярной основе будет осуществлять оценку и уточнение параметров прогноза макроэкономического развития, которые могут оказать влияние на решения в области реализации денежно-кредитной политики для достижения установленных целевых ориентиров. Соответствующая ин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формация будет оперативно представлена в публикуемом ежеквартально Докладе о де</w:t>
      </w:r>
      <w:r w:rsidRPr="00C6165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  <w:softHyphen/>
        <w:t>нежно-кредитной политике Банка России.</w:t>
      </w:r>
    </w:p>
    <w:p w:rsidR="00834B00" w:rsidRDefault="00834B00" w:rsidP="00C6165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834B00" w:rsidRDefault="00834B00" w:rsidP="00C6165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834B00" w:rsidRPr="00C61659" w:rsidRDefault="00834B00" w:rsidP="00C6165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</w:t>
      </w:r>
      <w:r w:rsidR="00834B00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. Политика валютного курса 2014 года.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в январе-августе 2014 года продолжил осуществлять курсовую политику в рамках режима управляемого плавающе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 валютного курса, не устанавливая фикси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рованные ограничения на уровень курса на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циональной валюты или целевые значения его изменения. Как и в 2013 году, Банк Рос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сии использовал в качестве операционного ориентира рублевую стоимость бивалютной корзины (0,55 доллара США и 0,45 евро), диапазон допустимых значений стоимости, которой задавался плавающим операцион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ным интервалом. До 18.08.2014 ширина интервала составляла 7 рублей; 18.08.2014 Банк России осуществил симметричное рас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ширение операционного интервала до 9 руб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лей.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Механизм курсовой политики предпола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гал возможность осуществления покупок или продаж иностранной валюты при нахожде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нии стоимости бивалютной корзины в опе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рационном интервале, причем внутри него выделялся «нейтральный» диапазон, в кото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ром валютные интервенции, направленные на сглаживание волатильности курса рубля, не совершались. Корректировка границ опе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рационного интервала осуществлялась автоматически, при достижении установленной величины накопленным объемом операций Банка России, в расчет которого не включа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лась величина целевых покупок и продаж иностранной валюты.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условиях преобладания тенденции к ослаблению рубля по отношению к основ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ным мировым валютам Банк России осу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ществлял в 2014 году значительные объе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мы валютных интервенций, направленных на сглаживание колебаний курса националь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ной валюты. Ограничение отдельными странами до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ступа ряда российских организаций к внеш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ним финансовым рынкам стало дополнитель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ным фактором увеличения напряженности на внутреннем валютном рынке и способ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ствовало ухудшению возможностей банковского сектора по управлению краткосрочной валютной ликвидностью.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Банк России для смягчения указанных негативных воздей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ствий с 17 сентября 2014 года ввел операции «валютный своп» по продаже долларов США за рубли с их последующей покупкой. Новый инструмент предполагает заключение Бан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ком России сделок «валютный своп» на срок 1 день с расчетами «сегодня/завтра» и «зав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тра/послезавтра» в соответствующем сег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менте торгов ОАО «Московская биржа». Учи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тывая вспомогательный характер указанных операций, Банк России лимитировал объемы сделок с расчетами «сегодня/завтра» и «зав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тра/послезавтра» величинами 1 и 2 млрд. долларов США соответственно. Процентные ставки по данным операциям были установ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лены на фиксированном уровне 7,00% </w:t>
      </w:r>
      <w:proofErr w:type="gramStart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го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довых</w:t>
      </w:r>
      <w:proofErr w:type="gramEnd"/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по рублевой части и 1,50% годовых по валютной части. Предоставление Банком России иностранной валюты носит времен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ный характер и направлено на уменьшение рисков нарушения стабильного функциони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рования внутреннего финансового рынка.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По мере уменьшения волатильности на внутреннем валютном рынке Банк Рос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сии продолжил постепенное повышение гибкости курсообразования рубля,  снизив объем интер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венций, направленных на сглаживание ко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лебаний курса рубля, во внутренних диапа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зонах операционного интервала суммарно на 200 млн. долларов США.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В результате кор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ректировок внутри плавающего операци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онного интервала ширина диапазона, в ко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тором Банк России не совершает валютные интервенции, направленные на сглажива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ние волатильности обменного курса руб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ля, увеличилась с 3,1 до 5,1 рубля (с уче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том «технического» диапазона). Кроме того, Банк России уменьшил объем накопленных интервенций, приводящих к сдвигу границ операционного интерва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ла на 5 копеек, до 1 млрд. долларов США. С 18.08.2014 Банк России произвел симме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тричное расширение плавающего операци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онного интервала с 7 до 9 рублей, установил объемы валютных интервенций, направлен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ных на сглаживание колебаний курса рубля, во внутренних диапазонах операционного интервала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равными 0 долларов США и сни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зил объем накопленных валютных интервен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ций до 350 млн. долларов США. 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      В результате перечисленных корректировок Банк России дальше не совершает валютные интервен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ции, направленные на сглаживание коле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баний курса национальной валюты, при на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хождении стоимости бивалютной корзины внутри операционного интервала. Как и пре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жде, при достижении стоимостью бивалют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ной корзины границ операционного интер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вала Банк России осуществляет интервенции без ограничения по объему до тех пор, пока стоимость бивалютной корзины не окажет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ся внутри плавающего операционного ин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тервала в результате изменения курсов руб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ля к доллару США и евро или сдвига границ операционного интервала согласно правилу.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r w:rsidR="00834B00">
        <w:rPr>
          <w:rFonts w:ascii="Times New Roman" w:eastAsia="Times New Roman" w:hAnsi="Times New Roman"/>
          <w:sz w:val="28"/>
          <w:szCs w:val="28"/>
          <w:lang w:eastAsia="ru-RU" w:bidi="ru-RU"/>
        </w:rPr>
        <w:t>.3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  <w:r w:rsidRPr="00C61659">
        <w:rPr>
          <w:rFonts w:ascii="Times New Roman" w:hAnsi="Times New Roman"/>
          <w:sz w:val="28"/>
          <w:szCs w:val="28"/>
        </w:rPr>
        <w:t xml:space="preserve">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Инструменты денежно-кредитной политики в 2015-2017 годах.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Банк России устанавливает ключевую ставку на основе среднесрочного макро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экономического прогноза и оценки рисков для достижения цели по инфляции. Ключе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вая ставка определяет направленность де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нежно-кредитной политики и выступает в ка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честве ориентира для процентных ставок «овернайт» денежного рынка. Банк России стремится сблизить ставки денежного рын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 и уровень ключевой ставки, устанавливая параметры своих операций. Решения Бан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 России в области применения и развития инструментов напрямую не зависят от вари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анта сценарных условий, исходя из которых Банк России устанавливает ключевую ставку, и принимаются на основе анализа и прогно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за состояния ликвидности банковского секто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ра, а также особенностей функционирования российского денежного рынка.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2015-2017 годах ожидается увели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чение структурного дефицита ликвидности банковского сектора на 0,3-0,8 трлн. руб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лей ежегодно. Потребность в рефинанси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ровании будет формироваться, прежде всего, за счет роста наличных средств в обращении в среднем в размере 0,3-0,5 трлн. рублей.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Банк России продолжит реализацию мер по увеличению потенциала рефинансиро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вания в рамках операций РЕПО. Расшире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ние Ломбардного списка будет происходить за счет включения в него новых выпусков ценных бумаг, соответствующих установлен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ным требованиям. Наряду с этим меры Бан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 России в области развития финансового рынка будут способствовать увеличению его емкости. В частности, Банк России в рамках своей компетенции будет содействовать раз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витию механизмов секьюритизации, которое должно происходить при активном участии кредитных организаций.</w:t>
      </w:r>
      <w:r w:rsidRPr="00C61659">
        <w:rPr>
          <w:rFonts w:ascii="Times New Roman" w:eastAsia="Times New Roman" w:hAnsi="Times New Roman"/>
          <w:sz w:val="28"/>
          <w:szCs w:val="28"/>
          <w:vertAlign w:val="superscript"/>
          <w:lang w:eastAsia="ru-RU" w:bidi="ru-RU"/>
        </w:rPr>
        <w:t>1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условиях прогнозируемого увеличе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ния структурного дефицита ликвидности в 2015-2017 годах направления развития системы инструментов денежно-кредитной политики будут определяться двумя ключе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выми факторами. С одной стороны, потреб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ность банков в рефинансировании с высо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кой вероятностью будет расти быстрее, чем объем ценных бумаг в их портфелях. В це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лях снижения нагрузки на рыночное обеспе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чение Банк России продолжит наращивать объемы предоставления ликвидности с ис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пользованием других видов активов.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С дру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гой стороны, рост задолженности кредитных организаций по операциям рефинансирова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ния может привести к дальнейшему увели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чению разрыва между срочностью их акти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вов и пассивов. В этих условиях Банк России будет стремиться ограничить такое влияние структурного дефицита ликвидности на ба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лансы кредитных организаций.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продолжит проведение опе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раций рефинансирования на длительные сроки под залог нерыночных активов, пору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чительств, золота. Применение данных ин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струментов позволит поддерживать задол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женность по основным операциям на уровне, при котором Банк России может наиболее эффективно управлять ставками денежно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 рынка. Кроме того, проведение указанных операций рефинансирования позволит 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шить проблему, связанную с воздействием структурного дефицита ликвидности на сроч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ность пассивов кредитных организаций.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Основным инструментом рефинанси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рования на нестандартные сроки останутся ежемесячные аукционы по предоставлению кредитов на срок 3 месяца по плавающей процентной ставке, привязанной к ключевой ставке. При необходимости Банк России мо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жет также проводить аналогичные операции на срок 12 месяцев. Максимальные объемы предоставления средств на кредитных аукци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онах будут устанавливаться таким образом, чтобы по возможности не допускать резких колебаний задолженности банков по дан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ным операциям. В качестве вспомогательно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 инструмента Банк России будет применять операции постоянного действия на сроки от 2 до 549 дней под залог нерыночных ак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тивов, поручительств, золота. Во взаимо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действии с банковским сообществом Банк России продолжит совершенствовать проце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дуры проведения операций на длительные сроки.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планирует дополнить 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стему инструментов денежно-кредит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ной политики операциями своп с золотом с использованием металлических счетов на сроки от 1 до 7 дней на аукционной осно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ве и на срок 1 день по фиксированной про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центной ставке. В настоящее время переда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ча золота в залог по обеспеченным кредитам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Банка России предполагает его физическую поставку. Проведение операций своп с золо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том с применением биржевых технологий бу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дет способствовать повышению удобства ис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пользования данного вида обеспечения для кредитных организаций и увеличения потен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циального объема рефинансирования.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также рассмотрит воз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можность введения операций «валют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ный своп» на аукционной основе на сроки от 1 до 7 дней, которые будут использоваться наряду с операциями РЕПО на аналогичные сроки для управления краткосрочными став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ками денежного рынка.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случае резкого роста напряженности на денежном рынке и появления угроз для стабильности его функционирования Банк России не исключает возможности использо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вания кредитов без обеспечения. Банк Рос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сии будет применять данный инструмент, только если потенциал рефинансирования с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помощью стандартных инструментов ока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жется исчерпанным. При возникновении по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требности в необеспеченных операциях они будут носить нерегулярный характер, и про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водиться лишь до тех пор, пока банковский сектор не нарастит достаточный объем акти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вов, принимаемых Банком России в качестве обеспечения. В рамках базового варианта макроэкономического прогноза Банк России оценивает вероятность применения данного инструмента в предстоящий трехлетний пе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риод как минимальную.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Наряду с операциями рефинансирова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ния и абсорбирования ликвидности важным элементом системы управления ставками де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нежного рынка являются обязательные 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зервные требования. В 2015 году Банк Рос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сии синхронизировать график периодов усреднения обязательных резер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вов с графиком проведения основных аук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ционных операций. Кроме того, Банк России продолжит постепенное повышение коэффи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циента усреднения обязательных резервов.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Это позволит банкам эффективнее адапти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роваться к колебаниям уровня ликвидности, в том числе посредством перераспределе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ния средств на межбанковском рынке, и бу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дет способствовать снижению волатильности ставок денежного рынка.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Одновременно с развитием системы ин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струментов денежно-кредитной полити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ки Банк России продолжит реализацию мер в смежных областях в целях совершенство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вания операционной процедуры.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продолжит работу по повы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шению степени взаимной согласованности параметров проведения операций денежно-кредитной политики, работы платежной 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стемы и финансовых рынков. При этом Банк России будет уделять существенное внима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ние разработке комплекса мер по совершен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ствованию платежной инфраструктуры, в том числе синхронизации работы платежной си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стемы и операций Банка России. Это будет способствовать расширению возможностей кредитных организаций по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урегулированию внутридневного дисбаланса потоков, а так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же уменьшению воздействия крупных пла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тежей на уровень ликвидности банковского сектора.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В целях сглаживания влияния на ликвид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ность банковского сектора сезонных тенден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ций, обусловленных главным образом не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равномерностью расходования бюджетных средств, Банк России продолжит сотрудни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чество с Федеральным казначейством по во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просам управления остатками бюджетных средств на счетах в Банке России. Проведе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ние Федеральным казначейством аукцио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нов по размещению временно свободных средств на депозиты кредитных организа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ций будет способствовать повышению эф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фективности реализации денежно-кре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дитной и бюджетно-налоговой политики. Данная практика хорошо зарекомендовала себя в последние годы.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Наряду с инструментами денежно-кре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дитной политики, воздействующими на эко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номику на агрегированном уровне, Банк Рос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сии продолжит использовать специальные программы рефинансирования для стиму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лирования отдельных сегментов кредитно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 рынка, развитие которых сдерживается структурными факторами. Банк России будет на постоянной основе осуществлять монито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ринг результатов реализации указанных про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грамм и в случае необходимости корректи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ровать их параметры.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также введет новый меха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низм предоставления ликвидности для банков, которым будут установлены нормативы краткосрочной лик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видности в соответствии с требованиями Ба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зеля </w:t>
      </w:r>
      <w:r w:rsidRPr="00C61659">
        <w:rPr>
          <w:rFonts w:ascii="Times New Roman" w:eastAsia="Times New Roman" w:hAnsi="Times New Roman"/>
          <w:sz w:val="28"/>
          <w:szCs w:val="28"/>
          <w:lang w:eastAsia="ru-RU" w:bidi="en-US"/>
        </w:rPr>
        <w:t>III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C61659" w:rsidRPr="00C61659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t>Банк России придает большое значе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ние разъяснению кредитным организаци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ям и другим участникам финансового рын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ка действующей операционной процедуры, а также особенностей применения инстру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ментов денежно-кредитной политики. При этом важную роль будет играть наличие об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ратной связи с участниками рынка и воз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можность обсуждения с ними принимаемых Банком России решений. Повышение уров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ня понимания и доверия к проводимой по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литике будет способствовать формирова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нию стабильных ожиданий относительно процентных ставок межбанковского рынка, уменьшению их волатильности, а также улуч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 xml:space="preserve">шению переноса 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изменений в уровне ста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вок по операциям Банка России на другие процентные ставки в экономике, что являет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ся важнейшим элементом трансмиссионно</w:t>
      </w:r>
      <w:r w:rsidRPr="00C61659">
        <w:rPr>
          <w:rFonts w:ascii="Times New Roman" w:eastAsia="Times New Roman" w:hAnsi="Times New Roman"/>
          <w:sz w:val="28"/>
          <w:szCs w:val="28"/>
          <w:lang w:eastAsia="ru-RU" w:bidi="ru-RU"/>
        </w:rPr>
        <w:softHyphen/>
        <w:t>го механизма денежно-кредитной политики.</w:t>
      </w:r>
    </w:p>
    <w:p w:rsidR="000F317E" w:rsidRPr="0022678E" w:rsidRDefault="000F317E" w:rsidP="000F317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317E" w:rsidRDefault="000F317E" w:rsidP="000F317E"/>
    <w:p w:rsidR="00C61659" w:rsidRDefault="00C61659" w:rsidP="000F317E"/>
    <w:p w:rsidR="00C61659" w:rsidRDefault="00C6165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812B9" w:rsidRDefault="00C812B9" w:rsidP="000F317E"/>
    <w:p w:rsidR="00C61659" w:rsidRDefault="00C61659" w:rsidP="00C61659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Заключение</w:t>
      </w:r>
    </w:p>
    <w:p w:rsidR="00C61659" w:rsidRPr="00C61659" w:rsidRDefault="00C61659" w:rsidP="00C61659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Денежно-кредитная политика - совокупность мероприятий в области денежного обращения и кредита, направленных на регулирование экономического роста, сдерживание инфляции, обеспечение занятости и выравнивание платежного баланса; служит одним из важнейших методов вмешательства государства в процесс воспроизводства.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Регулирование денежного обращения в Российской Федерации осуществляется как экономическими, так и административными мерами, предусмотренными действующим законодательством и инструкциями Банка России.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Ежегодно Банк России совместно с Правительством РФ определяет основные направления единой государственной денежно-кредитной политики и конкретные меры по поддержанию покупательной способности рубля и его валютного курса.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Главные цели денежно-кредитной политики: борьба с инфляцией, поддержание курса внутренней валюты по отношению к ведущим валютам мира, поддержание положительного платежного баланса страны.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В процессе реализации денежно-кредитной политики Банк России постоянно контролирует величину и структуру денежной массы в обращении.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"О Центральном банке Российской Федерации (Банке России)" определил основные инструменты денежно-кредитного регулирования Банка России: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процентные ставки по операциям Банка России;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нормативы обязательных резервов, депонируемых в Банке России (резервные требования);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операции на открытом рынке;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рефинансирование банков;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валютное регулирование;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установление ориентиров роста денежной массы;</w:t>
      </w:r>
    </w:p>
    <w:p w:rsidR="00C61659" w:rsidRPr="0022678E" w:rsidRDefault="00C61659" w:rsidP="00C61659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прямые количественные ограничения.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Правительство РФ разрешило Банку России широко использовать в целях укрепления денежного обращения как экономические, так и административные меры регулирования денежной массы.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Итак, мы видим, что перед Центральным банком России стоит задача по улучшению и оптимизации банковской системы, проведение денежно-кредитной политики, исключительная важность которой в настоящее время обусловлена инфляционными проблемами.</w:t>
      </w:r>
    </w:p>
    <w:p w:rsidR="00C61659" w:rsidRPr="0022678E" w:rsidRDefault="00C61659" w:rsidP="00C6165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Но не стоит забывать, что денежно-кредитная политика эффективна лишь в сочетании с другими составляющими единой финансовой политики государства и не способна обеспечить долгосрочный эффект экономического роста. Долгосрочного эффекта можно достичь лишь с помощью эффективной инвестиционной политики, для которой требуется создание комплекса благоприятных условий в краткосрочный период. Это и должны обеспечить денежно-кредитная и фискальная политика государства.</w:t>
      </w:r>
    </w:p>
    <w:p w:rsidR="00C61659" w:rsidRDefault="00C61659" w:rsidP="00C61659">
      <w:pPr>
        <w:spacing w:after="0" w:line="360" w:lineRule="auto"/>
        <w:ind w:firstLine="709"/>
        <w:jc w:val="both"/>
      </w:pPr>
    </w:p>
    <w:p w:rsidR="00C61659" w:rsidRDefault="00C61659" w:rsidP="00C61659">
      <w:pPr>
        <w:spacing w:after="0" w:line="360" w:lineRule="auto"/>
        <w:ind w:firstLine="709"/>
        <w:jc w:val="both"/>
      </w:pPr>
    </w:p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0F317E"/>
    <w:p w:rsidR="00C61659" w:rsidRDefault="00C61659" w:rsidP="00C61659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Список использ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 xml:space="preserve">уемой </w:t>
      </w:r>
      <w:r w:rsidRPr="00C61659">
        <w:rPr>
          <w:rFonts w:ascii="Times New Roman" w:eastAsia="Times New Roman" w:hAnsi="Times New Roman"/>
          <w:sz w:val="28"/>
          <w:szCs w:val="28"/>
          <w:lang w:eastAsia="ru-RU"/>
        </w:rPr>
        <w:t>литературы</w:t>
      </w:r>
    </w:p>
    <w:p w:rsidR="00C61659" w:rsidRPr="00C61659" w:rsidRDefault="00C61659" w:rsidP="00C61659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1659" w:rsidRPr="0022678E" w:rsidRDefault="00C61659" w:rsidP="00C61659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     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Конституция РФ принята всенародным голосованием 12.12.1993 г. (с учетом поправок, внесенных Законами Российской Федерации о поправках к Конституции Российской Федерации от 30.12.2008 N 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 xml:space="preserve">6-ФКЗ и от 30.12.2008 N 7-ФКЗ) 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"Собрание законод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ательства РФ", 26.01.2009.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«О Центральном банке Российской Федерации»: 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закон: принят Гос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ударственной Думой 10 июля 2002)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Собрание Законодательства Российской Федерации. -2001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Макроэкономика: Теория и Российская практика: Учебник Общая редакция Грязновой А.Г.- М.: КноРус,</w:t>
      </w:r>
      <w:r w:rsidR="00980A41" w:rsidRPr="00980A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0A41"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Грязнова А.Г., Думная Н.Н. 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13.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еньги, кредит, банки: Учебник</w:t>
      </w:r>
      <w:proofErr w:type="gramStart"/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од ред. О. И. Лаврушина. - М.: Финансы и статистика,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Эффективность денежно-кредитной политики РФ в современных условиях. </w:t>
      </w:r>
      <w:r w:rsidR="00980A41" w:rsidRPr="0022678E">
        <w:rPr>
          <w:rFonts w:ascii="Times New Roman" w:eastAsia="Times New Roman" w:hAnsi="Times New Roman"/>
          <w:sz w:val="28"/>
          <w:szCs w:val="28"/>
          <w:lang w:eastAsia="ru-RU"/>
        </w:rPr>
        <w:t>Зверьков А. И.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, 2012. 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Денежно-кредитная политика развитых стран: современные направления развития. XXIII Международные Плехановские чтения. Тезисы докладов аспирантов, докторантов и</w:t>
      </w:r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научных работников. - М.: Рос</w:t>
      </w:r>
      <w:proofErr w:type="gramStart"/>
      <w:r w:rsidR="00980A41">
        <w:rPr>
          <w:rFonts w:ascii="Times New Roman" w:eastAsia="Times New Roman" w:hAnsi="Times New Roman"/>
          <w:sz w:val="28"/>
          <w:szCs w:val="28"/>
          <w:lang w:eastAsia="ru-RU"/>
        </w:rPr>
        <w:t>.,</w:t>
      </w:r>
      <w:r w:rsidR="00980A41"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  <w:r w:rsidR="00980A41" w:rsidRPr="0022678E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кон. акад. им. Г.В.Плеханова, </w:t>
      </w:r>
      <w:r w:rsidR="00980A41" w:rsidRPr="0022678E">
        <w:rPr>
          <w:rFonts w:ascii="Times New Roman" w:eastAsia="Times New Roman" w:hAnsi="Times New Roman"/>
          <w:sz w:val="28"/>
          <w:szCs w:val="28"/>
          <w:lang w:eastAsia="ru-RU"/>
        </w:rPr>
        <w:t xml:space="preserve">Ларцев М.И. </w:t>
      </w:r>
      <w:r w:rsidR="00E220FF">
        <w:rPr>
          <w:rFonts w:ascii="Times New Roman" w:eastAsia="Times New Roman" w:hAnsi="Times New Roman"/>
          <w:sz w:val="28"/>
          <w:szCs w:val="28"/>
          <w:lang w:eastAsia="ru-RU"/>
        </w:rPr>
        <w:t>2013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Центральный банк Российской Федерации. Основные направления единой государственной денежно-кредитной политики на 2015 год и период 2016 и 2017 годов. Одобрено Советом директоров Банка России  6.11.2014</w:t>
      </w:r>
    </w:p>
    <w:p w:rsidR="00C61659" w:rsidRPr="0022678E" w:rsidRDefault="00C61659" w:rsidP="00C6165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Российский статистический ежегодник. 2014 год: Статистическ</w:t>
      </w:r>
      <w:r w:rsidR="00E220FF">
        <w:rPr>
          <w:rFonts w:ascii="Times New Roman" w:eastAsia="Times New Roman" w:hAnsi="Times New Roman"/>
          <w:sz w:val="28"/>
          <w:szCs w:val="28"/>
          <w:lang w:eastAsia="ru-RU"/>
        </w:rPr>
        <w:t>ий сборник. М.: Госкомстат, 2014</w:t>
      </w:r>
      <w:r w:rsidRPr="0022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220FF" w:rsidRDefault="00E220FF" w:rsidP="00E220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220FF">
        <w:rPr>
          <w:rFonts w:ascii="Times New Roman" w:hAnsi="Times New Roman"/>
          <w:sz w:val="28"/>
          <w:szCs w:val="28"/>
        </w:rPr>
        <w:t xml:space="preserve"> </w:t>
      </w:r>
      <w:r w:rsidRPr="001124F0">
        <w:rPr>
          <w:rFonts w:ascii="Times New Roman" w:hAnsi="Times New Roman"/>
          <w:sz w:val="28"/>
          <w:szCs w:val="28"/>
        </w:rPr>
        <w:t>Макроэкономика: Учебное пособие</w:t>
      </w:r>
      <w:proofErr w:type="gramStart"/>
      <w:r>
        <w:rPr>
          <w:rFonts w:ascii="Times New Roman" w:hAnsi="Times New Roman"/>
          <w:sz w:val="28"/>
          <w:szCs w:val="28"/>
        </w:rPr>
        <w:t xml:space="preserve">/ </w:t>
      </w:r>
      <w:r w:rsidRPr="001124F0">
        <w:rPr>
          <w:rFonts w:ascii="Times New Roman" w:hAnsi="Times New Roman"/>
          <w:sz w:val="28"/>
          <w:szCs w:val="28"/>
        </w:rPr>
        <w:t>П</w:t>
      </w:r>
      <w:proofErr w:type="gramEnd"/>
      <w:r w:rsidRPr="001124F0">
        <w:rPr>
          <w:rFonts w:ascii="Times New Roman" w:hAnsi="Times New Roman"/>
          <w:sz w:val="28"/>
          <w:szCs w:val="28"/>
        </w:rPr>
        <w:t>од ред.</w:t>
      </w:r>
      <w:r>
        <w:rPr>
          <w:rFonts w:ascii="Times New Roman" w:hAnsi="Times New Roman"/>
          <w:sz w:val="28"/>
          <w:szCs w:val="28"/>
        </w:rPr>
        <w:t xml:space="preserve"> И. П. Николаевой. – М.: ЮНИТИ,2015.</w:t>
      </w:r>
    </w:p>
    <w:p w:rsidR="00834B00" w:rsidRPr="00834B00" w:rsidRDefault="00834B00" w:rsidP="00834B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834B00">
        <w:rPr>
          <w:rFonts w:ascii="Times New Roman" w:hAnsi="Times New Roman"/>
          <w:sz w:val="28"/>
          <w:szCs w:val="28"/>
        </w:rPr>
        <w:t xml:space="preserve"> Макроэкономика: учебное пособие, </w:t>
      </w:r>
      <w:hyperlink r:id="rId13" w:tgtFrame="_blank" w:history="1">
        <w:r w:rsidRPr="00834B00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Кузнецов Б.Т.</w:t>
        </w:r>
      </w:hyperlink>
      <w:r w:rsidRPr="00834B00">
        <w:rPr>
          <w:rFonts w:ascii="Times New Roman" w:hAnsi="Times New Roman"/>
          <w:sz w:val="28"/>
          <w:szCs w:val="28"/>
        </w:rPr>
        <w:t xml:space="preserve"> Юнити-Дана 2012 г</w:t>
      </w:r>
    </w:p>
    <w:p w:rsidR="00C61659" w:rsidRPr="00E220FF" w:rsidRDefault="00834B00" w:rsidP="00E220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220FF" w:rsidRPr="00E220FF">
        <w:rPr>
          <w:rFonts w:ascii="Times New Roman" w:hAnsi="Times New Roman"/>
          <w:sz w:val="28"/>
          <w:szCs w:val="28"/>
        </w:rPr>
        <w:t>.</w:t>
      </w:r>
      <w:r w:rsidR="00E220FF" w:rsidRPr="00E220FF">
        <w:rPr>
          <w:rFonts w:ascii="Times New Roman" w:hAnsi="Times New Roman"/>
          <w:sz w:val="28"/>
          <w:szCs w:val="28"/>
          <w:shd w:val="clear" w:color="auto" w:fill="FFFFFF"/>
        </w:rPr>
        <w:t xml:space="preserve"> www.cbr.ru</w:t>
      </w:r>
    </w:p>
    <w:sectPr w:rsidR="00C61659" w:rsidRPr="00E220FF" w:rsidSect="00834B00">
      <w:foot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B00" w:rsidRDefault="00834B00" w:rsidP="00834B00">
      <w:pPr>
        <w:spacing w:after="0" w:line="240" w:lineRule="auto"/>
      </w:pPr>
      <w:r>
        <w:separator/>
      </w:r>
    </w:p>
  </w:endnote>
  <w:endnote w:type="continuationSeparator" w:id="0">
    <w:p w:rsidR="00834B00" w:rsidRDefault="00834B00" w:rsidP="0083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876"/>
      <w:docPartObj>
        <w:docPartGallery w:val="Page Numbers (Bottom of Page)"/>
        <w:docPartUnique/>
      </w:docPartObj>
    </w:sdtPr>
    <w:sdtContent>
      <w:p w:rsidR="00834B00" w:rsidRDefault="00834B00">
        <w:pPr>
          <w:pStyle w:val="a9"/>
          <w:jc w:val="right"/>
        </w:pPr>
        <w:fldSimple w:instr=" PAGE   \* MERGEFORMAT ">
          <w:r w:rsidR="00FF16E1">
            <w:rPr>
              <w:noProof/>
            </w:rPr>
            <w:t>28</w:t>
          </w:r>
        </w:fldSimple>
      </w:p>
    </w:sdtContent>
  </w:sdt>
  <w:p w:rsidR="00834B00" w:rsidRDefault="00834B0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B00" w:rsidRDefault="00834B00" w:rsidP="00834B00">
      <w:pPr>
        <w:spacing w:after="0" w:line="240" w:lineRule="auto"/>
      </w:pPr>
      <w:r>
        <w:separator/>
      </w:r>
    </w:p>
  </w:footnote>
  <w:footnote w:type="continuationSeparator" w:id="0">
    <w:p w:rsidR="00834B00" w:rsidRDefault="00834B00" w:rsidP="00834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9DF"/>
    <w:multiLevelType w:val="hybridMultilevel"/>
    <w:tmpl w:val="E09678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1762C2"/>
    <w:multiLevelType w:val="hybridMultilevel"/>
    <w:tmpl w:val="0ECC2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011134"/>
    <w:multiLevelType w:val="hybridMultilevel"/>
    <w:tmpl w:val="842E45E6"/>
    <w:lvl w:ilvl="0" w:tplc="DB9C7012">
      <w:start w:val="1"/>
      <w:numFmt w:val="decimal"/>
      <w:lvlText w:val="%1."/>
      <w:lvlJc w:val="left"/>
      <w:pPr>
        <w:ind w:left="502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17E"/>
    <w:rsid w:val="000F317E"/>
    <w:rsid w:val="004A6879"/>
    <w:rsid w:val="00834B00"/>
    <w:rsid w:val="00980A41"/>
    <w:rsid w:val="00C227E4"/>
    <w:rsid w:val="00C61659"/>
    <w:rsid w:val="00C812B9"/>
    <w:rsid w:val="00E220FF"/>
    <w:rsid w:val="00FF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1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F317E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0F31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">
    <w:name w:val="toc 3"/>
    <w:basedOn w:val="a"/>
    <w:next w:val="a"/>
    <w:autoRedefine/>
    <w:uiPriority w:val="39"/>
    <w:rsid w:val="000F317E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F31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7E4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834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34B0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34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B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5%D0%BD%D1%8C%D0%B3%D0%B8" TargetMode="External"/><Relationship Id="rId13" Type="http://schemas.openxmlformats.org/officeDocument/2006/relationships/hyperlink" Target="http://www.knigafund.ru/authors/2478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0%BE%D1%81%D1%83%D0%B4%D0%B0%D1%80%D1%81%D1%82%D0%B2%D0%BE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A%D0%B0%D0%BF%D0%B8%D1%82%D0%B0%D0%BB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9F%D1%80%D0%BE%D0%B8%D0%B7%D0%B2%D0%BE%D0%B4%D1%81%D1%82%D0%B2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%D0%97%D0%B0%D0%BD%D1%8F%D1%82%D0%BE%D1%81%D1%82%D1%8C_%D0%BD%D0%B0%D1%81%D0%B5%D0%BB%D0%B5%D0%BD%D0%B8%D1%8F&amp;action=edit&amp;redlink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27</Pages>
  <Words>6710</Words>
  <Characters>38247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2015-11-20T15:33:00Z</dcterms:created>
  <dcterms:modified xsi:type="dcterms:W3CDTF">2015-11-20T16:54:00Z</dcterms:modified>
</cp:coreProperties>
</file>