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3D66" w:rsidRPr="00A43D66" w:rsidRDefault="00A43D66" w:rsidP="00A43D6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  <w:r w:rsidRPr="00A43D6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ФЕДЕРАЛЬНОЕ ГОСУДАРСТВЕННОЕ ОБРАЗОВАТЕЛЬНОЕ БЮДЖЕТНОЕ УЧРЕЖДЕНИЕ </w:t>
      </w:r>
      <w:r w:rsidRPr="00A43D66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ВЫСШЕГО ОБРАЗОВАНИЯ</w:t>
      </w:r>
      <w:r w:rsidRPr="00A43D66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 xml:space="preserve">  </w:t>
      </w:r>
    </w:p>
    <w:p w:rsidR="00A43D66" w:rsidRPr="00A43D66" w:rsidRDefault="00A43D66" w:rsidP="00A43D6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ФИНАНСОВЫЙ УНИВЕРСИТЕТ  </w:t>
      </w:r>
    </w:p>
    <w:p w:rsidR="00A43D66" w:rsidRPr="00A43D66" w:rsidRDefault="00A43D66" w:rsidP="00A43D6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ПРАВИТЕЛЬСТВЕ РОССИЙСКОЙ ФЕДЕРАЦИИ</w:t>
      </w:r>
    </w:p>
    <w:p w:rsidR="00A43D66" w:rsidRPr="00A43D66" w:rsidRDefault="00A43D66" w:rsidP="00A43D66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thinThickSmallGap" w:sz="2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A43D66" w:rsidRPr="00A43D66" w:rsidTr="00ED7D12">
        <w:trPr>
          <w:jc w:val="center"/>
        </w:trPr>
        <w:tc>
          <w:tcPr>
            <w:tcW w:w="9571" w:type="dxa"/>
            <w:tcBorders>
              <w:top w:val="thinThickSmallGap" w:sz="24" w:space="0" w:color="auto"/>
              <w:left w:val="nil"/>
              <w:bottom w:val="nil"/>
              <w:right w:val="nil"/>
            </w:tcBorders>
            <w:hideMark/>
          </w:tcPr>
          <w:p w:rsidR="00A43D66" w:rsidRPr="00A43D66" w:rsidRDefault="00A43D66" w:rsidP="00A43D66">
            <w:pPr>
              <w:keepNext/>
              <w:keepLines/>
              <w:autoSpaceDE w:val="0"/>
              <w:autoSpaceDN w:val="0"/>
              <w:adjustRightInd w:val="0"/>
              <w:spacing w:after="0" w:line="360" w:lineRule="auto"/>
              <w:ind w:firstLine="7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A43D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Каф</w:t>
            </w:r>
            <w:r w:rsidR="00CD37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едра «</w:t>
            </w:r>
            <w:r w:rsidR="00CD3743" w:rsidRPr="00CD374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Экономика, менеджмент и маркетинг</w:t>
            </w:r>
            <w:r w:rsidRPr="00A43D6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»</w:t>
            </w:r>
          </w:p>
        </w:tc>
      </w:tr>
    </w:tbl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28"/>
          <w:szCs w:val="20"/>
          <w:lang w:eastAsia="ru-RU"/>
        </w:rPr>
      </w:pPr>
    </w:p>
    <w:p w:rsidR="00A43D66" w:rsidRPr="00A43D66" w:rsidRDefault="00CD3743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Реферат  по дисциплине «Макроэкономика</w:t>
      </w:r>
      <w:r w:rsidR="00A43D66" w:rsidRPr="00A43D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»</w:t>
      </w: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  <w:r w:rsidRPr="00A43D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На тему: </w:t>
      </w:r>
    </w:p>
    <w:p w:rsidR="00A43D66" w:rsidRPr="00CD3743" w:rsidRDefault="00A43D66" w:rsidP="00CD374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«</w:t>
      </w:r>
      <w:r w:rsidR="00CD3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Отзыв</w:t>
      </w:r>
      <w:r w:rsidR="00CD3743" w:rsidRPr="00A4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D3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лицензий</w:t>
      </w:r>
      <w:r w:rsidR="00CD3743" w:rsidRPr="00A4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D3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у</w:t>
      </w:r>
      <w:r w:rsidR="00CD3743" w:rsidRPr="00A43D6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="00CD3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коммерческих банков</w:t>
      </w:r>
      <w:r w:rsidRPr="00A43D66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A43D66" w:rsidRPr="00A43D66" w:rsidRDefault="00A43D66" w:rsidP="00A43D66">
      <w:pPr>
        <w:spacing w:after="0" w:line="240" w:lineRule="auto"/>
        <w:ind w:firstLine="36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A43D66" w:rsidRPr="00A43D66" w:rsidRDefault="00A43D66" w:rsidP="00A43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</w:t>
      </w: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</w:t>
      </w: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</w:t>
      </w: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C58B5" w:rsidRDefault="00BC58B5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D66" w:rsidRPr="00A43D66" w:rsidRDefault="00A43D66" w:rsidP="00A43D6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43D66">
        <w:rPr>
          <w:rFonts w:ascii="Times New Roman" w:eastAsia="Times New Roman" w:hAnsi="Times New Roman" w:cs="Times New Roman"/>
          <w:sz w:val="28"/>
          <w:szCs w:val="28"/>
          <w:lang w:eastAsia="ru-RU"/>
        </w:rPr>
        <w:t>Липецк 2015</w:t>
      </w:r>
    </w:p>
    <w:p w:rsidR="009926DF" w:rsidRDefault="009926DF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053A4A" w:rsidRDefault="00053A4A" w:rsidP="00053A4A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053A4A" w:rsidP="00F34394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053A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lastRenderedPageBreak/>
        <w:t>СОДЕРЖАНИЕ</w:t>
      </w:r>
    </w:p>
    <w:p w:rsidR="00053A4A" w:rsidRDefault="00053A4A" w:rsidP="00F34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ВВЕДЕНИЕ………………………………………………………………</w:t>
      </w:r>
      <w:r w:rsidR="00CC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3</w:t>
      </w:r>
    </w:p>
    <w:p w:rsidR="00053A4A" w:rsidRDefault="00053A4A" w:rsidP="00F34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1. </w:t>
      </w:r>
      <w:r w:rsidRPr="00053A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Коммерческие банки: причины ликвидации банков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</w:t>
      </w:r>
      <w:r w:rsidR="00CC43A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4</w:t>
      </w:r>
      <w:r w:rsidRPr="00053A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 </w:t>
      </w:r>
    </w:p>
    <w:p w:rsidR="00053A4A" w:rsidRDefault="00053A4A" w:rsidP="00F34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2.</w:t>
      </w:r>
      <w:r w:rsidRPr="00053A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Обеспечение финансовой устойчивости коммерческих банков</w:t>
      </w:r>
      <w:r w:rsidR="00F343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………9</w:t>
      </w:r>
    </w:p>
    <w:p w:rsidR="00053A4A" w:rsidRDefault="00053A4A" w:rsidP="00F34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ЗАКЛЮЧЕНИЕ</w:t>
      </w:r>
      <w:r w:rsidR="00F343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…………………………………………………………….11</w:t>
      </w:r>
    </w:p>
    <w:p w:rsidR="00053A4A" w:rsidRPr="00053A4A" w:rsidRDefault="00053A4A" w:rsidP="00F34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053A4A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Список используемой литературы</w:t>
      </w:r>
      <w:r w:rsidR="00F34394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……………………………………….12</w:t>
      </w:r>
    </w:p>
    <w:p w:rsidR="00A43D66" w:rsidRDefault="00A43D66" w:rsidP="00F3439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A43D66" w:rsidRDefault="00A43D66" w:rsidP="00B500F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C43A2" w:rsidRDefault="00CC43A2" w:rsidP="00CC43A2">
      <w:pPr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:rsidR="00CD3743" w:rsidRDefault="00CD3743" w:rsidP="00CC43A2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CD374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ВВЕДЕНИЕ</w:t>
      </w:r>
    </w:p>
    <w:p w:rsidR="00116B25" w:rsidRDefault="00116B25" w:rsidP="00CC43A2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  <w:r w:rsidRPr="00116B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Нестабильное состояние современной российской экономики во многом зависит от надежности и устойчив</w:t>
      </w:r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ости банковской системы, которые</w:t>
      </w:r>
      <w:r w:rsidRPr="00116B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в свою очередь подвержены воздействию ряда как экзогенных, так и эндогенных факторов. Соответственно, именно поэтому первостепенной задачей государственных регуляторов на макроуровне и менеджмента кредитных организаций на микроуровне является обеспечение данной стабильности посредством проведения рациональной денежно-кредитной политики, анализа и мониторинга состояния реального и финансового секторов экономики, снижения всех видов рисков и получения доходов, превосходящих совокупные расходы.</w:t>
      </w:r>
    </w:p>
    <w:p w:rsidR="00116B25" w:rsidRDefault="00116B25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 работы </w:t>
      </w:r>
      <w:r w:rsidRPr="005A6F6F">
        <w:rPr>
          <w:rFonts w:ascii="Times New Roman" w:hAnsi="Times New Roman" w:cs="Times New Roman"/>
          <w:sz w:val="28"/>
          <w:szCs w:val="28"/>
        </w:rPr>
        <w:t>–</w:t>
      </w:r>
      <w:r w:rsidRPr="00116B2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рассмотреть основные</w:t>
      </w:r>
      <w:r w:rsidR="00F53CFA">
        <w:rPr>
          <w:rFonts w:ascii="Times New Roman" w:hAnsi="Times New Roman" w:cs="Times New Roman"/>
          <w:bCs/>
          <w:sz w:val="28"/>
          <w:szCs w:val="28"/>
        </w:rPr>
        <w:t xml:space="preserve"> проблемы</w:t>
      </w:r>
      <w:r w:rsidRPr="00116B25">
        <w:rPr>
          <w:rFonts w:ascii="Times New Roman" w:hAnsi="Times New Roman" w:cs="Times New Roman"/>
          <w:bCs/>
          <w:sz w:val="28"/>
          <w:szCs w:val="28"/>
        </w:rPr>
        <w:t xml:space="preserve"> отзыва лицензий</w:t>
      </w:r>
      <w:r>
        <w:rPr>
          <w:rFonts w:ascii="Times New Roman" w:hAnsi="Times New Roman" w:cs="Times New Roman"/>
          <w:bCs/>
          <w:sz w:val="28"/>
          <w:szCs w:val="28"/>
        </w:rPr>
        <w:t xml:space="preserve"> у коммерческих </w:t>
      </w:r>
      <w:r w:rsidRPr="00116B25">
        <w:rPr>
          <w:rFonts w:ascii="Times New Roman" w:hAnsi="Times New Roman" w:cs="Times New Roman"/>
          <w:bCs/>
          <w:sz w:val="28"/>
          <w:szCs w:val="28"/>
        </w:rPr>
        <w:t>банков</w:t>
      </w:r>
      <w:r>
        <w:rPr>
          <w:rFonts w:ascii="Times New Roman" w:hAnsi="Times New Roman" w:cs="Times New Roman"/>
          <w:bCs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16B25">
        <w:rPr>
          <w:rFonts w:ascii="Times New Roman" w:hAnsi="Times New Roman" w:cs="Times New Roman"/>
          <w:bCs/>
          <w:sz w:val="28"/>
          <w:szCs w:val="28"/>
        </w:rPr>
        <w:t>Для достижения поставленной цели необходимо решить следующие задачи:</w:t>
      </w:r>
    </w:p>
    <w:p w:rsidR="00116B25" w:rsidRDefault="00116B25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1) </w:t>
      </w:r>
      <w:r w:rsidR="00CC43A2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6B25">
        <w:rPr>
          <w:rFonts w:ascii="Times New Roman" w:hAnsi="Times New Roman" w:cs="Times New Roman"/>
          <w:bCs/>
          <w:sz w:val="28"/>
          <w:szCs w:val="28"/>
        </w:rPr>
        <w:t>Рассмотреть теоретические ст</w:t>
      </w:r>
      <w:r>
        <w:rPr>
          <w:rFonts w:ascii="Times New Roman" w:hAnsi="Times New Roman" w:cs="Times New Roman"/>
          <w:bCs/>
          <w:sz w:val="28"/>
          <w:szCs w:val="28"/>
        </w:rPr>
        <w:t xml:space="preserve">ороны вопроса: </w:t>
      </w:r>
      <w:r w:rsidRPr="00116B25">
        <w:rPr>
          <w:rFonts w:ascii="Times New Roman" w:hAnsi="Times New Roman" w:cs="Times New Roman"/>
          <w:bCs/>
          <w:sz w:val="28"/>
          <w:szCs w:val="28"/>
        </w:rPr>
        <w:t>коммерческий банк,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16B25">
        <w:rPr>
          <w:rFonts w:ascii="Times New Roman" w:hAnsi="Times New Roman" w:cs="Times New Roman"/>
          <w:bCs/>
          <w:sz w:val="28"/>
          <w:szCs w:val="28"/>
        </w:rPr>
        <w:t>банковская система, финансовая устойчивость</w:t>
      </w:r>
      <w:r w:rsidR="00F53CFA">
        <w:rPr>
          <w:rFonts w:ascii="Times New Roman" w:hAnsi="Times New Roman" w:cs="Times New Roman"/>
          <w:bCs/>
          <w:sz w:val="28"/>
          <w:szCs w:val="28"/>
        </w:rPr>
        <w:t>.</w:t>
      </w:r>
    </w:p>
    <w:p w:rsidR="00F53CFA" w:rsidRDefault="00F53CF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2) </w:t>
      </w:r>
      <w:r w:rsidR="00CC43A2">
        <w:rPr>
          <w:rFonts w:ascii="Times New Roman" w:hAnsi="Times New Roman" w:cs="Times New Roman"/>
          <w:bCs/>
          <w:sz w:val="28"/>
          <w:szCs w:val="28"/>
        </w:rPr>
        <w:t xml:space="preserve">  </w:t>
      </w:r>
      <w:r>
        <w:rPr>
          <w:rFonts w:ascii="Times New Roman" w:hAnsi="Times New Roman" w:cs="Times New Roman"/>
          <w:bCs/>
          <w:sz w:val="28"/>
          <w:szCs w:val="28"/>
        </w:rPr>
        <w:t xml:space="preserve">Рассмотреть причины </w:t>
      </w:r>
      <w:r w:rsidR="00CB502A" w:rsidRPr="00CB502A">
        <w:rPr>
          <w:rFonts w:ascii="Times New Roman" w:hAnsi="Times New Roman" w:cs="Times New Roman"/>
          <w:bCs/>
          <w:sz w:val="28"/>
          <w:szCs w:val="28"/>
        </w:rPr>
        <w:t>отзыва лицензий у коммерческих банков</w:t>
      </w:r>
      <w:r w:rsidR="00CB502A">
        <w:rPr>
          <w:rFonts w:ascii="Times New Roman" w:hAnsi="Times New Roman" w:cs="Times New Roman"/>
          <w:bCs/>
          <w:sz w:val="28"/>
          <w:szCs w:val="28"/>
        </w:rPr>
        <w:t>.</w:t>
      </w:r>
    </w:p>
    <w:p w:rsidR="00CB502A" w:rsidRP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3) Выделить</w:t>
      </w:r>
      <w:r w:rsidRPr="00CB502A">
        <w:rPr>
          <w:rFonts w:ascii="Times New Roman" w:hAnsi="Times New Roman" w:cs="Times New Roman"/>
          <w:bCs/>
          <w:sz w:val="28"/>
          <w:szCs w:val="28"/>
        </w:rPr>
        <w:t xml:space="preserve"> основные инструменты, обеспечивающие финансовую устойчивость коммерческих банков.</w:t>
      </w:r>
    </w:p>
    <w:p w:rsidR="00116B25" w:rsidRDefault="00116B25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116B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116B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116B25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CC43A2" w:rsidRDefault="00CC43A2" w:rsidP="00CC43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C43A2" w:rsidRDefault="00CC43A2" w:rsidP="00CC43A2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B502A" w:rsidRDefault="00CB502A" w:rsidP="00CC43A2">
      <w:pPr>
        <w:spacing w:after="0" w:line="36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CB502A"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2E4172">
        <w:rPr>
          <w:rFonts w:ascii="Times New Roman" w:hAnsi="Times New Roman" w:cs="Times New Roman"/>
          <w:b/>
          <w:bCs/>
          <w:sz w:val="28"/>
          <w:szCs w:val="28"/>
        </w:rPr>
        <w:t>Коммерческие</w:t>
      </w:r>
      <w:r w:rsidRPr="00CB502A">
        <w:rPr>
          <w:rFonts w:ascii="Times New Roman" w:hAnsi="Times New Roman" w:cs="Times New Roman"/>
          <w:b/>
          <w:bCs/>
          <w:sz w:val="28"/>
          <w:szCs w:val="28"/>
        </w:rPr>
        <w:t xml:space="preserve"> банк</w:t>
      </w:r>
      <w:r w:rsidR="002E4172">
        <w:rPr>
          <w:rFonts w:ascii="Times New Roman" w:hAnsi="Times New Roman" w:cs="Times New Roman"/>
          <w:b/>
          <w:bCs/>
          <w:sz w:val="28"/>
          <w:szCs w:val="28"/>
        </w:rPr>
        <w:t>и</w:t>
      </w:r>
      <w:r>
        <w:rPr>
          <w:rFonts w:ascii="Times New Roman" w:hAnsi="Times New Roman" w:cs="Times New Roman"/>
          <w:b/>
          <w:bCs/>
          <w:sz w:val="28"/>
          <w:szCs w:val="28"/>
        </w:rPr>
        <w:t>: причины</w:t>
      </w:r>
      <w:r w:rsidR="002E4172">
        <w:rPr>
          <w:rFonts w:ascii="Times New Roman" w:hAnsi="Times New Roman" w:cs="Times New Roman"/>
          <w:b/>
          <w:bCs/>
          <w:sz w:val="28"/>
          <w:szCs w:val="28"/>
        </w:rPr>
        <w:t xml:space="preserve"> ликвидации </w:t>
      </w:r>
      <w:r w:rsidRPr="00CB502A">
        <w:rPr>
          <w:rFonts w:ascii="Times New Roman" w:hAnsi="Times New Roman" w:cs="Times New Roman"/>
          <w:b/>
          <w:bCs/>
          <w:sz w:val="28"/>
          <w:szCs w:val="28"/>
        </w:rPr>
        <w:t>банков</w:t>
      </w:r>
    </w:p>
    <w:p w:rsidR="00B6682E" w:rsidRPr="00CB502A" w:rsidRDefault="0044208C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500F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Коммерческий банк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— 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это 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универсальный тип банка,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который  занимается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широким кругом 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различных операций, самой важной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из ко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торых является предоставление кредитов тор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говым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промышленным, 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другим предприятиям преимущест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венно за счет денежных средств, </w:t>
      </w:r>
      <w:r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привлеченных в виде вкладов.</w:t>
      </w:r>
      <w:r w:rsidR="00702B14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всем мире коммерческие банки — важн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ейшее звено банковской системы, которое концентрируе</w:t>
      </w:r>
      <w:r w:rsidR="00702B14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основную часть к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редитных ресурсов и осуществ</w:t>
      </w:r>
      <w:r w:rsidR="00177383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ляе</w:t>
      </w:r>
      <w:r w:rsidR="00702B14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широкий диапазон банковских операций и финансовых ус</w:t>
      </w:r>
      <w:r w:rsidR="00702B14" w:rsidRPr="00005F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oftHyphen/>
        <w:t>луг для юридических и физических лиц.</w:t>
      </w:r>
    </w:p>
    <w:p w:rsidR="000D38F8" w:rsidRPr="00005FC1" w:rsidRDefault="00702B14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500F7">
        <w:rPr>
          <w:rFonts w:ascii="Times New Roman" w:hAnsi="Times New Roman" w:cs="Times New Roman"/>
          <w:bCs/>
          <w:sz w:val="28"/>
          <w:szCs w:val="28"/>
        </w:rPr>
        <w:t>Коммерческие банки</w:t>
      </w:r>
      <w:r w:rsidRPr="00005FC1">
        <w:rPr>
          <w:rFonts w:ascii="Times New Roman" w:hAnsi="Times New Roman" w:cs="Times New Roman"/>
          <w:sz w:val="28"/>
          <w:szCs w:val="28"/>
        </w:rPr>
        <w:t> не</w:t>
      </w:r>
      <w:r w:rsidR="00FB3D2C" w:rsidRPr="00005FC1">
        <w:rPr>
          <w:rFonts w:ascii="Times New Roman" w:hAnsi="Times New Roman" w:cs="Times New Roman"/>
          <w:sz w:val="28"/>
          <w:szCs w:val="28"/>
        </w:rPr>
        <w:t>зависимо</w:t>
      </w:r>
      <w:r w:rsidRPr="00005FC1">
        <w:rPr>
          <w:rFonts w:ascii="Times New Roman" w:hAnsi="Times New Roman" w:cs="Times New Roman"/>
          <w:sz w:val="28"/>
          <w:szCs w:val="28"/>
        </w:rPr>
        <w:t xml:space="preserve"> от органов госуд</w:t>
      </w:r>
      <w:r w:rsidR="00FB3D2C" w:rsidRPr="00005FC1">
        <w:rPr>
          <w:rFonts w:ascii="Times New Roman" w:hAnsi="Times New Roman" w:cs="Times New Roman"/>
          <w:sz w:val="28"/>
          <w:szCs w:val="28"/>
        </w:rPr>
        <w:t>арственной власти выполняют свои</w:t>
      </w:r>
      <w:r w:rsidR="000D38F8" w:rsidRPr="00005FC1">
        <w:rPr>
          <w:rFonts w:ascii="Times New Roman" w:hAnsi="Times New Roman" w:cs="Times New Roman"/>
          <w:sz w:val="28"/>
          <w:szCs w:val="28"/>
        </w:rPr>
        <w:t xml:space="preserve"> функции</w:t>
      </w:r>
      <w:r w:rsidRPr="00005FC1">
        <w:rPr>
          <w:rFonts w:ascii="Times New Roman" w:hAnsi="Times New Roman" w:cs="Times New Roman"/>
          <w:sz w:val="28"/>
          <w:szCs w:val="28"/>
        </w:rPr>
        <w:t xml:space="preserve"> и осуществляют деятельность на основ</w:t>
      </w:r>
      <w:r w:rsidR="00FB3D2C" w:rsidRPr="00005FC1">
        <w:rPr>
          <w:rFonts w:ascii="Times New Roman" w:hAnsi="Times New Roman" w:cs="Times New Roman"/>
          <w:sz w:val="28"/>
          <w:szCs w:val="28"/>
        </w:rPr>
        <w:t xml:space="preserve">е устава, в котором </w:t>
      </w:r>
      <w:r w:rsidRPr="00005FC1">
        <w:rPr>
          <w:rFonts w:ascii="Times New Roman" w:hAnsi="Times New Roman" w:cs="Times New Roman"/>
          <w:sz w:val="28"/>
          <w:szCs w:val="28"/>
        </w:rPr>
        <w:t xml:space="preserve">указано, что банк является юридическим лицом и действует на коммерческой основе. </w:t>
      </w:r>
      <w:r w:rsidR="00FB3D2C" w:rsidRPr="00005FC1">
        <w:rPr>
          <w:rFonts w:ascii="Times New Roman" w:hAnsi="Times New Roman" w:cs="Times New Roman"/>
          <w:sz w:val="28"/>
          <w:szCs w:val="28"/>
        </w:rPr>
        <w:t xml:space="preserve"> В данном уставе содержится </w:t>
      </w:r>
      <w:r w:rsidRPr="00005FC1">
        <w:rPr>
          <w:rFonts w:ascii="Times New Roman" w:hAnsi="Times New Roman" w:cs="Times New Roman"/>
          <w:sz w:val="28"/>
          <w:szCs w:val="28"/>
        </w:rPr>
        <w:t xml:space="preserve">наименование банка, его местонахождение, перечень операций, которые банк намерен </w:t>
      </w:r>
      <w:r w:rsidR="00176A96" w:rsidRPr="00005FC1">
        <w:rPr>
          <w:rFonts w:ascii="Times New Roman" w:hAnsi="Times New Roman" w:cs="Times New Roman"/>
          <w:sz w:val="28"/>
          <w:szCs w:val="28"/>
        </w:rPr>
        <w:t xml:space="preserve"> </w:t>
      </w:r>
      <w:r w:rsidRPr="00005FC1">
        <w:rPr>
          <w:rFonts w:ascii="Times New Roman" w:hAnsi="Times New Roman" w:cs="Times New Roman"/>
          <w:sz w:val="28"/>
          <w:szCs w:val="28"/>
        </w:rPr>
        <w:t>проводить, размер уставного капитала, резервного, страхового и других фондов, а также сведения об органах управления.</w:t>
      </w:r>
    </w:p>
    <w:p w:rsidR="004F2AA3" w:rsidRDefault="00C31CA1" w:rsidP="00CC43A2">
      <w:pPr>
        <w:spacing w:after="0" w:line="360" w:lineRule="auto"/>
        <w:ind w:firstLine="709"/>
        <w:jc w:val="both"/>
      </w:pPr>
      <w:r>
        <w:rPr>
          <w:rFonts w:ascii="Times New Roman" w:hAnsi="Times New Roman" w:cs="Times New Roman"/>
          <w:sz w:val="28"/>
          <w:szCs w:val="28"/>
        </w:rPr>
        <w:t>Однако в последнее время в условиях внешнеэкономической </w:t>
      </w:r>
      <w:r w:rsidR="00AE2EE2" w:rsidRPr="00005FC1">
        <w:rPr>
          <w:rFonts w:ascii="Times New Roman" w:hAnsi="Times New Roman" w:cs="Times New Roman"/>
          <w:sz w:val="28"/>
          <w:szCs w:val="28"/>
        </w:rPr>
        <w:t xml:space="preserve">нестабильности, а также крайне жесткой политики Центрального Банка РФ, являющегося единым </w:t>
      </w:r>
      <w:proofErr w:type="spellStart"/>
      <w:r w:rsidR="00AE2EE2" w:rsidRPr="00005FC1">
        <w:rPr>
          <w:rFonts w:ascii="Times New Roman" w:hAnsi="Times New Roman" w:cs="Times New Roman"/>
          <w:sz w:val="28"/>
          <w:szCs w:val="28"/>
        </w:rPr>
        <w:t>мегарегулятором</w:t>
      </w:r>
      <w:proofErr w:type="spellEnd"/>
      <w:r w:rsidR="00AE2EE2" w:rsidRPr="00005FC1">
        <w:rPr>
          <w:rFonts w:ascii="Times New Roman" w:hAnsi="Times New Roman" w:cs="Times New Roman"/>
          <w:sz w:val="28"/>
          <w:szCs w:val="28"/>
        </w:rPr>
        <w:t xml:space="preserve"> финансовой системы страны, большое количество коммерческих банков не справляется с задачей по обеспечению ликвидности и платежеспособности. </w:t>
      </w:r>
      <w:r w:rsidR="00037B22" w:rsidRPr="00005FC1">
        <w:rPr>
          <w:rFonts w:ascii="Times New Roman" w:hAnsi="Times New Roman" w:cs="Times New Roman"/>
          <w:sz w:val="28"/>
          <w:szCs w:val="28"/>
        </w:rPr>
        <w:t xml:space="preserve">Следствием этого становится рекордное количество отозванных лицензий у банков. </w:t>
      </w:r>
      <w:r w:rsidR="007B4CF1" w:rsidRPr="00005FC1">
        <w:rPr>
          <w:rFonts w:ascii="Times New Roman" w:hAnsi="Times New Roman" w:cs="Times New Roman"/>
          <w:sz w:val="28"/>
          <w:szCs w:val="28"/>
        </w:rPr>
        <w:t xml:space="preserve"> </w:t>
      </w:r>
      <w:r w:rsidR="004F2AA3" w:rsidRPr="00005FC1">
        <w:rPr>
          <w:rFonts w:ascii="Times New Roman" w:hAnsi="Times New Roman" w:cs="Times New Roman"/>
          <w:sz w:val="28"/>
          <w:szCs w:val="28"/>
        </w:rPr>
        <w:t>Так, что за неполный 2015 год Центральным Банком была отозвана уже 71 лицензия, а в 2014 году данный показатель составил 94 лицензии, что даже больше ч</w:t>
      </w:r>
      <w:r w:rsidR="00AF2CA2">
        <w:rPr>
          <w:rFonts w:ascii="Times New Roman" w:hAnsi="Times New Roman" w:cs="Times New Roman"/>
          <w:sz w:val="28"/>
          <w:szCs w:val="28"/>
        </w:rPr>
        <w:t>ем в разгар финансового кризиса в 2009 году. Для </w:t>
      </w:r>
      <w:r w:rsidR="004F2AA3" w:rsidRPr="00005FC1">
        <w:rPr>
          <w:rFonts w:ascii="Times New Roman" w:hAnsi="Times New Roman" w:cs="Times New Roman"/>
          <w:sz w:val="28"/>
          <w:szCs w:val="28"/>
        </w:rPr>
        <w:t>сравн</w:t>
      </w:r>
      <w:r w:rsidR="00AF2CA2">
        <w:rPr>
          <w:rFonts w:ascii="Times New Roman" w:hAnsi="Times New Roman" w:cs="Times New Roman"/>
          <w:sz w:val="28"/>
          <w:szCs w:val="28"/>
        </w:rPr>
        <w:t>ения, в 2013 году было </w:t>
      </w:r>
      <w:r w:rsidR="00B500F7">
        <w:rPr>
          <w:rFonts w:ascii="Times New Roman" w:hAnsi="Times New Roman" w:cs="Times New Roman"/>
          <w:sz w:val="28"/>
          <w:szCs w:val="28"/>
        </w:rPr>
        <w:t>отозвано 43 лицензии, а в 2012 году всего 29 (рисунок </w:t>
      </w:r>
      <w:r w:rsidR="004F2AA3" w:rsidRPr="00005FC1">
        <w:rPr>
          <w:rFonts w:ascii="Times New Roman" w:hAnsi="Times New Roman" w:cs="Times New Roman"/>
          <w:sz w:val="28"/>
          <w:szCs w:val="28"/>
        </w:rPr>
        <w:t>1).</w:t>
      </w:r>
      <w:r w:rsidR="004F2AA3" w:rsidRPr="00005FC1">
        <w:rPr>
          <w:rFonts w:ascii="Times New Roman" w:hAnsi="Times New Roman" w:cs="Times New Roman"/>
          <w:sz w:val="28"/>
          <w:szCs w:val="28"/>
        </w:rPr>
        <w:br/>
      </w:r>
      <w:r w:rsidR="004F2AA3" w:rsidRPr="004F2AA3">
        <w:lastRenderedPageBreak/>
        <w:br/>
      </w:r>
      <w:r w:rsidR="004F2AA3">
        <w:rPr>
          <w:noProof/>
          <w:lang w:eastAsia="ru-RU"/>
        </w:rPr>
        <w:drawing>
          <wp:inline distT="0" distB="0" distL="0" distR="0" wp14:anchorId="3B743DD2" wp14:editId="75746B9D">
            <wp:extent cx="6172200" cy="3028950"/>
            <wp:effectExtent l="0" t="0" r="0" b="0"/>
            <wp:docPr id="1" name="Рисунок 1" descr="http://www.moluch.ru/archive/99/22314/images/image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www.moluch.ru/archive/99/22314/images/image001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3028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779BA" w:rsidRPr="00005FC1" w:rsidRDefault="00B500F7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Рисунок 1. Количество ликвидированных российских </w:t>
      </w:r>
      <w:r w:rsidR="00964A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банков вследствие отзыва лицензий за </w:t>
      </w:r>
      <w:r w:rsidR="004F2AA3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пери</w:t>
      </w:r>
      <w:r w:rsidR="00964A3D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од с 2008 по 2015 </w:t>
      </w:r>
      <w:r w:rsidR="004F2AA3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годы.</w:t>
      </w:r>
      <w:r w:rsidR="007B4CF1" w:rsidRPr="00005FC1">
        <w:rPr>
          <w:rFonts w:ascii="Times New Roman" w:hAnsi="Times New Roman" w:cs="Times New Roman"/>
          <w:sz w:val="28"/>
          <w:szCs w:val="28"/>
        </w:rPr>
        <w:br/>
      </w:r>
      <w:r w:rsidR="007B4CF1" w:rsidRPr="00005FC1">
        <w:rPr>
          <w:rFonts w:ascii="Times New Roman" w:hAnsi="Times New Roman" w:cs="Times New Roman"/>
          <w:sz w:val="28"/>
          <w:szCs w:val="28"/>
        </w:rPr>
        <w:br/>
      </w:r>
      <w:r w:rsidR="00AF2CA2">
        <w:rPr>
          <w:rFonts w:ascii="Times New Roman" w:hAnsi="Times New Roman" w:cs="Times New Roman"/>
          <w:sz w:val="28"/>
          <w:szCs w:val="28"/>
        </w:rPr>
        <w:t xml:space="preserve">         </w:t>
      </w:r>
      <w:r w:rsidR="00C279F8" w:rsidRPr="00005FC1">
        <w:rPr>
          <w:rFonts w:ascii="Times New Roman" w:hAnsi="Times New Roman" w:cs="Times New Roman"/>
          <w:sz w:val="28"/>
          <w:szCs w:val="28"/>
        </w:rPr>
        <w:t xml:space="preserve">Причиной ликвидации такого большого числа банков </w:t>
      </w:r>
      <w:r w:rsidR="00B94661" w:rsidRPr="00005FC1">
        <w:rPr>
          <w:rFonts w:ascii="Times New Roman" w:hAnsi="Times New Roman" w:cs="Times New Roman"/>
          <w:sz w:val="28"/>
          <w:szCs w:val="28"/>
        </w:rPr>
        <w:t xml:space="preserve"> </w:t>
      </w:r>
      <w:r w:rsidR="00684568" w:rsidRPr="00005FC1">
        <w:rPr>
          <w:rFonts w:ascii="Times New Roman" w:hAnsi="Times New Roman" w:cs="Times New Roman"/>
          <w:sz w:val="28"/>
          <w:szCs w:val="28"/>
        </w:rPr>
        <w:t>послужило несоответствие требованиям финансовой устойчивости, соотношения риска и доходности</w:t>
      </w:r>
      <w:r w:rsidR="00D779BA" w:rsidRPr="00005FC1">
        <w:rPr>
          <w:rFonts w:ascii="Times New Roman" w:hAnsi="Times New Roman" w:cs="Times New Roman"/>
          <w:sz w:val="28"/>
          <w:szCs w:val="28"/>
        </w:rPr>
        <w:t>, так как финансовая устойчивость является важнейшей характеристикой финансовой деятельности в условиях рыночной экономики, а ее обеспечение становится одной из наиболее острых проблем финансового менеджмента любого коммерческого банка.</w:t>
      </w:r>
    </w:p>
    <w:p w:rsidR="00D779BA" w:rsidRPr="00005FC1" w:rsidRDefault="00D779B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>Для обоснования мер повышения финансовой устойчивости в первую очередь необходимо отметить основания для отзыва лицензии у банков. Итак, основания для отзыва лицензии у банка в обязательном порядке:</w:t>
      </w:r>
    </w:p>
    <w:p w:rsidR="00BD079E" w:rsidRPr="00005FC1" w:rsidRDefault="00BD079E" w:rsidP="00CC43A2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>если достаточность капитала кредитной организации становится ниже 2%;</w:t>
      </w:r>
    </w:p>
    <w:p w:rsidR="00BD079E" w:rsidRPr="00005FC1" w:rsidRDefault="00BD079E" w:rsidP="00CC43A2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>если размер собственных средств меньше минимального значения уставного капитала, установленного на дату государственной регистрации (норма не применяется к кредитным организациям в течение первых двух лет со дня выдачи лицензии);</w:t>
      </w:r>
    </w:p>
    <w:p w:rsidR="00BD079E" w:rsidRPr="00005FC1" w:rsidRDefault="00BD079E" w:rsidP="00CC43A2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lastRenderedPageBreak/>
        <w:t>если кредитная организация не исполняет в срок требования Банка России о приведении в соответствие величины уставного капитала и размера собственных средств;</w:t>
      </w:r>
    </w:p>
    <w:p w:rsidR="00BD079E" w:rsidRPr="00005FC1" w:rsidRDefault="00BD079E" w:rsidP="00CC43A2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 xml:space="preserve">если кредитная организация неспособна удовлетворить требования кредиторов по денежным обязательствам или исполнить обязанность по исполнению платежей в течение 14 дней </w:t>
      </w:r>
      <w:proofErr w:type="gramStart"/>
      <w:r w:rsidRPr="00005FC1">
        <w:rPr>
          <w:rFonts w:ascii="Times New Roman" w:hAnsi="Times New Roman" w:cs="Times New Roman"/>
          <w:sz w:val="28"/>
          <w:szCs w:val="28"/>
        </w:rPr>
        <w:t>с даты наступления</w:t>
      </w:r>
      <w:proofErr w:type="gramEnd"/>
      <w:r w:rsidRPr="00005FC1">
        <w:rPr>
          <w:rFonts w:ascii="Times New Roman" w:hAnsi="Times New Roman" w:cs="Times New Roman"/>
          <w:sz w:val="28"/>
          <w:szCs w:val="28"/>
        </w:rPr>
        <w:t xml:space="preserve"> их срока. При этом указанные требования в совокупности должны составлять не менее тысячекратного размера минимального </w:t>
      </w:r>
      <w:proofErr w:type="gramStart"/>
      <w:r w:rsidRPr="00005FC1">
        <w:rPr>
          <w:rFonts w:ascii="Times New Roman" w:hAnsi="Times New Roman" w:cs="Times New Roman"/>
          <w:sz w:val="28"/>
          <w:szCs w:val="28"/>
        </w:rPr>
        <w:t>размера оплаты труда</w:t>
      </w:r>
      <w:proofErr w:type="gramEnd"/>
      <w:r w:rsidRPr="00005FC1">
        <w:rPr>
          <w:rFonts w:ascii="Times New Roman" w:hAnsi="Times New Roman" w:cs="Times New Roman"/>
          <w:sz w:val="28"/>
          <w:szCs w:val="28"/>
        </w:rPr>
        <w:t>;</w:t>
      </w:r>
    </w:p>
    <w:p w:rsidR="00BD079E" w:rsidRPr="00005FC1" w:rsidRDefault="00BD079E" w:rsidP="00CC43A2">
      <w:pPr>
        <w:pStyle w:val="a7"/>
        <w:numPr>
          <w:ilvl w:val="0"/>
          <w:numId w:val="2"/>
        </w:numPr>
        <w:spacing w:after="0" w:line="36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>если банк допустил сокращение размера капитала до уровня ниже минимального размера собственных средств, установленного Центральным банком и рассчитанного по его методике. При этом банк может обратиться в ЦБ с прошением о переводе его в категорию небанковских кредитных организаций.</w:t>
      </w:r>
    </w:p>
    <w:p w:rsidR="00E11904" w:rsidRPr="00005FC1" w:rsidRDefault="00E11904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>На наш взгляд, основания для отзыва лицензии у банка, указанные в ФЗ «О банках и банковской деятельности» от 02.12.1990, являются скорее последствиями реальных причин нарушения финансовой устойчивости кредитной организации — ведь за неспособностью отвечать по своим обязательствам и уменьшением собственных сре</w:t>
      </w:r>
      <w:proofErr w:type="gramStart"/>
      <w:r w:rsidRPr="00005FC1">
        <w:rPr>
          <w:rFonts w:ascii="Times New Roman" w:hAnsi="Times New Roman" w:cs="Times New Roman"/>
          <w:sz w:val="28"/>
          <w:szCs w:val="28"/>
        </w:rPr>
        <w:t>дств ст</w:t>
      </w:r>
      <w:proofErr w:type="gramEnd"/>
      <w:r w:rsidRPr="00005FC1">
        <w:rPr>
          <w:rFonts w:ascii="Times New Roman" w:hAnsi="Times New Roman" w:cs="Times New Roman"/>
          <w:sz w:val="28"/>
          <w:szCs w:val="28"/>
        </w:rPr>
        <w:t>оят гораздо более глубокие процессы, затрагивающие экономику страны в целом.</w:t>
      </w:r>
    </w:p>
    <w:p w:rsidR="00E11904" w:rsidRPr="00B500F7" w:rsidRDefault="00E11904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05FC1">
        <w:rPr>
          <w:rFonts w:ascii="Times New Roman" w:hAnsi="Times New Roman" w:cs="Times New Roman"/>
          <w:sz w:val="28"/>
          <w:szCs w:val="28"/>
        </w:rPr>
        <w:t>Стоит отметить, что вследствие макроэкономиче</w:t>
      </w:r>
      <w:r w:rsidR="00B500F7">
        <w:rPr>
          <w:rFonts w:ascii="Times New Roman" w:hAnsi="Times New Roman" w:cs="Times New Roman"/>
          <w:sz w:val="28"/>
          <w:szCs w:val="28"/>
        </w:rPr>
        <w:t>ской турбулентности, охватившей как мировые рынки, так и региональные, многократно </w:t>
      </w:r>
      <w:proofErr w:type="gramStart"/>
      <w:r w:rsidRPr="00005FC1">
        <w:rPr>
          <w:rFonts w:ascii="Times New Roman" w:hAnsi="Times New Roman" w:cs="Times New Roman"/>
          <w:sz w:val="28"/>
          <w:szCs w:val="28"/>
        </w:rPr>
        <w:t>усложни</w:t>
      </w:r>
      <w:r w:rsidR="00B500F7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005FC1">
        <w:rPr>
          <w:rFonts w:ascii="Times New Roman" w:hAnsi="Times New Roman" w:cs="Times New Roman"/>
          <w:sz w:val="28"/>
          <w:szCs w:val="28"/>
        </w:rPr>
        <w:t>лась</w:t>
      </w:r>
      <w:proofErr w:type="spellEnd"/>
      <w:proofErr w:type="gramEnd"/>
      <w:r w:rsidRPr="00005FC1">
        <w:rPr>
          <w:rFonts w:ascii="Times New Roman" w:hAnsi="Times New Roman" w:cs="Times New Roman"/>
          <w:sz w:val="28"/>
          <w:szCs w:val="28"/>
        </w:rPr>
        <w:t xml:space="preserve"> </w:t>
      </w:r>
      <w:r w:rsidR="003A4B7F" w:rsidRPr="00005FC1">
        <w:rPr>
          <w:rFonts w:ascii="Times New Roman" w:hAnsi="Times New Roman" w:cs="Times New Roman"/>
          <w:sz w:val="28"/>
          <w:szCs w:val="28"/>
        </w:rPr>
        <w:t>задача по обеспечению финансовой устойч</w:t>
      </w:r>
      <w:r w:rsidR="00B500F7">
        <w:rPr>
          <w:rFonts w:ascii="Times New Roman" w:hAnsi="Times New Roman" w:cs="Times New Roman"/>
          <w:sz w:val="28"/>
          <w:szCs w:val="28"/>
        </w:rPr>
        <w:t>ивости. Самым ярким проявлением экономической неустойчивости стала </w:t>
      </w:r>
      <w:r w:rsidR="00C31CA1">
        <w:rPr>
          <w:rFonts w:ascii="Times New Roman" w:hAnsi="Times New Roman" w:cs="Times New Roman"/>
          <w:sz w:val="28"/>
          <w:szCs w:val="28"/>
        </w:rPr>
        <w:t>дестабилизация курса </w:t>
      </w:r>
      <w:r w:rsidR="00005FC1">
        <w:rPr>
          <w:rFonts w:ascii="Times New Roman" w:hAnsi="Times New Roman" w:cs="Times New Roman"/>
          <w:sz w:val="28"/>
          <w:szCs w:val="28"/>
        </w:rPr>
        <w:t>рубля (рисунок </w:t>
      </w:r>
      <w:r w:rsidR="003A4B7F" w:rsidRPr="00005FC1">
        <w:rPr>
          <w:rFonts w:ascii="Times New Roman" w:hAnsi="Times New Roman" w:cs="Times New Roman"/>
          <w:sz w:val="28"/>
          <w:szCs w:val="28"/>
        </w:rPr>
        <w:t>2).</w:t>
      </w:r>
      <w:r w:rsidR="003A4B7F" w:rsidRPr="00005FC1">
        <w:rPr>
          <w:rFonts w:ascii="Times New Roman" w:hAnsi="Times New Roman" w:cs="Times New Roman"/>
          <w:sz w:val="28"/>
          <w:szCs w:val="28"/>
        </w:rPr>
        <w:br/>
      </w:r>
      <w:r w:rsidR="003A4B7F" w:rsidRPr="003A4B7F">
        <w:lastRenderedPageBreak/>
        <w:br/>
      </w:r>
      <w:r w:rsidR="00C31CA1">
        <w:rPr>
          <w:noProof/>
          <w:lang w:eastAsia="ru-RU"/>
        </w:rPr>
        <w:drawing>
          <wp:inline distT="0" distB="0" distL="0" distR="0" wp14:anchorId="695E7C81" wp14:editId="68DB5407">
            <wp:extent cx="6076950" cy="2962275"/>
            <wp:effectExtent l="0" t="0" r="19050" b="9525"/>
            <wp:docPr id="7" name="Диаграмма 7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C31CA1" w:rsidRDefault="00B500F7" w:rsidP="00CC43A2">
      <w:pPr>
        <w:spacing w:after="0" w:line="360" w:lineRule="auto"/>
        <w:ind w:firstLine="709"/>
        <w:jc w:val="center"/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Рисунок</w:t>
      </w:r>
      <w:r w:rsidR="003A4B7F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2. Динамика курса доллара США к российскому рублю за период с апреля 2014 года по март 2015 года</w:t>
      </w:r>
      <w:r w:rsidR="003A4B7F" w:rsidRPr="00005FC1">
        <w:rPr>
          <w:rStyle w:val="apple-converted-space"/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.</w:t>
      </w:r>
    </w:p>
    <w:p w:rsidR="003A4B7F" w:rsidRPr="00005FC1" w:rsidRDefault="003A4B7F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Ослабление курса рубля вызвало резкое повышение стоимости финансовых ресурсов, которые российские банки привыкли привлекать за рубежом и использовать для осуществления кредитных операций в России. В то же время, такое резкое подорожание валюты не могло остаться без внимания Центрального Банка РФ, вследствие чего было принято решение о повышении ключевой ставки с целью пресечения валютных спекуляций коммерческими банками и удорожание национальной валюты. Центральный Банк РФ решил резко увеличить ключевую ставку — 16 декабря 2014 года она была повышена с 10,5 % до 17 % годовых. После того как курс рубля прекратил свое падение и достиг определенной стабильности, ключевая ставка стала опять снижаться, потому что дальнейшая стагнация банковского сектора могла вызвать крайне негативные последствия, и было необходимо стимулировать рост кредитования с целью поддержки отечественных производителей (рисунок 3).</w:t>
      </w:r>
    </w:p>
    <w:p w:rsidR="003A4B7F" w:rsidRDefault="00750DC0" w:rsidP="00E11904">
      <w:pPr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noProof/>
          <w:lang w:eastAsia="ru-RU"/>
        </w:rPr>
        <w:lastRenderedPageBreak/>
        <w:drawing>
          <wp:inline distT="0" distB="0" distL="0" distR="0" wp14:anchorId="33B097CC" wp14:editId="090C14B0">
            <wp:extent cx="6096000" cy="2876550"/>
            <wp:effectExtent l="0" t="0" r="19050" b="19050"/>
            <wp:docPr id="8" name="Диаграмма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3A4B7F" w:rsidRPr="00005FC1" w:rsidRDefault="00B500F7" w:rsidP="00CC43A2">
      <w:pPr>
        <w:spacing w:after="0" w:line="36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Рисунок</w:t>
      </w:r>
      <w:r w:rsidR="003A4B7F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3. Динамика изменения ключевой ставки Центрального Банка РФ за период с сентября 2013 года по апрель 2015 года.</w:t>
      </w:r>
    </w:p>
    <w:p w:rsidR="00750DC0" w:rsidRDefault="003A4B7F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 </w:t>
      </w:r>
    </w:p>
    <w:p w:rsidR="00750DC0" w:rsidRDefault="00595B1A" w:rsidP="00CC43A2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Повышение стоимости фондирования осложнило обеспечение финансовой устойчивости коммерческих банков, ведь нехватка финансовых ресурсов неизбежно оказывает сильное влияние на их уровень ликв</w:t>
      </w:r>
      <w:r w:rsid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идности и платежеспособности</w:t>
      </w:r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. Таким образом, резко возросла роль модернизации </w:t>
      </w:r>
      <w:proofErr w:type="spellStart"/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внутрибанковской</w:t>
      </w:r>
      <w:proofErr w:type="spellEnd"/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инфраструктуры и контроля за потоками финансовых ресурсов кредитной организации в целях недопущения </w:t>
      </w:r>
      <w:proofErr w:type="gramStart"/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кризиса</w:t>
      </w:r>
      <w:proofErr w:type="gramEnd"/>
      <w:r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 рамках отдельно взятого банка и поддержания его финансовой устойчивости. Ведь при крайне нестабильной ситуации на мировых финансовых рынках, а также жесткой политике Центрального Банка РФ и его стремлении к укрупнению банковского сектора и очищению рынка от мелких игроков, руководству банка необходимо использовать разнообразные инструм</w:t>
      </w:r>
      <w:r w:rsidR="00750DC0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енты для поддержания финансовой устойчивости на должном уровне.</w:t>
      </w:r>
    </w:p>
    <w:p w:rsidR="002E4172" w:rsidRDefault="002E4172" w:rsidP="00750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2E4172" w:rsidRDefault="002E4172" w:rsidP="00750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2E4172" w:rsidRDefault="002E4172" w:rsidP="00750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2E4172" w:rsidRDefault="002E4172" w:rsidP="00750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2E4172" w:rsidRDefault="002E4172" w:rsidP="00750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2E4172" w:rsidRDefault="002E4172" w:rsidP="00750DC0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CC43A2" w:rsidRDefault="00CC43A2" w:rsidP="00CC43A2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Default="00053A4A" w:rsidP="00F34394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 w:rsidRPr="00053A4A"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  <w:lastRenderedPageBreak/>
        <w:t>2. Обеспечение финансовой устойчивости коммерческих банков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Финансовая устойчивость банка является одним из важнейших характеристик его финансового состояния. Она характеризуется достаточностью ресурсов для продолжения существования банка и выполнения им функции финансового посредника в долгосрочной перспективе.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Финансовая устойчивость определяется внутренними и внешними факторами. К внутренним факторам относятся: уровень ликвидности и платежеспособности банка, стабильность банка (неизменность и положительная динамика показателей финансового состояния с течением времени), достаточностью капитала и др. Внешними факторами являются экономические и политические условия внешней среды, включая и положение банка на финансовом рынке.</w:t>
      </w:r>
    </w:p>
    <w:p w:rsid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Влияние внутренних факторов подлежит количественной оценке путем расчета соответствующих показателей финансовой устойчивости. Оценка же внешних факторов представляет значительные сложности в силу чрезвычайно динамично развивающейся в России ситуации.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Обеспечение финансовой устойчивости коммерческих банков базируется на ряде принципов: 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- активизация связей банковского и производственного секторов,   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proofErr w:type="gramStart"/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что приведет к переходу от экстенсивной к интенсивной фазе развития функционирования банковской системы;</w:t>
      </w: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br/>
        <w:t xml:space="preserve">         - рост основных положительных параметров (капитала, активов, ликвид</w:t>
      </w:r>
      <w:proofErr w:type="gramEnd"/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proofErr w:type="spellStart"/>
      <w:proofErr w:type="gramStart"/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ности</w:t>
      </w:r>
      <w:proofErr w:type="spellEnd"/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, платежеспособности, рентабельности и т. д.) деятельности коммерческого банка и снижение негативных параметров (рискованности, некачественных и нерабочих активов, несбалансированности кредитного и депозитного портфелей и т. д.). </w:t>
      </w:r>
      <w:proofErr w:type="gramEnd"/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Очевидно, что для обеспечения необходимого уровня финансовой устойчивости банковских организаций необходимо определить комплексные магистральные направления развития банковской системы. К этим направлениям следует отнести: 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lastRenderedPageBreak/>
        <w:t>1)     снижение уровня просроченной задолженности клиентов в кредитных портфелях;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2)     повышение уровня капитализации большинства коммерческих банков;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3)     восстановление и укрепление доверия к банковской системе со стороны инвесторов, в том числе иностранных, а также со стороны вкладчиков. 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Реализация этих направлений требует активной модернизации деятельности коммерческих банков, что возможно посредством использования совокупности инструментов, которые условно можно разделить на две 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основные группы: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- учетно-операционную;  </w:t>
      </w:r>
    </w:p>
    <w:p w:rsidR="00F34394" w:rsidRPr="00F34394" w:rsidRDefault="00F34394" w:rsidP="00F34394">
      <w:pPr>
        <w:spacing w:after="0" w:line="360" w:lineRule="auto"/>
        <w:ind w:firstLine="709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C3BF31D" wp14:editId="32EA8F41">
                <wp:simplePos x="0" y="0"/>
                <wp:positionH relativeFrom="column">
                  <wp:posOffset>1461135</wp:posOffset>
                </wp:positionH>
                <wp:positionV relativeFrom="paragraph">
                  <wp:posOffset>299085</wp:posOffset>
                </wp:positionV>
                <wp:extent cx="3600450" cy="4953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00450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190D" w:rsidRPr="0042190D" w:rsidRDefault="0042190D" w:rsidP="0042190D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2190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Инструменты обеспечения финансовой устойчивости коммерческого банка</w:t>
                            </w:r>
                          </w:p>
                          <w:p w:rsidR="0042190D" w:rsidRDefault="0042190D" w:rsidP="004219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" o:spid="_x0000_s1026" style="position:absolute;left:0;text-align:left;margin-left:115.05pt;margin-top:23.55pt;width:283.5pt;height:3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" fillcolor="white [3201]" strokecolor="black [3200]" strokeweight="2pt">
                <v:textbox>
                  <w:txbxContent>
                    <w:p w:rsidR="0042190D" w:rsidRPr="0042190D" w:rsidRDefault="0042190D" w:rsidP="0042190D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2190D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Инструменты обеспечения финансовой устойчивости коммерческого банка</w:t>
                      </w:r>
                    </w:p>
                    <w:p w:rsidR="0042190D" w:rsidRDefault="0042190D" w:rsidP="004219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- </w:t>
      </w:r>
      <w:proofErr w:type="gramStart"/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>маркетинговую</w:t>
      </w:r>
      <w:proofErr w:type="gramEnd"/>
      <w:r w:rsidRPr="00F34394"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  <w:t xml:space="preserve"> (рисунок 4).</w:t>
      </w:r>
    </w:p>
    <w:p w:rsidR="00F34394" w:rsidRPr="00F34394" w:rsidRDefault="00F34394" w:rsidP="00F34394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CC43A2" w:rsidRPr="00CC43A2" w:rsidRDefault="00CC43A2" w:rsidP="00CC43A2">
      <w:pPr>
        <w:spacing w:after="0" w:line="240" w:lineRule="auto"/>
        <w:jc w:val="both"/>
        <w:rPr>
          <w:rFonts w:ascii="Times New Roman" w:hAnsi="Times New Roman" w:cs="Times New Roman"/>
          <w:bCs/>
          <w:color w:val="333333"/>
          <w:sz w:val="28"/>
          <w:szCs w:val="28"/>
          <w:shd w:val="clear" w:color="auto" w:fill="FFFFFF"/>
        </w:rPr>
      </w:pPr>
    </w:p>
    <w:p w:rsidR="00CC43A2" w:rsidRDefault="00F34394" w:rsidP="00CC43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B6C7F09" wp14:editId="4C52555C">
                <wp:simplePos x="0" y="0"/>
                <wp:positionH relativeFrom="column">
                  <wp:posOffset>3851910</wp:posOffset>
                </wp:positionH>
                <wp:positionV relativeFrom="paragraph">
                  <wp:posOffset>79375</wp:posOffset>
                </wp:positionV>
                <wp:extent cx="219075" cy="219075"/>
                <wp:effectExtent l="19050" t="0" r="28575" b="47625"/>
                <wp:wrapNone/>
                <wp:docPr id="24" name="Стрелка вниз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67" coordsize="21600,21600" o:spt="67" adj="16200,5400" path="m0@0l@1@0@1,0@2,0@2@0,21600@0,10800,216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10800,0;0,@0;10800,21600;21600,@0" o:connectangles="270,180,90,0" textboxrect="@1,0,@2,@6"/>
                <v:handles>
                  <v:h position="#1,#0" xrange="0,10800" yrange="0,21600"/>
                </v:handles>
              </v:shapetype>
              <v:shape id="Стрелка вниз 24" o:spid="_x0000_s1026" type="#_x0000_t67" style="position:absolute;margin-left:303.3pt;margin-top:6.25pt;width:17.25pt;height:17.25pt;z-index:25167974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" adj="10800" fillcolor="window" strokecolor="windowText" strokeweight="2pt"/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F9C6159" wp14:editId="0D4F6F46">
                <wp:simplePos x="0" y="0"/>
                <wp:positionH relativeFrom="column">
                  <wp:posOffset>2213610</wp:posOffset>
                </wp:positionH>
                <wp:positionV relativeFrom="paragraph">
                  <wp:posOffset>79375</wp:posOffset>
                </wp:positionV>
                <wp:extent cx="219075" cy="219075"/>
                <wp:effectExtent l="19050" t="0" r="28575" b="47625"/>
                <wp:wrapNone/>
                <wp:docPr id="9" name="Стрелка вниз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9" o:spid="_x0000_s1026" type="#_x0000_t67" style="position:absolute;margin-left:174.3pt;margin-top:6.25pt;width:17.25pt;height:17.25pt;z-index:25166540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" adj="10800" fillcolor="window" strokecolor="windowText" strokeweight="2pt"/>
            </w:pict>
          </mc:Fallback>
        </mc:AlternateContent>
      </w:r>
    </w:p>
    <w:p w:rsidR="00CC43A2" w:rsidRDefault="00F34394" w:rsidP="00CC43A2">
      <w:pPr>
        <w:spacing w:after="0" w:line="240" w:lineRule="auto"/>
        <w:jc w:val="center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4D332E5" wp14:editId="25545A21">
                <wp:simplePos x="0" y="0"/>
                <wp:positionH relativeFrom="column">
                  <wp:posOffset>3347085</wp:posOffset>
                </wp:positionH>
                <wp:positionV relativeFrom="paragraph">
                  <wp:posOffset>113030</wp:posOffset>
                </wp:positionV>
                <wp:extent cx="3019425" cy="1581150"/>
                <wp:effectExtent l="0" t="0" r="28575" b="1905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19425" cy="158115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6079AA" w:rsidRDefault="006079AA" w:rsidP="00282EC9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Маркетинговые инструменты</w:t>
                            </w:r>
                          </w:p>
                          <w:p w:rsidR="00282EC9" w:rsidRDefault="00282EC9" w:rsidP="006079A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744B9E" w:rsidRPr="006079AA" w:rsidRDefault="00744B9E" w:rsidP="006079A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6079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1.Постоянный мониторинг ценовой и продуктовой политики конкурентов;</w:t>
                            </w:r>
                          </w:p>
                          <w:p w:rsidR="00744B9E" w:rsidRPr="006079AA" w:rsidRDefault="006079AA" w:rsidP="006079A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2.Внедрение актуальных и </w:t>
                            </w:r>
                            <w:r w:rsidR="00744B9E" w:rsidRPr="006079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современных технологий и функционирования;</w:t>
                            </w:r>
                          </w:p>
                          <w:p w:rsidR="00744B9E" w:rsidRPr="006079AA" w:rsidRDefault="006079AA" w:rsidP="006079AA">
                            <w:pPr>
                              <w:spacing w:after="0" w:line="240" w:lineRule="auto"/>
                              <w:jc w:val="both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3.Соответствие 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международным</w:t>
                            </w:r>
                            <w:proofErr w:type="gramEnd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 </w:t>
                            </w:r>
                            <w:r w:rsidR="00744B9E" w:rsidRPr="006079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стандар</w:t>
                            </w:r>
                            <w:r w:rsidR="004E5A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-</w:t>
                            </w:r>
                            <w:r w:rsidR="00744B9E" w:rsidRPr="006079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там</w:t>
                            </w: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 работы с контрагентами </w:t>
                            </w:r>
                            <w:r w:rsidRPr="006079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 клиентами.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7" style="position:absolute;left:0;text-align:left;margin-left:263.55pt;margin-top:8.9pt;width:237.75pt;height:124.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" fillcolor="white [3201]" strokecolor="black [3200]" strokeweight="2pt">
                <v:textbox>
                  <w:txbxContent>
                    <w:p w:rsidR="006079AA" w:rsidRDefault="006079AA" w:rsidP="00282EC9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Маркетинговые инструменты</w:t>
                      </w:r>
                    </w:p>
                    <w:p w:rsidR="00282EC9" w:rsidRDefault="00282EC9" w:rsidP="006079A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744B9E" w:rsidRPr="006079AA" w:rsidRDefault="00744B9E" w:rsidP="006079A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6079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1.Постоянный мониторинг ценовой и продуктовой политики конкурентов;</w:t>
                      </w:r>
                    </w:p>
                    <w:p w:rsidR="00744B9E" w:rsidRPr="006079AA" w:rsidRDefault="006079AA" w:rsidP="006079A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2.Внедрение актуальных и </w:t>
                      </w:r>
                      <w:r w:rsidR="00744B9E" w:rsidRPr="006079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современных технологий и функционирования;</w:t>
                      </w:r>
                    </w:p>
                    <w:p w:rsidR="00744B9E" w:rsidRPr="006079AA" w:rsidRDefault="006079AA" w:rsidP="006079AA">
                      <w:pPr>
                        <w:spacing w:after="0" w:line="240" w:lineRule="auto"/>
                        <w:jc w:val="both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3.Соответствие 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международным</w:t>
                      </w:r>
                      <w:proofErr w:type="gramEnd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 </w:t>
                      </w:r>
                      <w:r w:rsidR="00744B9E" w:rsidRPr="006079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стандар</w:t>
                      </w:r>
                      <w:r w:rsidR="004E5A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-</w:t>
                      </w:r>
                      <w:r w:rsidR="00744B9E" w:rsidRPr="006079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там</w:t>
                      </w: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 работы с контрагентами </w:t>
                      </w:r>
                      <w:r w:rsidRPr="006079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 клиентами.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A34E5C" wp14:editId="0501E5A2">
                <wp:simplePos x="0" y="0"/>
                <wp:positionH relativeFrom="column">
                  <wp:posOffset>213360</wp:posOffset>
                </wp:positionH>
                <wp:positionV relativeFrom="paragraph">
                  <wp:posOffset>141605</wp:posOffset>
                </wp:positionV>
                <wp:extent cx="3009900" cy="15716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09900" cy="15716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42190D" w:rsidRPr="0042190D" w:rsidRDefault="0042190D" w:rsidP="0076630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2190D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  <w:t>Учетно-операционные инструменты</w:t>
                            </w:r>
                          </w:p>
                          <w:p w:rsidR="00282EC9" w:rsidRDefault="00282EC9" w:rsidP="004B771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</w:p>
                          <w:p w:rsidR="0042190D" w:rsidRPr="004B7713" w:rsidRDefault="004B7713" w:rsidP="004B771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1.</w:t>
                            </w:r>
                            <w:r w:rsidR="007037F0" w:rsidRPr="004B77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Реальное поддержание нормативов ликвидности;</w:t>
                            </w:r>
                          </w:p>
                          <w:p w:rsidR="007037F0" w:rsidRPr="004B7713" w:rsidRDefault="00282EC9" w:rsidP="004B771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2.</w:t>
                            </w:r>
                            <w:proofErr w:type="gramStart"/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К</w:t>
                            </w:r>
                            <w:r w:rsidR="004E5A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онтроль за</w:t>
                            </w:r>
                            <w:proofErr w:type="gramEnd"/>
                            <w:r w:rsidR="004E5A64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 соотноше</w:t>
                            </w:r>
                            <w:r w:rsidR="007037F0" w:rsidRPr="004B77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ни</w:t>
                            </w:r>
                            <w:r w:rsidR="0076630B" w:rsidRPr="004B77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е</w:t>
                            </w:r>
                            <w:r w:rsidR="007037F0" w:rsidRPr="004B77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м постоянных и переменных доходов и расходов;</w:t>
                            </w:r>
                          </w:p>
                          <w:p w:rsidR="007037F0" w:rsidRPr="004B7713" w:rsidRDefault="004B7713" w:rsidP="004B7713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3.</w:t>
                            </w:r>
                            <w:r w:rsidR="007037F0" w:rsidRPr="004B7713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Индивидуальный подход к оценке кредитоспособности заемщиков</w:t>
                            </w:r>
                            <w:r w:rsidR="006079AA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037F0" w:rsidRDefault="007037F0" w:rsidP="007037F0">
                            <w:pPr>
                              <w:jc w:val="both"/>
                            </w:pPr>
                          </w:p>
                          <w:p w:rsidR="007037F0" w:rsidRDefault="007037F0" w:rsidP="007037F0">
                            <w:pPr>
                              <w:jc w:val="both"/>
                            </w:pPr>
                          </w:p>
                          <w:p w:rsidR="007037F0" w:rsidRDefault="007037F0" w:rsidP="007037F0"/>
                          <w:p w:rsidR="0042190D" w:rsidRDefault="0042190D" w:rsidP="0042190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6" o:spid="_x0000_s1028" style="position:absolute;left:0;text-align:left;margin-left:16.8pt;margin-top:11.15pt;width:237pt;height:123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" fillcolor="white [3201]" strokecolor="black [3200]" strokeweight="2pt">
                <v:textbox>
                  <w:txbxContent>
                    <w:p w:rsidR="0042190D" w:rsidRPr="0042190D" w:rsidRDefault="0042190D" w:rsidP="0076630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2190D"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  <w:t>Учетно-операционные инструменты</w:t>
                      </w:r>
                    </w:p>
                    <w:p w:rsidR="00282EC9" w:rsidRDefault="00282EC9" w:rsidP="004B771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</w:p>
                    <w:p w:rsidR="0042190D" w:rsidRPr="004B7713" w:rsidRDefault="004B7713" w:rsidP="004B771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1.</w:t>
                      </w:r>
                      <w:r w:rsidR="007037F0" w:rsidRPr="004B77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Реальное поддержание нормативов ликвидности;</w:t>
                      </w:r>
                    </w:p>
                    <w:p w:rsidR="007037F0" w:rsidRPr="004B7713" w:rsidRDefault="00282EC9" w:rsidP="004B771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2.</w:t>
                      </w:r>
                      <w:proofErr w:type="gramStart"/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К</w:t>
                      </w:r>
                      <w:r w:rsidR="004E5A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онтроль за</w:t>
                      </w:r>
                      <w:proofErr w:type="gramEnd"/>
                      <w:r w:rsidR="004E5A64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 соотноше</w:t>
                      </w:r>
                      <w:r w:rsidR="007037F0" w:rsidRPr="004B77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ни</w:t>
                      </w:r>
                      <w:r w:rsidR="0076630B" w:rsidRPr="004B77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е</w:t>
                      </w:r>
                      <w:r w:rsidR="007037F0" w:rsidRPr="004B77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м постоянных и переменных доходов и расходов;</w:t>
                      </w:r>
                    </w:p>
                    <w:p w:rsidR="007037F0" w:rsidRPr="004B7713" w:rsidRDefault="004B7713" w:rsidP="004B7713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3.</w:t>
                      </w:r>
                      <w:r w:rsidR="007037F0" w:rsidRPr="004B7713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Индивидуальный подход к оценке кредитоспособности заемщиков</w:t>
                      </w:r>
                      <w:r w:rsidR="006079AA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.</w:t>
                      </w:r>
                    </w:p>
                    <w:p w:rsidR="007037F0" w:rsidRDefault="007037F0" w:rsidP="007037F0">
                      <w:pPr>
                        <w:jc w:val="both"/>
                      </w:pPr>
                    </w:p>
                    <w:p w:rsidR="007037F0" w:rsidRDefault="007037F0" w:rsidP="007037F0">
                      <w:pPr>
                        <w:jc w:val="both"/>
                      </w:pPr>
                    </w:p>
                    <w:p w:rsidR="007037F0" w:rsidRDefault="007037F0" w:rsidP="007037F0"/>
                    <w:p w:rsidR="0042190D" w:rsidRDefault="0042190D" w:rsidP="0042190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F34394" w:rsidRDefault="00F34394" w:rsidP="00F34394">
      <w:pPr>
        <w:spacing w:after="0" w:line="240" w:lineRule="auto"/>
        <w:rPr>
          <w:rFonts w:ascii="Times New Roman" w:hAnsi="Times New Roman" w:cs="Times New Roman"/>
          <w:b/>
          <w:bCs/>
          <w:color w:val="333333"/>
          <w:sz w:val="28"/>
          <w:szCs w:val="28"/>
          <w:shd w:val="clear" w:color="auto" w:fill="FFFFFF"/>
        </w:rPr>
      </w:pPr>
    </w:p>
    <w:p w:rsidR="0042190D" w:rsidRDefault="00F34394" w:rsidP="00F3439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E24645C" wp14:editId="152AFEAF">
                <wp:simplePos x="0" y="0"/>
                <wp:positionH relativeFrom="column">
                  <wp:posOffset>3347085</wp:posOffset>
                </wp:positionH>
                <wp:positionV relativeFrom="paragraph">
                  <wp:posOffset>73660</wp:posOffset>
                </wp:positionV>
                <wp:extent cx="3019425" cy="0"/>
                <wp:effectExtent l="0" t="0" r="9525" b="19050"/>
                <wp:wrapNone/>
                <wp:docPr id="27" name="Прямая соединительная линия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194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7" o:spid="_x0000_s1026" style="position:absolute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63.55pt,5.8pt" to="501.3pt,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" strokecolor="black [3040]"/>
            </w:pict>
          </mc:Fallback>
        </mc:AlternateContent>
      </w:r>
      <w:r w:rsidR="00282EC9"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1C184EB" wp14:editId="58152474">
                <wp:simplePos x="0" y="0"/>
                <wp:positionH relativeFrom="column">
                  <wp:posOffset>213360</wp:posOffset>
                </wp:positionH>
                <wp:positionV relativeFrom="paragraph">
                  <wp:posOffset>73660</wp:posOffset>
                </wp:positionV>
                <wp:extent cx="3009900" cy="9525"/>
                <wp:effectExtent l="0" t="0" r="19050" b="28575"/>
                <wp:wrapNone/>
                <wp:docPr id="29" name="Прямая соединительная линия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0099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Прямая соединительная линия 29" o:spid="_x0000_s1026" style="position:absolute;z-index:2516848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6.8pt,5.8pt" to="253.8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" strokecolor="black [3040]"/>
            </w:pict>
          </mc:Fallback>
        </mc:AlternateContent>
      </w:r>
    </w:p>
    <w:p w:rsidR="0042190D" w:rsidRDefault="0042190D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2190D" w:rsidRDefault="007037F0" w:rsidP="004E5A64">
      <w:pPr>
        <w:spacing w:after="0" w:line="240" w:lineRule="auto"/>
        <w:ind w:firstLine="709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609F98C" wp14:editId="37B7461A">
                <wp:simplePos x="0" y="0"/>
                <wp:positionH relativeFrom="column">
                  <wp:posOffset>203835</wp:posOffset>
                </wp:positionH>
                <wp:positionV relativeFrom="paragraph">
                  <wp:posOffset>153670</wp:posOffset>
                </wp:positionV>
                <wp:extent cx="0" cy="0"/>
                <wp:effectExtent l="0" t="0" r="0" b="0"/>
                <wp:wrapNone/>
                <wp:docPr id="14" name="Прямая соединительная лини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4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6.05pt,12.1pt" to="16.0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" strokecolor="#4579b8 [3044]"/>
            </w:pict>
          </mc:Fallback>
        </mc:AlternateContent>
      </w:r>
    </w:p>
    <w:p w:rsidR="0042190D" w:rsidRDefault="0042190D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2190D" w:rsidRDefault="0042190D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2190D" w:rsidRDefault="0042190D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42190D" w:rsidRDefault="00282EC9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24F5048" wp14:editId="57C7ACBA">
                <wp:simplePos x="0" y="0"/>
                <wp:positionH relativeFrom="column">
                  <wp:posOffset>2137410</wp:posOffset>
                </wp:positionH>
                <wp:positionV relativeFrom="paragraph">
                  <wp:posOffset>78105</wp:posOffset>
                </wp:positionV>
                <wp:extent cx="2219325" cy="295275"/>
                <wp:effectExtent l="0" t="0" r="28575" b="28575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19325" cy="29527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015" w:rsidRPr="005A1015" w:rsidRDefault="005A1015" w:rsidP="005A10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5A1015"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  <w:t>Предполагаемый результат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left:0;text-align:left;margin-left:168.3pt;margin-top:6.15pt;width:174.75pt;height:23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" fillcolor="white [3201]" strokecolor="black [3200]" strokeweight="2pt">
                <v:textbox>
                  <w:txbxContent>
                    <w:p w:rsidR="005A1015" w:rsidRPr="005A1015" w:rsidRDefault="005A1015" w:rsidP="005A1015">
                      <w:pPr>
                        <w:jc w:val="center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5A1015"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  <w:t>Предполагаемый результат</w:t>
                      </w:r>
                    </w:p>
                  </w:txbxContent>
                </v:textbox>
              </v:rect>
            </w:pict>
          </mc:Fallback>
        </mc:AlternateContent>
      </w:r>
    </w:p>
    <w:p w:rsidR="0042190D" w:rsidRDefault="00F34394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7DE6B51" wp14:editId="4AC7C9AF">
                <wp:simplePos x="0" y="0"/>
                <wp:positionH relativeFrom="column">
                  <wp:posOffset>3137535</wp:posOffset>
                </wp:positionH>
                <wp:positionV relativeFrom="paragraph">
                  <wp:posOffset>169545</wp:posOffset>
                </wp:positionV>
                <wp:extent cx="219075" cy="219075"/>
                <wp:effectExtent l="19050" t="0" r="28575" b="47625"/>
                <wp:wrapNone/>
                <wp:docPr id="25" name="Стрелка вниз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075" cy="219075"/>
                        </a:xfrm>
                        <a:prstGeom prst="downArrow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Стрелка вниз 25" o:spid="_x0000_s1026" type="#_x0000_t67" style="position:absolute;margin-left:247.05pt;margin-top:13.35pt;width:17.25pt;height:17.25pt;z-index:25168179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" adj="10800" fillcolor="window" strokecolor="windowText" strokeweight="2pt"/>
            </w:pict>
          </mc:Fallback>
        </mc:AlternateContent>
      </w:r>
    </w:p>
    <w:p w:rsidR="007037F0" w:rsidRDefault="00F34394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333333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3674458E" wp14:editId="259D20E5">
                <wp:simplePos x="0" y="0"/>
                <wp:positionH relativeFrom="column">
                  <wp:posOffset>746760</wp:posOffset>
                </wp:positionH>
                <wp:positionV relativeFrom="paragraph">
                  <wp:posOffset>184150</wp:posOffset>
                </wp:positionV>
                <wp:extent cx="5057775" cy="495300"/>
                <wp:effectExtent l="0" t="0" r="28575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57775" cy="4953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5A1015" w:rsidRPr="005A1015" w:rsidRDefault="005A1015" w:rsidP="005A1015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</w:pPr>
                            <w:r w:rsidRPr="005A1015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</w:rPr>
                              <w:t>Обеспечение финансовой устойчивости коммерческого банка за счет планомерного, стабильного и устойчивого банкинга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30" style="position:absolute;left:0;text-align:left;margin-left:58.8pt;margin-top:14.5pt;width:398.25pt;height:39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" fillcolor="white [3201]" strokecolor="black [3200]" strokeweight="2pt">
                <v:textbox>
                  <w:txbxContent>
                    <w:p w:rsidR="005A1015" w:rsidRPr="005A1015" w:rsidRDefault="005A1015" w:rsidP="005A1015">
                      <w:pPr>
                        <w:jc w:val="center"/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</w:pPr>
                      <w:r w:rsidRPr="005A1015">
                        <w:rPr>
                          <w:rFonts w:ascii="Times New Roman" w:hAnsi="Times New Roman" w:cs="Times New Roman"/>
                          <w:sz w:val="24"/>
                          <w:szCs w:val="24"/>
                        </w:rPr>
                        <w:t>Обеспечение финансовой устойчивости коммерческого банка за счет планомерного, стабильного и устойчивого банкинга</w:t>
                      </w:r>
                    </w:p>
                  </w:txbxContent>
                </v:textbox>
              </v:rect>
            </w:pict>
          </mc:Fallback>
        </mc:AlternateContent>
      </w:r>
    </w:p>
    <w:p w:rsidR="007037F0" w:rsidRDefault="007037F0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037F0" w:rsidRDefault="007037F0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7037F0" w:rsidRDefault="007037F0" w:rsidP="001C013A">
      <w:pPr>
        <w:spacing w:after="0" w:line="240" w:lineRule="auto"/>
        <w:ind w:firstLine="709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595B1A" w:rsidRDefault="00A02B52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  <w:r w:rsidRPr="00504A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Рисунок</w:t>
      </w:r>
      <w:r w:rsidR="00595B1A" w:rsidRPr="00504AE7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4. Инструменты обеспечения финансовой устойчивости коммерческого банка.</w:t>
      </w:r>
    </w:p>
    <w:p w:rsidR="00053A4A" w:rsidRDefault="00053A4A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Default="00053A4A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Default="00053A4A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Default="00053A4A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Default="00053A4A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Default="00053A4A" w:rsidP="00282EC9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F34394" w:rsidRDefault="00F34394" w:rsidP="00F34394">
      <w:pPr>
        <w:spacing w:after="0" w:line="240" w:lineRule="auto"/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</w:pPr>
    </w:p>
    <w:p w:rsidR="00053A4A" w:rsidRPr="00053A4A" w:rsidRDefault="00053A4A" w:rsidP="00F34394">
      <w:pPr>
        <w:spacing w:after="0" w:line="360" w:lineRule="auto"/>
        <w:jc w:val="center"/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</w:pPr>
      <w:r w:rsidRPr="00053A4A">
        <w:rPr>
          <w:rFonts w:ascii="Times New Roman" w:hAnsi="Times New Roman" w:cs="Times New Roman"/>
          <w:b/>
          <w:color w:val="333333"/>
          <w:sz w:val="28"/>
          <w:szCs w:val="28"/>
          <w:shd w:val="clear" w:color="auto" w:fill="FFFFFF"/>
        </w:rPr>
        <w:lastRenderedPageBreak/>
        <w:t>ЗАКЛЮЧЕНИЕ</w:t>
      </w:r>
    </w:p>
    <w:p w:rsidR="001C013A" w:rsidRDefault="00053A4A" w:rsidP="00F34394">
      <w:pPr>
        <w:spacing w:after="0" w:line="360" w:lineRule="auto"/>
        <w:ind w:firstLine="709"/>
        <w:jc w:val="both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</w:t>
      </w:r>
      <w:r w:rsidR="00595B1A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спользование вышеперечисленных инструментов позволит минимизировать вероятность финансового коллапса банковской системы, так как финансово устойчивый банк имеет конкурентные преимущества перед другими кредитными организациями, что находит выражение в привлечении дополнительных ресурсов, доминировании на том или ином сегменте рынка, увеличении вкладов населения как основного источника банковских ресурсов и, соответственно, в увеличении объема инвестиционных вложений в наиболее актуальные направления бизнеса.</w:t>
      </w:r>
      <w:proofErr w:type="gramEnd"/>
      <w:r w:rsidR="00595B1A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 xml:space="preserve"> В то же время от того, насколько высока степень устойчивости коммерческих банков, зависит общая устойчивость банковской системы, а, следовательно, и уровень экономического развития страны. Соответственно, обеспечение финансовой устойчивости банковских организаций является одним из приоритетных направлений развития финансовой системы страны, и в его достижении заинтересованы как сами коммерческие банк</w:t>
      </w:r>
      <w:r w:rsid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и, так и органы государственной </w:t>
      </w:r>
      <w:r w:rsidR="00595B1A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t>власти.</w:t>
      </w:r>
      <w:r w:rsidR="00595B1A" w:rsidRPr="00005FC1">
        <w:rPr>
          <w:rFonts w:ascii="Times New Roman" w:hAnsi="Times New Roman" w:cs="Times New Roman"/>
          <w:color w:val="333333"/>
          <w:sz w:val="28"/>
          <w:szCs w:val="28"/>
          <w:shd w:val="clear" w:color="auto" w:fill="FFFFFF"/>
        </w:rPr>
        <w:br/>
      </w:r>
    </w:p>
    <w:p w:rsidR="00053A4A" w:rsidRDefault="00807856" w:rsidP="001C013A">
      <w:pPr>
        <w:spacing w:after="0" w:line="240" w:lineRule="auto"/>
        <w:ind w:firstLine="709"/>
        <w:jc w:val="center"/>
      </w:pPr>
      <w:r>
        <w:t xml:space="preserve"> </w:t>
      </w: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053A4A" w:rsidRDefault="00053A4A" w:rsidP="001C013A">
      <w:pPr>
        <w:spacing w:after="0" w:line="240" w:lineRule="auto"/>
        <w:ind w:firstLine="709"/>
        <w:jc w:val="center"/>
      </w:pPr>
    </w:p>
    <w:p w:rsidR="00F34394" w:rsidRDefault="00F34394" w:rsidP="00F34394">
      <w:pPr>
        <w:spacing w:after="0" w:line="240" w:lineRule="auto"/>
      </w:pPr>
    </w:p>
    <w:p w:rsidR="00807856" w:rsidRPr="001C013A" w:rsidRDefault="00807856" w:rsidP="00F34394">
      <w:pPr>
        <w:spacing w:after="0" w:line="240" w:lineRule="auto"/>
        <w:jc w:val="center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 w:rsidRPr="00807856">
        <w:rPr>
          <w:rFonts w:ascii="Times New Roman" w:hAnsi="Times New Roman" w:cs="Times New Roman"/>
          <w:b/>
          <w:sz w:val="28"/>
          <w:szCs w:val="28"/>
        </w:rPr>
        <w:lastRenderedPageBreak/>
        <w:t>Список используемой литературы</w:t>
      </w:r>
    </w:p>
    <w:p w:rsidR="00807856" w:rsidRPr="00A85670" w:rsidRDefault="00807856" w:rsidP="00AB3AC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85670">
        <w:rPr>
          <w:rFonts w:ascii="Times New Roman" w:hAnsi="Times New Roman" w:cs="Times New Roman"/>
          <w:sz w:val="28"/>
          <w:szCs w:val="28"/>
        </w:rPr>
        <w:t>Абрамян Г. А. Императивы обеспечения финансовой устойчивости коммерческих банков в современных условиях / Г. А. Абрамян, Д. А. Шевченко // Молодой ученый. — 2015. — №19. — С. 347-350.</w:t>
      </w:r>
    </w:p>
    <w:p w:rsidR="00807856" w:rsidRPr="00A85670" w:rsidRDefault="00A85670" w:rsidP="00AB3AC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Информационный портал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Банки</w:t>
      </w:r>
      <w:proofErr w:type="gramStart"/>
      <w:r>
        <w:rPr>
          <w:rFonts w:ascii="Times New Roman" w:hAnsi="Times New Roman" w:cs="Times New Roman"/>
          <w:sz w:val="28"/>
          <w:szCs w:val="28"/>
        </w:rPr>
        <w:t>.р</w:t>
      </w:r>
      <w:proofErr w:type="gramEnd"/>
      <w:r>
        <w:rPr>
          <w:rFonts w:ascii="Times New Roman" w:hAnsi="Times New Roman" w:cs="Times New Roman"/>
          <w:sz w:val="28"/>
          <w:szCs w:val="28"/>
        </w:rPr>
        <w:t>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5670">
        <w:rPr>
          <w:rFonts w:ascii="Times New Roman" w:hAnsi="Times New Roman" w:cs="Times New Roman"/>
          <w:sz w:val="28"/>
          <w:szCs w:val="28"/>
        </w:rPr>
        <w:t xml:space="preserve">[Электронный ресурс]. </w:t>
      </w:r>
      <w:r w:rsidRPr="00A85670"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A85670">
        <w:rPr>
          <w:rFonts w:ascii="Times New Roman" w:hAnsi="Times New Roman" w:cs="Times New Roman"/>
          <w:sz w:val="28"/>
          <w:szCs w:val="28"/>
        </w:rPr>
        <w:t xml:space="preserve">:  http://www.banki.ru/ </w:t>
      </w:r>
      <w:r>
        <w:rPr>
          <w:rFonts w:ascii="Times New Roman" w:hAnsi="Times New Roman" w:cs="Times New Roman"/>
          <w:sz w:val="28"/>
          <w:szCs w:val="28"/>
        </w:rPr>
        <w:t>(дата обращения: 3.10.2015).</w:t>
      </w:r>
    </w:p>
    <w:p w:rsidR="009926DF" w:rsidRPr="00A85670" w:rsidRDefault="00A85670" w:rsidP="00AB3AC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Иода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Унанян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И.Р. </w:t>
      </w:r>
      <w:r w:rsidR="009926DF" w:rsidRPr="009926DF">
        <w:rPr>
          <w:rFonts w:ascii="Times New Roman" w:hAnsi="Times New Roman" w:cs="Times New Roman"/>
          <w:sz w:val="28"/>
          <w:szCs w:val="28"/>
        </w:rPr>
        <w:t>Основы организации д</w:t>
      </w:r>
      <w:r w:rsidR="00AB3AC9">
        <w:rPr>
          <w:rFonts w:ascii="Times New Roman" w:hAnsi="Times New Roman" w:cs="Times New Roman"/>
          <w:sz w:val="28"/>
          <w:szCs w:val="28"/>
        </w:rPr>
        <w:t>еятельности коммерческого </w:t>
      </w:r>
      <w:r>
        <w:rPr>
          <w:rFonts w:ascii="Times New Roman" w:hAnsi="Times New Roman" w:cs="Times New Roman"/>
          <w:sz w:val="28"/>
          <w:szCs w:val="28"/>
        </w:rPr>
        <w:t>банка</w:t>
      </w:r>
      <w:r w:rsidR="00AB3AC9">
        <w:rPr>
          <w:rFonts w:ascii="Times New Roman" w:hAnsi="Times New Roman" w:cs="Times New Roman"/>
          <w:sz w:val="28"/>
          <w:szCs w:val="28"/>
        </w:rPr>
        <w:t> [Электронный ресурс]. </w:t>
      </w:r>
      <w:r>
        <w:rPr>
          <w:rFonts w:ascii="Times New Roman" w:hAnsi="Times New Roman" w:cs="Times New Roman"/>
          <w:sz w:val="28"/>
          <w:szCs w:val="28"/>
          <w:lang w:val="en-US"/>
        </w:rPr>
        <w:t>URL</w:t>
      </w:r>
      <w:r w:rsidRPr="00A85670">
        <w:rPr>
          <w:rFonts w:ascii="Times New Roman" w:hAnsi="Times New Roman" w:cs="Times New Roman"/>
          <w:sz w:val="28"/>
          <w:szCs w:val="28"/>
        </w:rPr>
        <w:t xml:space="preserve">: http://finote.ru/ekonomika/poryadok-sozdaniya-ilikvidacii-kommercheskogo-banka/ </w:t>
      </w:r>
      <w:r>
        <w:rPr>
          <w:rFonts w:ascii="Times New Roman" w:hAnsi="Times New Roman" w:cs="Times New Roman"/>
          <w:sz w:val="28"/>
          <w:szCs w:val="28"/>
        </w:rPr>
        <w:t>(дата обращения: 10.10.2015).</w:t>
      </w:r>
    </w:p>
    <w:p w:rsidR="009926DF" w:rsidRPr="004A0C03" w:rsidRDefault="009926DF" w:rsidP="00AB3AC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926DF">
        <w:rPr>
          <w:rFonts w:ascii="Times New Roman" w:hAnsi="Times New Roman" w:cs="Times New Roman"/>
          <w:sz w:val="28"/>
          <w:szCs w:val="28"/>
        </w:rPr>
        <w:t>Официальный</w:t>
      </w:r>
      <w:r w:rsidR="00A85670">
        <w:rPr>
          <w:rFonts w:ascii="Times New Roman" w:hAnsi="Times New Roman" w:cs="Times New Roman"/>
          <w:sz w:val="28"/>
          <w:szCs w:val="28"/>
        </w:rPr>
        <w:t xml:space="preserve"> сайт Центрального Банка России</w:t>
      </w:r>
      <w:r w:rsidR="004A0C03">
        <w:rPr>
          <w:rFonts w:ascii="Times New Roman" w:hAnsi="Times New Roman" w:cs="Times New Roman"/>
          <w:sz w:val="28"/>
          <w:szCs w:val="28"/>
        </w:rPr>
        <w:t xml:space="preserve"> </w:t>
      </w:r>
      <w:r w:rsidR="00A85670" w:rsidRPr="00A85670">
        <w:rPr>
          <w:rFonts w:ascii="Times New Roman" w:hAnsi="Times New Roman" w:cs="Times New Roman"/>
          <w:sz w:val="28"/>
          <w:szCs w:val="28"/>
        </w:rPr>
        <w:t xml:space="preserve">[Электронный ресурс]. </w:t>
      </w:r>
      <w:r w:rsidR="00A85670" w:rsidRPr="004A0C03">
        <w:rPr>
          <w:rFonts w:ascii="Times New Roman" w:hAnsi="Times New Roman" w:cs="Times New Roman"/>
          <w:sz w:val="28"/>
          <w:szCs w:val="28"/>
          <w:lang w:val="en-US"/>
        </w:rPr>
        <w:t>URL:</w:t>
      </w:r>
      <w:r w:rsidR="004A0C03">
        <w:rPr>
          <w:rFonts w:ascii="Times New Roman" w:hAnsi="Times New Roman" w:cs="Times New Roman"/>
          <w:sz w:val="28"/>
          <w:szCs w:val="28"/>
        </w:rPr>
        <w:t xml:space="preserve"> </w:t>
      </w:r>
      <w:r w:rsidR="004A0C03" w:rsidRPr="004A0C03">
        <w:rPr>
          <w:rFonts w:ascii="Times New Roman" w:hAnsi="Times New Roman" w:cs="Times New Roman"/>
          <w:sz w:val="28"/>
          <w:szCs w:val="28"/>
        </w:rPr>
        <w:t xml:space="preserve">http://www.cbr.ru/ </w:t>
      </w:r>
      <w:r w:rsidR="004A0C03">
        <w:rPr>
          <w:rFonts w:ascii="Times New Roman" w:hAnsi="Times New Roman" w:cs="Times New Roman"/>
          <w:sz w:val="28"/>
          <w:szCs w:val="28"/>
        </w:rPr>
        <w:t>(дата обращения: 3.10.2015).</w:t>
      </w:r>
    </w:p>
    <w:p w:rsidR="00AB3AC9" w:rsidRPr="00AB3AC9" w:rsidRDefault="004A0C03" w:rsidP="00AB3AC9">
      <w:pPr>
        <w:pStyle w:val="a7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Федеральный закон </w:t>
      </w:r>
      <w:r w:rsidRPr="004A0C03">
        <w:rPr>
          <w:rFonts w:ascii="Times New Roman" w:hAnsi="Times New Roman" w:cs="Times New Roman"/>
          <w:sz w:val="28"/>
          <w:szCs w:val="28"/>
        </w:rPr>
        <w:t>от 02.12.1990 N 395-1</w:t>
      </w:r>
      <w:r>
        <w:rPr>
          <w:rFonts w:ascii="Times New Roman" w:hAnsi="Times New Roman" w:cs="Times New Roman"/>
          <w:sz w:val="28"/>
          <w:szCs w:val="28"/>
        </w:rPr>
        <w:t xml:space="preserve"> ФЗ (ред.</w:t>
      </w:r>
      <w:r w:rsidRPr="004A0C03">
        <w:rPr>
          <w:rFonts w:ascii="Times New Roman" w:hAnsi="Times New Roman" w:cs="Times New Roman"/>
          <w:sz w:val="28"/>
          <w:szCs w:val="28"/>
        </w:rPr>
        <w:t xml:space="preserve"> от 13.07.2015)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B3AC9" w:rsidRPr="00AB3AC9">
        <w:rPr>
          <w:rFonts w:ascii="Times New Roman" w:hAnsi="Times New Roman" w:cs="Times New Roman"/>
          <w:sz w:val="28"/>
          <w:szCs w:val="28"/>
        </w:rPr>
        <w:t>О банках и банковской деятельности</w:t>
      </w:r>
      <w:r w:rsidR="00AB3AC9">
        <w:rPr>
          <w:rFonts w:ascii="Times New Roman" w:hAnsi="Times New Roman" w:cs="Times New Roman"/>
          <w:sz w:val="28"/>
          <w:szCs w:val="28"/>
        </w:rPr>
        <w:t>».</w:t>
      </w:r>
    </w:p>
    <w:p w:rsidR="009926DF" w:rsidRPr="009926DF" w:rsidRDefault="009926DF" w:rsidP="009926DF">
      <w:pPr>
        <w:pStyle w:val="a7"/>
        <w:rPr>
          <w:rFonts w:ascii="Times New Roman" w:hAnsi="Times New Roman" w:cs="Times New Roman"/>
          <w:sz w:val="28"/>
          <w:szCs w:val="28"/>
        </w:rPr>
      </w:pPr>
    </w:p>
    <w:p w:rsidR="00807856" w:rsidRPr="00807856" w:rsidRDefault="00807856" w:rsidP="00807856">
      <w:pPr>
        <w:pStyle w:val="a7"/>
        <w:rPr>
          <w:rFonts w:ascii="Times New Roman" w:hAnsi="Times New Roman" w:cs="Times New Roman"/>
          <w:sz w:val="28"/>
          <w:szCs w:val="28"/>
        </w:rPr>
      </w:pPr>
      <w:r w:rsidRPr="00807856">
        <w:rPr>
          <w:rFonts w:ascii="Times New Roman" w:hAnsi="Times New Roman" w:cs="Times New Roman"/>
          <w:sz w:val="28"/>
          <w:szCs w:val="28"/>
        </w:rPr>
        <w:br/>
      </w:r>
      <w:r w:rsidRPr="00807856">
        <w:rPr>
          <w:rFonts w:ascii="Times New Roman" w:hAnsi="Times New Roman" w:cs="Times New Roman"/>
          <w:sz w:val="28"/>
          <w:szCs w:val="28"/>
        </w:rPr>
        <w:br/>
      </w:r>
      <w:bookmarkStart w:id="0" w:name="_GoBack"/>
      <w:bookmarkEnd w:id="0"/>
    </w:p>
    <w:sectPr w:rsidR="00807856" w:rsidRPr="00807856" w:rsidSect="00053A4A">
      <w:footerReference w:type="default" r:id="rId11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23B78" w:rsidRDefault="00D23B78" w:rsidP="005A1015">
      <w:pPr>
        <w:spacing w:after="0" w:line="240" w:lineRule="auto"/>
      </w:pPr>
      <w:r>
        <w:separator/>
      </w:r>
    </w:p>
  </w:endnote>
  <w:endnote w:type="continuationSeparator" w:id="0">
    <w:p w:rsidR="00D23B78" w:rsidRDefault="00D23B78" w:rsidP="005A10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74221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53A4A" w:rsidRPr="00053A4A" w:rsidRDefault="00053A4A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53A4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53A4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53A4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BC58B5">
          <w:rPr>
            <w:rFonts w:ascii="Times New Roman" w:hAnsi="Times New Roman" w:cs="Times New Roman"/>
            <w:noProof/>
            <w:sz w:val="24"/>
            <w:szCs w:val="24"/>
          </w:rPr>
          <w:t>12</w:t>
        </w:r>
        <w:r w:rsidRPr="00053A4A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53A4A" w:rsidRDefault="00053A4A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3B78" w:rsidRDefault="00D23B78" w:rsidP="005A1015">
      <w:pPr>
        <w:spacing w:after="0" w:line="240" w:lineRule="auto"/>
      </w:pPr>
      <w:r>
        <w:separator/>
      </w:r>
    </w:p>
  </w:footnote>
  <w:footnote w:type="continuationSeparator" w:id="0">
    <w:p w:rsidR="00D23B78" w:rsidRDefault="00D23B78" w:rsidP="005A10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A56283"/>
    <w:multiLevelType w:val="hybridMultilevel"/>
    <w:tmpl w:val="364C4CE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761EB2"/>
    <w:multiLevelType w:val="hybridMultilevel"/>
    <w:tmpl w:val="8D5C7B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2703D0"/>
    <w:multiLevelType w:val="multilevel"/>
    <w:tmpl w:val="0A3A8E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3AC60B0"/>
    <w:multiLevelType w:val="hybridMultilevel"/>
    <w:tmpl w:val="2A8478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170473"/>
    <w:multiLevelType w:val="hybridMultilevel"/>
    <w:tmpl w:val="6D34EC32"/>
    <w:lvl w:ilvl="0" w:tplc="E80E26AC">
      <w:start w:val="1"/>
      <w:numFmt w:val="decimal"/>
      <w:lvlText w:val="%1)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A70D59"/>
    <w:multiLevelType w:val="hybridMultilevel"/>
    <w:tmpl w:val="73EA4D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ACD169A"/>
    <w:multiLevelType w:val="hybridMultilevel"/>
    <w:tmpl w:val="76088C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42D2ED7"/>
    <w:multiLevelType w:val="hybridMultilevel"/>
    <w:tmpl w:val="541C0F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7"/>
  </w:num>
  <w:num w:numId="6">
    <w:abstractNumId w:val="5"/>
  </w:num>
  <w:num w:numId="7">
    <w:abstractNumId w:val="1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7FCD"/>
    <w:rsid w:val="00005FC1"/>
    <w:rsid w:val="00037B22"/>
    <w:rsid w:val="00053A4A"/>
    <w:rsid w:val="000D38F8"/>
    <w:rsid w:val="000E583F"/>
    <w:rsid w:val="00116B25"/>
    <w:rsid w:val="00160219"/>
    <w:rsid w:val="00176A96"/>
    <w:rsid w:val="00177383"/>
    <w:rsid w:val="001C013A"/>
    <w:rsid w:val="001D0052"/>
    <w:rsid w:val="0022570E"/>
    <w:rsid w:val="00273F91"/>
    <w:rsid w:val="00282EC9"/>
    <w:rsid w:val="002E4172"/>
    <w:rsid w:val="00355D7A"/>
    <w:rsid w:val="003A4B7F"/>
    <w:rsid w:val="003D1474"/>
    <w:rsid w:val="003F4BD2"/>
    <w:rsid w:val="0042190D"/>
    <w:rsid w:val="0044208C"/>
    <w:rsid w:val="004A0C03"/>
    <w:rsid w:val="004B7713"/>
    <w:rsid w:val="004E5A64"/>
    <w:rsid w:val="004F2AA3"/>
    <w:rsid w:val="00504AE7"/>
    <w:rsid w:val="00545EA3"/>
    <w:rsid w:val="00595B1A"/>
    <w:rsid w:val="00597AD4"/>
    <w:rsid w:val="005A1015"/>
    <w:rsid w:val="00605A92"/>
    <w:rsid w:val="006079AA"/>
    <w:rsid w:val="006821E4"/>
    <w:rsid w:val="00684568"/>
    <w:rsid w:val="006D4E79"/>
    <w:rsid w:val="006E0415"/>
    <w:rsid w:val="006F3BD4"/>
    <w:rsid w:val="00702B14"/>
    <w:rsid w:val="007037F0"/>
    <w:rsid w:val="00744B9E"/>
    <w:rsid w:val="00750DC0"/>
    <w:rsid w:val="0076630B"/>
    <w:rsid w:val="007B4CF1"/>
    <w:rsid w:val="00807856"/>
    <w:rsid w:val="008B0D8A"/>
    <w:rsid w:val="008E7FCD"/>
    <w:rsid w:val="00964A3D"/>
    <w:rsid w:val="009926DF"/>
    <w:rsid w:val="009E0F02"/>
    <w:rsid w:val="00A02B52"/>
    <w:rsid w:val="00A43D66"/>
    <w:rsid w:val="00A85670"/>
    <w:rsid w:val="00AA3F94"/>
    <w:rsid w:val="00AB3AC9"/>
    <w:rsid w:val="00AE2EE2"/>
    <w:rsid w:val="00AF2CA2"/>
    <w:rsid w:val="00B500F7"/>
    <w:rsid w:val="00B6682E"/>
    <w:rsid w:val="00B94661"/>
    <w:rsid w:val="00BC58B5"/>
    <w:rsid w:val="00BD079E"/>
    <w:rsid w:val="00C17FB5"/>
    <w:rsid w:val="00C279F8"/>
    <w:rsid w:val="00C31CA1"/>
    <w:rsid w:val="00CB502A"/>
    <w:rsid w:val="00CC43A2"/>
    <w:rsid w:val="00CD3743"/>
    <w:rsid w:val="00D1638D"/>
    <w:rsid w:val="00D23B78"/>
    <w:rsid w:val="00D72ECE"/>
    <w:rsid w:val="00D779BA"/>
    <w:rsid w:val="00DF2991"/>
    <w:rsid w:val="00E11904"/>
    <w:rsid w:val="00EA1F56"/>
    <w:rsid w:val="00EA49EA"/>
    <w:rsid w:val="00F34394"/>
    <w:rsid w:val="00F53CFA"/>
    <w:rsid w:val="00FB3D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005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77383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A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D079E"/>
    <w:pPr>
      <w:ind w:left="720"/>
      <w:contextualSpacing/>
    </w:pPr>
  </w:style>
  <w:style w:type="character" w:customStyle="1" w:styleId="apple-converted-space">
    <w:name w:val="apple-converted-space"/>
    <w:basedOn w:val="a0"/>
    <w:rsid w:val="003A4B7F"/>
  </w:style>
  <w:style w:type="paragraph" w:styleId="a8">
    <w:name w:val="header"/>
    <w:basedOn w:val="a"/>
    <w:link w:val="a9"/>
    <w:uiPriority w:val="99"/>
    <w:unhideWhenUsed/>
    <w:rsid w:val="005A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1015"/>
  </w:style>
  <w:style w:type="paragraph" w:styleId="aa">
    <w:name w:val="footer"/>
    <w:basedOn w:val="a"/>
    <w:link w:val="ab"/>
    <w:uiPriority w:val="99"/>
    <w:unhideWhenUsed/>
    <w:rsid w:val="005A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101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74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D0052"/>
    <w:rPr>
      <w:color w:val="0000FF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177383"/>
    <w:rPr>
      <w:color w:val="800080" w:themeColor="followedHyperlink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4F2A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F2AA3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BD079E"/>
    <w:pPr>
      <w:ind w:left="720"/>
      <w:contextualSpacing/>
    </w:pPr>
  </w:style>
  <w:style w:type="character" w:customStyle="1" w:styleId="apple-converted-space">
    <w:name w:val="apple-converted-space"/>
    <w:basedOn w:val="a0"/>
    <w:rsid w:val="003A4B7F"/>
  </w:style>
  <w:style w:type="paragraph" w:styleId="a8">
    <w:name w:val="header"/>
    <w:basedOn w:val="a"/>
    <w:link w:val="a9"/>
    <w:uiPriority w:val="99"/>
    <w:unhideWhenUsed/>
    <w:rsid w:val="005A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5A1015"/>
  </w:style>
  <w:style w:type="paragraph" w:styleId="aa">
    <w:name w:val="footer"/>
    <w:basedOn w:val="a"/>
    <w:link w:val="ab"/>
    <w:uiPriority w:val="99"/>
    <w:unhideWhenUsed/>
    <w:rsid w:val="005A10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5A10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887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6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chart" Target="charts/chart2.xml"/><Relationship Id="rId4" Type="http://schemas.openxmlformats.org/officeDocument/2006/relationships/settings" Target="settings.xml"/><Relationship Id="rId9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oleObject" Target="file:///H:\&#1051;&#1080;&#1089;&#1090;%20Microsoft%20Excel%20(4).xlsx" TargetMode="External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oleObject" Target="file:///H:\&#1051;&#1080;&#1089;&#1090;%20Microsoft%20Excel%20(4).xlsx" TargetMode="External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1"/>
    </mc:Choice>
    <mc:Fallback>
      <c:style val="1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numRef>
              <c:f>Лист1!$A$28:$A$272</c:f>
              <c:numCache>
                <c:formatCode>m/d/yyyy</c:formatCode>
                <c:ptCount val="245"/>
                <c:pt idx="0">
                  <c:v>41730</c:v>
                </c:pt>
                <c:pt idx="1">
                  <c:v>41731</c:v>
                </c:pt>
                <c:pt idx="2">
                  <c:v>41732</c:v>
                </c:pt>
                <c:pt idx="3">
                  <c:v>41733</c:v>
                </c:pt>
                <c:pt idx="4">
                  <c:v>41734</c:v>
                </c:pt>
                <c:pt idx="5">
                  <c:v>41737</c:v>
                </c:pt>
                <c:pt idx="6">
                  <c:v>41738</c:v>
                </c:pt>
                <c:pt idx="7">
                  <c:v>41739</c:v>
                </c:pt>
                <c:pt idx="8">
                  <c:v>41740</c:v>
                </c:pt>
                <c:pt idx="9">
                  <c:v>41741</c:v>
                </c:pt>
                <c:pt idx="10">
                  <c:v>41744</c:v>
                </c:pt>
                <c:pt idx="11">
                  <c:v>41745</c:v>
                </c:pt>
                <c:pt idx="12">
                  <c:v>41746</c:v>
                </c:pt>
                <c:pt idx="13">
                  <c:v>41747</c:v>
                </c:pt>
                <c:pt idx="14">
                  <c:v>41748</c:v>
                </c:pt>
                <c:pt idx="15">
                  <c:v>41751</c:v>
                </c:pt>
                <c:pt idx="16">
                  <c:v>41752</c:v>
                </c:pt>
                <c:pt idx="17">
                  <c:v>41753</c:v>
                </c:pt>
                <c:pt idx="18">
                  <c:v>41754</c:v>
                </c:pt>
                <c:pt idx="19">
                  <c:v>41755</c:v>
                </c:pt>
                <c:pt idx="20">
                  <c:v>41758</c:v>
                </c:pt>
                <c:pt idx="21">
                  <c:v>41759</c:v>
                </c:pt>
                <c:pt idx="22">
                  <c:v>41760</c:v>
                </c:pt>
                <c:pt idx="23">
                  <c:v>41765</c:v>
                </c:pt>
                <c:pt idx="24">
                  <c:v>41766</c:v>
                </c:pt>
                <c:pt idx="25">
                  <c:v>41767</c:v>
                </c:pt>
                <c:pt idx="26">
                  <c:v>41768</c:v>
                </c:pt>
                <c:pt idx="27">
                  <c:v>41772</c:v>
                </c:pt>
                <c:pt idx="28">
                  <c:v>41773</c:v>
                </c:pt>
                <c:pt idx="29">
                  <c:v>41774</c:v>
                </c:pt>
                <c:pt idx="30">
                  <c:v>41775</c:v>
                </c:pt>
                <c:pt idx="31">
                  <c:v>41776</c:v>
                </c:pt>
                <c:pt idx="32">
                  <c:v>41779</c:v>
                </c:pt>
                <c:pt idx="33">
                  <c:v>41780</c:v>
                </c:pt>
                <c:pt idx="34">
                  <c:v>41781</c:v>
                </c:pt>
                <c:pt idx="35">
                  <c:v>41782</c:v>
                </c:pt>
                <c:pt idx="36">
                  <c:v>41783</c:v>
                </c:pt>
                <c:pt idx="37">
                  <c:v>41786</c:v>
                </c:pt>
                <c:pt idx="38">
                  <c:v>41787</c:v>
                </c:pt>
                <c:pt idx="39">
                  <c:v>41788</c:v>
                </c:pt>
                <c:pt idx="40">
                  <c:v>41789</c:v>
                </c:pt>
                <c:pt idx="41">
                  <c:v>41790</c:v>
                </c:pt>
                <c:pt idx="42">
                  <c:v>41793</c:v>
                </c:pt>
                <c:pt idx="43">
                  <c:v>41794</c:v>
                </c:pt>
                <c:pt idx="44">
                  <c:v>41795</c:v>
                </c:pt>
                <c:pt idx="45">
                  <c:v>41796</c:v>
                </c:pt>
                <c:pt idx="46">
                  <c:v>41797</c:v>
                </c:pt>
                <c:pt idx="47">
                  <c:v>41800</c:v>
                </c:pt>
                <c:pt idx="48">
                  <c:v>41801</c:v>
                </c:pt>
                <c:pt idx="49">
                  <c:v>41802</c:v>
                </c:pt>
                <c:pt idx="50">
                  <c:v>41807</c:v>
                </c:pt>
                <c:pt idx="51">
                  <c:v>41808</c:v>
                </c:pt>
                <c:pt idx="52">
                  <c:v>41809</c:v>
                </c:pt>
                <c:pt idx="53">
                  <c:v>41810</c:v>
                </c:pt>
                <c:pt idx="54">
                  <c:v>41811</c:v>
                </c:pt>
                <c:pt idx="55">
                  <c:v>41814</c:v>
                </c:pt>
                <c:pt idx="56">
                  <c:v>41815</c:v>
                </c:pt>
                <c:pt idx="57">
                  <c:v>41816</c:v>
                </c:pt>
                <c:pt idx="58">
                  <c:v>41817</c:v>
                </c:pt>
                <c:pt idx="59">
                  <c:v>41818</c:v>
                </c:pt>
                <c:pt idx="60">
                  <c:v>41821</c:v>
                </c:pt>
                <c:pt idx="61">
                  <c:v>41822</c:v>
                </c:pt>
                <c:pt idx="62">
                  <c:v>41823</c:v>
                </c:pt>
                <c:pt idx="63">
                  <c:v>41824</c:v>
                </c:pt>
                <c:pt idx="64">
                  <c:v>41825</c:v>
                </c:pt>
                <c:pt idx="65">
                  <c:v>41828</c:v>
                </c:pt>
                <c:pt idx="66">
                  <c:v>41829</c:v>
                </c:pt>
                <c:pt idx="67">
                  <c:v>41830</c:v>
                </c:pt>
                <c:pt idx="68">
                  <c:v>41831</c:v>
                </c:pt>
                <c:pt idx="69">
                  <c:v>41832</c:v>
                </c:pt>
                <c:pt idx="70">
                  <c:v>41835</c:v>
                </c:pt>
                <c:pt idx="71">
                  <c:v>41836</c:v>
                </c:pt>
                <c:pt idx="72">
                  <c:v>41837</c:v>
                </c:pt>
                <c:pt idx="73">
                  <c:v>41838</c:v>
                </c:pt>
                <c:pt idx="74">
                  <c:v>41839</c:v>
                </c:pt>
                <c:pt idx="75">
                  <c:v>41842</c:v>
                </c:pt>
                <c:pt idx="76">
                  <c:v>41843</c:v>
                </c:pt>
                <c:pt idx="77">
                  <c:v>41844</c:v>
                </c:pt>
                <c:pt idx="78">
                  <c:v>41845</c:v>
                </c:pt>
                <c:pt idx="79">
                  <c:v>41846</c:v>
                </c:pt>
                <c:pt idx="80">
                  <c:v>41849</c:v>
                </c:pt>
                <c:pt idx="81">
                  <c:v>41850</c:v>
                </c:pt>
                <c:pt idx="82">
                  <c:v>41851</c:v>
                </c:pt>
                <c:pt idx="83">
                  <c:v>41852</c:v>
                </c:pt>
                <c:pt idx="84">
                  <c:v>41853</c:v>
                </c:pt>
                <c:pt idx="85">
                  <c:v>41856</c:v>
                </c:pt>
                <c:pt idx="86">
                  <c:v>41857</c:v>
                </c:pt>
                <c:pt idx="87">
                  <c:v>41858</c:v>
                </c:pt>
                <c:pt idx="88">
                  <c:v>41859</c:v>
                </c:pt>
                <c:pt idx="89">
                  <c:v>41860</c:v>
                </c:pt>
                <c:pt idx="90">
                  <c:v>41863</c:v>
                </c:pt>
                <c:pt idx="91">
                  <c:v>41864</c:v>
                </c:pt>
                <c:pt idx="92">
                  <c:v>41865</c:v>
                </c:pt>
                <c:pt idx="93">
                  <c:v>41866</c:v>
                </c:pt>
                <c:pt idx="94">
                  <c:v>41867</c:v>
                </c:pt>
                <c:pt idx="95">
                  <c:v>41870</c:v>
                </c:pt>
                <c:pt idx="96">
                  <c:v>41871</c:v>
                </c:pt>
                <c:pt idx="97">
                  <c:v>41872</c:v>
                </c:pt>
                <c:pt idx="98">
                  <c:v>41873</c:v>
                </c:pt>
                <c:pt idx="99">
                  <c:v>41874</c:v>
                </c:pt>
                <c:pt idx="100">
                  <c:v>41877</c:v>
                </c:pt>
                <c:pt idx="101">
                  <c:v>41878</c:v>
                </c:pt>
                <c:pt idx="102">
                  <c:v>41879</c:v>
                </c:pt>
                <c:pt idx="103">
                  <c:v>41880</c:v>
                </c:pt>
                <c:pt idx="104">
                  <c:v>41881</c:v>
                </c:pt>
                <c:pt idx="105">
                  <c:v>41884</c:v>
                </c:pt>
                <c:pt idx="106">
                  <c:v>41885</c:v>
                </c:pt>
                <c:pt idx="107">
                  <c:v>41886</c:v>
                </c:pt>
                <c:pt idx="108">
                  <c:v>41887</c:v>
                </c:pt>
                <c:pt idx="109">
                  <c:v>41888</c:v>
                </c:pt>
                <c:pt idx="110">
                  <c:v>41891</c:v>
                </c:pt>
                <c:pt idx="111">
                  <c:v>41892</c:v>
                </c:pt>
                <c:pt idx="112">
                  <c:v>41893</c:v>
                </c:pt>
                <c:pt idx="113">
                  <c:v>41894</c:v>
                </c:pt>
                <c:pt idx="114">
                  <c:v>41895</c:v>
                </c:pt>
                <c:pt idx="115">
                  <c:v>41898</c:v>
                </c:pt>
                <c:pt idx="116">
                  <c:v>41899</c:v>
                </c:pt>
                <c:pt idx="117">
                  <c:v>41900</c:v>
                </c:pt>
                <c:pt idx="118">
                  <c:v>41901</c:v>
                </c:pt>
                <c:pt idx="119">
                  <c:v>41902</c:v>
                </c:pt>
                <c:pt idx="120">
                  <c:v>41905</c:v>
                </c:pt>
                <c:pt idx="121">
                  <c:v>41906</c:v>
                </c:pt>
                <c:pt idx="122">
                  <c:v>41907</c:v>
                </c:pt>
                <c:pt idx="123">
                  <c:v>41908</c:v>
                </c:pt>
                <c:pt idx="124">
                  <c:v>41909</c:v>
                </c:pt>
                <c:pt idx="125">
                  <c:v>41912</c:v>
                </c:pt>
                <c:pt idx="126">
                  <c:v>41913</c:v>
                </c:pt>
                <c:pt idx="127">
                  <c:v>41914</c:v>
                </c:pt>
                <c:pt idx="128">
                  <c:v>41915</c:v>
                </c:pt>
                <c:pt idx="129">
                  <c:v>41916</c:v>
                </c:pt>
                <c:pt idx="130">
                  <c:v>41919</c:v>
                </c:pt>
                <c:pt idx="131">
                  <c:v>41920</c:v>
                </c:pt>
                <c:pt idx="132">
                  <c:v>41921</c:v>
                </c:pt>
                <c:pt idx="133">
                  <c:v>41922</c:v>
                </c:pt>
                <c:pt idx="134">
                  <c:v>41923</c:v>
                </c:pt>
                <c:pt idx="135">
                  <c:v>41926</c:v>
                </c:pt>
                <c:pt idx="136">
                  <c:v>41927</c:v>
                </c:pt>
                <c:pt idx="137">
                  <c:v>41928</c:v>
                </c:pt>
                <c:pt idx="138">
                  <c:v>41929</c:v>
                </c:pt>
                <c:pt idx="139">
                  <c:v>41930</c:v>
                </c:pt>
                <c:pt idx="140">
                  <c:v>41933</c:v>
                </c:pt>
                <c:pt idx="141">
                  <c:v>41934</c:v>
                </c:pt>
                <c:pt idx="142">
                  <c:v>41935</c:v>
                </c:pt>
                <c:pt idx="143">
                  <c:v>41936</c:v>
                </c:pt>
                <c:pt idx="144">
                  <c:v>41937</c:v>
                </c:pt>
                <c:pt idx="145">
                  <c:v>41940</c:v>
                </c:pt>
                <c:pt idx="146">
                  <c:v>41941</c:v>
                </c:pt>
                <c:pt idx="147">
                  <c:v>41942</c:v>
                </c:pt>
                <c:pt idx="148">
                  <c:v>41943</c:v>
                </c:pt>
                <c:pt idx="149">
                  <c:v>41944</c:v>
                </c:pt>
                <c:pt idx="150">
                  <c:v>41949</c:v>
                </c:pt>
                <c:pt idx="151">
                  <c:v>41950</c:v>
                </c:pt>
                <c:pt idx="152">
                  <c:v>41951</c:v>
                </c:pt>
                <c:pt idx="153">
                  <c:v>41954</c:v>
                </c:pt>
                <c:pt idx="154">
                  <c:v>41955</c:v>
                </c:pt>
                <c:pt idx="155">
                  <c:v>41956</c:v>
                </c:pt>
                <c:pt idx="156">
                  <c:v>41957</c:v>
                </c:pt>
                <c:pt idx="157">
                  <c:v>41958</c:v>
                </c:pt>
                <c:pt idx="158">
                  <c:v>41961</c:v>
                </c:pt>
                <c:pt idx="159">
                  <c:v>41962</c:v>
                </c:pt>
                <c:pt idx="160">
                  <c:v>41963</c:v>
                </c:pt>
                <c:pt idx="161">
                  <c:v>41964</c:v>
                </c:pt>
                <c:pt idx="162">
                  <c:v>41965</c:v>
                </c:pt>
                <c:pt idx="163">
                  <c:v>41968</c:v>
                </c:pt>
                <c:pt idx="164">
                  <c:v>41969</c:v>
                </c:pt>
                <c:pt idx="165">
                  <c:v>41970</c:v>
                </c:pt>
                <c:pt idx="166">
                  <c:v>41971</c:v>
                </c:pt>
                <c:pt idx="167">
                  <c:v>41972</c:v>
                </c:pt>
                <c:pt idx="168">
                  <c:v>41975</c:v>
                </c:pt>
                <c:pt idx="169">
                  <c:v>41976</c:v>
                </c:pt>
                <c:pt idx="170">
                  <c:v>41977</c:v>
                </c:pt>
                <c:pt idx="171">
                  <c:v>41978</c:v>
                </c:pt>
                <c:pt idx="172">
                  <c:v>41979</c:v>
                </c:pt>
                <c:pt idx="173">
                  <c:v>41982</c:v>
                </c:pt>
                <c:pt idx="174">
                  <c:v>41983</c:v>
                </c:pt>
                <c:pt idx="175">
                  <c:v>41984</c:v>
                </c:pt>
                <c:pt idx="176">
                  <c:v>41985</c:v>
                </c:pt>
                <c:pt idx="177">
                  <c:v>41986</c:v>
                </c:pt>
                <c:pt idx="178">
                  <c:v>41989</c:v>
                </c:pt>
                <c:pt idx="179">
                  <c:v>41990</c:v>
                </c:pt>
                <c:pt idx="180">
                  <c:v>41991</c:v>
                </c:pt>
                <c:pt idx="181">
                  <c:v>41992</c:v>
                </c:pt>
                <c:pt idx="182">
                  <c:v>41993</c:v>
                </c:pt>
                <c:pt idx="183">
                  <c:v>41996</c:v>
                </c:pt>
                <c:pt idx="184">
                  <c:v>41997</c:v>
                </c:pt>
                <c:pt idx="185">
                  <c:v>41998</c:v>
                </c:pt>
                <c:pt idx="186">
                  <c:v>41999</c:v>
                </c:pt>
                <c:pt idx="187">
                  <c:v>42000</c:v>
                </c:pt>
                <c:pt idx="188">
                  <c:v>42003</c:v>
                </c:pt>
                <c:pt idx="189">
                  <c:v>42004</c:v>
                </c:pt>
                <c:pt idx="190">
                  <c:v>42005</c:v>
                </c:pt>
                <c:pt idx="191">
                  <c:v>42017</c:v>
                </c:pt>
                <c:pt idx="192">
                  <c:v>42018</c:v>
                </c:pt>
                <c:pt idx="193">
                  <c:v>42019</c:v>
                </c:pt>
                <c:pt idx="194">
                  <c:v>42020</c:v>
                </c:pt>
                <c:pt idx="195">
                  <c:v>42021</c:v>
                </c:pt>
                <c:pt idx="196">
                  <c:v>42024</c:v>
                </c:pt>
                <c:pt idx="197">
                  <c:v>42025</c:v>
                </c:pt>
                <c:pt idx="198">
                  <c:v>42026</c:v>
                </c:pt>
                <c:pt idx="199">
                  <c:v>42027</c:v>
                </c:pt>
                <c:pt idx="200">
                  <c:v>42028</c:v>
                </c:pt>
                <c:pt idx="201">
                  <c:v>42031</c:v>
                </c:pt>
                <c:pt idx="202">
                  <c:v>42032</c:v>
                </c:pt>
                <c:pt idx="203">
                  <c:v>42033</c:v>
                </c:pt>
                <c:pt idx="204">
                  <c:v>42034</c:v>
                </c:pt>
                <c:pt idx="205">
                  <c:v>42035</c:v>
                </c:pt>
                <c:pt idx="206">
                  <c:v>42038</c:v>
                </c:pt>
                <c:pt idx="207">
                  <c:v>42039</c:v>
                </c:pt>
                <c:pt idx="208">
                  <c:v>42040</c:v>
                </c:pt>
                <c:pt idx="209">
                  <c:v>42041</c:v>
                </c:pt>
                <c:pt idx="210">
                  <c:v>42042</c:v>
                </c:pt>
                <c:pt idx="211">
                  <c:v>42045</c:v>
                </c:pt>
                <c:pt idx="212">
                  <c:v>42046</c:v>
                </c:pt>
                <c:pt idx="213">
                  <c:v>42047</c:v>
                </c:pt>
                <c:pt idx="214">
                  <c:v>42048</c:v>
                </c:pt>
                <c:pt idx="215">
                  <c:v>42049</c:v>
                </c:pt>
                <c:pt idx="216">
                  <c:v>42052</c:v>
                </c:pt>
                <c:pt idx="217">
                  <c:v>42053</c:v>
                </c:pt>
                <c:pt idx="218">
                  <c:v>42054</c:v>
                </c:pt>
                <c:pt idx="219">
                  <c:v>42055</c:v>
                </c:pt>
                <c:pt idx="220">
                  <c:v>42056</c:v>
                </c:pt>
                <c:pt idx="221">
                  <c:v>42060</c:v>
                </c:pt>
                <c:pt idx="222">
                  <c:v>42061</c:v>
                </c:pt>
                <c:pt idx="223">
                  <c:v>42062</c:v>
                </c:pt>
                <c:pt idx="224">
                  <c:v>42063</c:v>
                </c:pt>
                <c:pt idx="225">
                  <c:v>42066</c:v>
                </c:pt>
                <c:pt idx="226">
                  <c:v>42067</c:v>
                </c:pt>
                <c:pt idx="227">
                  <c:v>42068</c:v>
                </c:pt>
                <c:pt idx="228">
                  <c:v>42069</c:v>
                </c:pt>
                <c:pt idx="229">
                  <c:v>42070</c:v>
                </c:pt>
                <c:pt idx="230">
                  <c:v>42074</c:v>
                </c:pt>
                <c:pt idx="231">
                  <c:v>42075</c:v>
                </c:pt>
                <c:pt idx="232">
                  <c:v>42076</c:v>
                </c:pt>
                <c:pt idx="233">
                  <c:v>42077</c:v>
                </c:pt>
                <c:pt idx="234">
                  <c:v>42080</c:v>
                </c:pt>
                <c:pt idx="235">
                  <c:v>42081</c:v>
                </c:pt>
                <c:pt idx="236">
                  <c:v>42082</c:v>
                </c:pt>
                <c:pt idx="237">
                  <c:v>42083</c:v>
                </c:pt>
                <c:pt idx="238">
                  <c:v>42084</c:v>
                </c:pt>
                <c:pt idx="239">
                  <c:v>42087</c:v>
                </c:pt>
                <c:pt idx="240">
                  <c:v>42088</c:v>
                </c:pt>
                <c:pt idx="241">
                  <c:v>42089</c:v>
                </c:pt>
                <c:pt idx="242">
                  <c:v>42090</c:v>
                </c:pt>
                <c:pt idx="243">
                  <c:v>42091</c:v>
                </c:pt>
                <c:pt idx="244">
                  <c:v>42094</c:v>
                </c:pt>
              </c:numCache>
            </c:numRef>
          </c:cat>
          <c:val>
            <c:numRef>
              <c:f>Лист1!$B$28:$B$272</c:f>
              <c:numCache>
                <c:formatCode>General</c:formatCode>
                <c:ptCount val="245"/>
                <c:pt idx="0">
                  <c:v>35.6053</c:v>
                </c:pt>
                <c:pt idx="1">
                  <c:v>35.024000000000001</c:v>
                </c:pt>
                <c:pt idx="2">
                  <c:v>35.2517</c:v>
                </c:pt>
                <c:pt idx="3">
                  <c:v>35.5154</c:v>
                </c:pt>
                <c:pt idx="4">
                  <c:v>35.500999999999998</c:v>
                </c:pt>
                <c:pt idx="5">
                  <c:v>35.4679</c:v>
                </c:pt>
                <c:pt idx="6">
                  <c:v>35.547499999999999</c:v>
                </c:pt>
                <c:pt idx="7">
                  <c:v>35.749299999999998</c:v>
                </c:pt>
                <c:pt idx="8">
                  <c:v>35.558100000000003</c:v>
                </c:pt>
                <c:pt idx="9">
                  <c:v>35.623899999999999</c:v>
                </c:pt>
                <c:pt idx="10">
                  <c:v>35.988999999999997</c:v>
                </c:pt>
                <c:pt idx="11">
                  <c:v>35.963500000000003</c:v>
                </c:pt>
                <c:pt idx="12">
                  <c:v>36.081299999999999</c:v>
                </c:pt>
                <c:pt idx="13">
                  <c:v>35.928699999999999</c:v>
                </c:pt>
                <c:pt idx="14">
                  <c:v>35.538899999999998</c:v>
                </c:pt>
                <c:pt idx="15">
                  <c:v>35.668799999999997</c:v>
                </c:pt>
                <c:pt idx="16">
                  <c:v>35.6785</c:v>
                </c:pt>
                <c:pt idx="17">
                  <c:v>35.662500000000001</c:v>
                </c:pt>
                <c:pt idx="18">
                  <c:v>35.683</c:v>
                </c:pt>
                <c:pt idx="19">
                  <c:v>35.928899999999999</c:v>
                </c:pt>
                <c:pt idx="20">
                  <c:v>36.024500000000003</c:v>
                </c:pt>
                <c:pt idx="21">
                  <c:v>35.698300000000003</c:v>
                </c:pt>
                <c:pt idx="22">
                  <c:v>35.722700000000003</c:v>
                </c:pt>
                <c:pt idx="23">
                  <c:v>35.838099999999997</c:v>
                </c:pt>
                <c:pt idx="24">
                  <c:v>35.655000000000001</c:v>
                </c:pt>
                <c:pt idx="25">
                  <c:v>35.497100000000003</c:v>
                </c:pt>
                <c:pt idx="26">
                  <c:v>35.034300000000002</c:v>
                </c:pt>
                <c:pt idx="27">
                  <c:v>35.209099999999999</c:v>
                </c:pt>
                <c:pt idx="28">
                  <c:v>34.878900000000002</c:v>
                </c:pt>
                <c:pt idx="29">
                  <c:v>34.709000000000003</c:v>
                </c:pt>
                <c:pt idx="30">
                  <c:v>34.700499999999998</c:v>
                </c:pt>
                <c:pt idx="31">
                  <c:v>34.779400000000003</c:v>
                </c:pt>
                <c:pt idx="32">
                  <c:v>34.739400000000003</c:v>
                </c:pt>
                <c:pt idx="33">
                  <c:v>34.600700000000003</c:v>
                </c:pt>
                <c:pt idx="34">
                  <c:v>34.507800000000003</c:v>
                </c:pt>
                <c:pt idx="35">
                  <c:v>34.280200000000001</c:v>
                </c:pt>
                <c:pt idx="36">
                  <c:v>34.313899999999997</c:v>
                </c:pt>
                <c:pt idx="37">
                  <c:v>34.077100000000002</c:v>
                </c:pt>
                <c:pt idx="38">
                  <c:v>34.257100000000001</c:v>
                </c:pt>
                <c:pt idx="39">
                  <c:v>34.4895</c:v>
                </c:pt>
                <c:pt idx="40">
                  <c:v>34.648099999999999</c:v>
                </c:pt>
                <c:pt idx="41">
                  <c:v>34.735199999999999</c:v>
                </c:pt>
                <c:pt idx="42">
                  <c:v>34.8887</c:v>
                </c:pt>
                <c:pt idx="43">
                  <c:v>35.011499999999998</c:v>
                </c:pt>
                <c:pt idx="44">
                  <c:v>35.139800000000001</c:v>
                </c:pt>
                <c:pt idx="45">
                  <c:v>34.904299999999999</c:v>
                </c:pt>
                <c:pt idx="46">
                  <c:v>34.657299999999999</c:v>
                </c:pt>
                <c:pt idx="47">
                  <c:v>34.330300000000001</c:v>
                </c:pt>
                <c:pt idx="48">
                  <c:v>34.368099999999998</c:v>
                </c:pt>
                <c:pt idx="49">
                  <c:v>34.322699999999998</c:v>
                </c:pt>
                <c:pt idx="50">
                  <c:v>34.565399999999997</c:v>
                </c:pt>
                <c:pt idx="51">
                  <c:v>34.8095</c:v>
                </c:pt>
                <c:pt idx="52">
                  <c:v>34.8232</c:v>
                </c:pt>
                <c:pt idx="53">
                  <c:v>34.302500000000002</c:v>
                </c:pt>
                <c:pt idx="54">
                  <c:v>34.418999999999997</c:v>
                </c:pt>
                <c:pt idx="55">
                  <c:v>34.279699999999998</c:v>
                </c:pt>
                <c:pt idx="56">
                  <c:v>33.981200000000001</c:v>
                </c:pt>
                <c:pt idx="57">
                  <c:v>33.906999999999996</c:v>
                </c:pt>
                <c:pt idx="58">
                  <c:v>33.750799999999998</c:v>
                </c:pt>
                <c:pt idx="59">
                  <c:v>33.630600000000001</c:v>
                </c:pt>
                <c:pt idx="60">
                  <c:v>33.843400000000003</c:v>
                </c:pt>
                <c:pt idx="61">
                  <c:v>34.227499999999999</c:v>
                </c:pt>
                <c:pt idx="62">
                  <c:v>34.249600000000001</c:v>
                </c:pt>
                <c:pt idx="63">
                  <c:v>34.194899999999997</c:v>
                </c:pt>
                <c:pt idx="64">
                  <c:v>34.323599999999999</c:v>
                </c:pt>
                <c:pt idx="65">
                  <c:v>34.569099999999999</c:v>
                </c:pt>
                <c:pt idx="66">
                  <c:v>34.425800000000002</c:v>
                </c:pt>
                <c:pt idx="67">
                  <c:v>34.075800000000001</c:v>
                </c:pt>
                <c:pt idx="68">
                  <c:v>33.835299999999997</c:v>
                </c:pt>
                <c:pt idx="69">
                  <c:v>34.058199999999999</c:v>
                </c:pt>
                <c:pt idx="70">
                  <c:v>34.313499999999998</c:v>
                </c:pt>
                <c:pt idx="71">
                  <c:v>34.372300000000003</c:v>
                </c:pt>
                <c:pt idx="72">
                  <c:v>34.385300000000001</c:v>
                </c:pt>
                <c:pt idx="73">
                  <c:v>34.799799999999998</c:v>
                </c:pt>
                <c:pt idx="74">
                  <c:v>35.162700000000001</c:v>
                </c:pt>
                <c:pt idx="75">
                  <c:v>35.090000000000003</c:v>
                </c:pt>
                <c:pt idx="76">
                  <c:v>35.038699999999999</c:v>
                </c:pt>
                <c:pt idx="77">
                  <c:v>34.810099999999998</c:v>
                </c:pt>
                <c:pt idx="78">
                  <c:v>35.078600000000002</c:v>
                </c:pt>
                <c:pt idx="79">
                  <c:v>35.0535</c:v>
                </c:pt>
                <c:pt idx="80">
                  <c:v>35.345700000000001</c:v>
                </c:pt>
                <c:pt idx="81">
                  <c:v>35.633899999999997</c:v>
                </c:pt>
                <c:pt idx="82">
                  <c:v>35.7271</c:v>
                </c:pt>
                <c:pt idx="83">
                  <c:v>35.443800000000003</c:v>
                </c:pt>
                <c:pt idx="84">
                  <c:v>35.727200000000003</c:v>
                </c:pt>
                <c:pt idx="85">
                  <c:v>35.660499999999999</c:v>
                </c:pt>
                <c:pt idx="86">
                  <c:v>35.798699999999997</c:v>
                </c:pt>
                <c:pt idx="87">
                  <c:v>36.110199999999999</c:v>
                </c:pt>
                <c:pt idx="88">
                  <c:v>36.249600000000001</c:v>
                </c:pt>
                <c:pt idx="89">
                  <c:v>36.446100000000001</c:v>
                </c:pt>
                <c:pt idx="90">
                  <c:v>36.047499999999999</c:v>
                </c:pt>
                <c:pt idx="91">
                  <c:v>36.088999999999999</c:v>
                </c:pt>
                <c:pt idx="92">
                  <c:v>36.222200000000001</c:v>
                </c:pt>
                <c:pt idx="93">
                  <c:v>36.039499999999997</c:v>
                </c:pt>
                <c:pt idx="94">
                  <c:v>36.001399999999997</c:v>
                </c:pt>
                <c:pt idx="95">
                  <c:v>36.029400000000003</c:v>
                </c:pt>
                <c:pt idx="96">
                  <c:v>36.109400000000001</c:v>
                </c:pt>
                <c:pt idx="97">
                  <c:v>36.223999999999997</c:v>
                </c:pt>
                <c:pt idx="98">
                  <c:v>36.331699999999998</c:v>
                </c:pt>
                <c:pt idx="99">
                  <c:v>36.002699999999997</c:v>
                </c:pt>
                <c:pt idx="100">
                  <c:v>36.120100000000001</c:v>
                </c:pt>
                <c:pt idx="101">
                  <c:v>36.135800000000003</c:v>
                </c:pt>
                <c:pt idx="102">
                  <c:v>36.139699999999998</c:v>
                </c:pt>
                <c:pt idx="103">
                  <c:v>36.305300000000003</c:v>
                </c:pt>
                <c:pt idx="104">
                  <c:v>36.931600000000003</c:v>
                </c:pt>
                <c:pt idx="105">
                  <c:v>37.294499999999999</c:v>
                </c:pt>
                <c:pt idx="106">
                  <c:v>37.347999999999999</c:v>
                </c:pt>
                <c:pt idx="107">
                  <c:v>37.318300000000001</c:v>
                </c:pt>
                <c:pt idx="108">
                  <c:v>36.803800000000003</c:v>
                </c:pt>
                <c:pt idx="109">
                  <c:v>36.921900000000001</c:v>
                </c:pt>
                <c:pt idx="110">
                  <c:v>37.086599999999997</c:v>
                </c:pt>
                <c:pt idx="111">
                  <c:v>37.0261</c:v>
                </c:pt>
                <c:pt idx="112">
                  <c:v>37.1693</c:v>
                </c:pt>
                <c:pt idx="113">
                  <c:v>37.375799999999998</c:v>
                </c:pt>
                <c:pt idx="114">
                  <c:v>37.654499999999999</c:v>
                </c:pt>
                <c:pt idx="115">
                  <c:v>37.9861</c:v>
                </c:pt>
                <c:pt idx="116">
                  <c:v>38.705800000000004</c:v>
                </c:pt>
                <c:pt idx="117">
                  <c:v>38.372399999999999</c:v>
                </c:pt>
                <c:pt idx="118">
                  <c:v>38.420900000000003</c:v>
                </c:pt>
                <c:pt idx="119">
                  <c:v>38.413400000000003</c:v>
                </c:pt>
                <c:pt idx="120">
                  <c:v>38.578200000000002</c:v>
                </c:pt>
                <c:pt idx="121">
                  <c:v>38.667200000000001</c:v>
                </c:pt>
                <c:pt idx="122">
                  <c:v>38.383000000000003</c:v>
                </c:pt>
                <c:pt idx="123">
                  <c:v>38.300699999999999</c:v>
                </c:pt>
                <c:pt idx="124">
                  <c:v>38.724299999999999</c:v>
                </c:pt>
                <c:pt idx="125">
                  <c:v>39.386600000000001</c:v>
                </c:pt>
                <c:pt idx="126">
                  <c:v>39.383600000000001</c:v>
                </c:pt>
                <c:pt idx="127">
                  <c:v>39.660400000000003</c:v>
                </c:pt>
                <c:pt idx="128">
                  <c:v>39.547400000000003</c:v>
                </c:pt>
                <c:pt idx="129">
                  <c:v>39.698</c:v>
                </c:pt>
                <c:pt idx="130">
                  <c:v>39.981999999999999</c:v>
                </c:pt>
                <c:pt idx="131">
                  <c:v>39.741700000000002</c:v>
                </c:pt>
                <c:pt idx="132">
                  <c:v>39.981900000000003</c:v>
                </c:pt>
                <c:pt idx="133">
                  <c:v>39.979999999999997</c:v>
                </c:pt>
                <c:pt idx="134">
                  <c:v>40.212499999999999</c:v>
                </c:pt>
                <c:pt idx="135">
                  <c:v>40.325099999999999</c:v>
                </c:pt>
                <c:pt idx="136">
                  <c:v>40.5304</c:v>
                </c:pt>
                <c:pt idx="137">
                  <c:v>40.941600000000001</c:v>
                </c:pt>
                <c:pt idx="138">
                  <c:v>40.745699999999999</c:v>
                </c:pt>
                <c:pt idx="139">
                  <c:v>41.045000000000002</c:v>
                </c:pt>
                <c:pt idx="140">
                  <c:v>40.881500000000003</c:v>
                </c:pt>
                <c:pt idx="141">
                  <c:v>41.0501</c:v>
                </c:pt>
                <c:pt idx="142">
                  <c:v>40.967100000000002</c:v>
                </c:pt>
                <c:pt idx="143">
                  <c:v>41.495800000000003</c:v>
                </c:pt>
                <c:pt idx="144">
                  <c:v>41.810099999999998</c:v>
                </c:pt>
                <c:pt idx="145">
                  <c:v>41.9497</c:v>
                </c:pt>
                <c:pt idx="146">
                  <c:v>42.3934</c:v>
                </c:pt>
                <c:pt idx="147">
                  <c:v>42.652500000000003</c:v>
                </c:pt>
                <c:pt idx="148">
                  <c:v>43.394300000000001</c:v>
                </c:pt>
                <c:pt idx="149">
                  <c:v>41.962699999999998</c:v>
                </c:pt>
                <c:pt idx="150">
                  <c:v>44.399299999999997</c:v>
                </c:pt>
                <c:pt idx="151">
                  <c:v>45.185400000000001</c:v>
                </c:pt>
                <c:pt idx="152">
                  <c:v>47.877400000000002</c:v>
                </c:pt>
                <c:pt idx="153">
                  <c:v>45.892600000000002</c:v>
                </c:pt>
                <c:pt idx="154">
                  <c:v>45.951999999999998</c:v>
                </c:pt>
                <c:pt idx="155">
                  <c:v>46.337899999999998</c:v>
                </c:pt>
                <c:pt idx="156">
                  <c:v>46.1233</c:v>
                </c:pt>
                <c:pt idx="157">
                  <c:v>47.392000000000003</c:v>
                </c:pt>
                <c:pt idx="158">
                  <c:v>47.332900000000002</c:v>
                </c:pt>
                <c:pt idx="159">
                  <c:v>46.979700000000001</c:v>
                </c:pt>
                <c:pt idx="160">
                  <c:v>47.029400000000003</c:v>
                </c:pt>
                <c:pt idx="161">
                  <c:v>46.704700000000003</c:v>
                </c:pt>
                <c:pt idx="162">
                  <c:v>45.7926</c:v>
                </c:pt>
                <c:pt idx="163">
                  <c:v>44.785200000000003</c:v>
                </c:pt>
                <c:pt idx="164">
                  <c:v>44.9758</c:v>
                </c:pt>
                <c:pt idx="165">
                  <c:v>46.424399999999999</c:v>
                </c:pt>
                <c:pt idx="166">
                  <c:v>47.6629</c:v>
                </c:pt>
                <c:pt idx="167">
                  <c:v>49.322000000000003</c:v>
                </c:pt>
                <c:pt idx="168">
                  <c:v>51.806800000000003</c:v>
                </c:pt>
                <c:pt idx="169">
                  <c:v>50.767800000000001</c:v>
                </c:pt>
                <c:pt idx="170">
                  <c:v>54.382100000000001</c:v>
                </c:pt>
                <c:pt idx="171">
                  <c:v>52.693199999999997</c:v>
                </c:pt>
                <c:pt idx="172">
                  <c:v>53.108800000000002</c:v>
                </c:pt>
                <c:pt idx="173">
                  <c:v>53.307899999999997</c:v>
                </c:pt>
                <c:pt idx="174">
                  <c:v>54.211599999999997</c:v>
                </c:pt>
                <c:pt idx="175">
                  <c:v>54.275799999999997</c:v>
                </c:pt>
                <c:pt idx="176">
                  <c:v>54.793199999999999</c:v>
                </c:pt>
                <c:pt idx="177">
                  <c:v>56.8919</c:v>
                </c:pt>
                <c:pt idx="178">
                  <c:v>58.3461</c:v>
                </c:pt>
                <c:pt idx="179">
                  <c:v>61.151200000000003</c:v>
                </c:pt>
                <c:pt idx="180">
                  <c:v>67.7851</c:v>
                </c:pt>
                <c:pt idx="181">
                  <c:v>59.602899999999998</c:v>
                </c:pt>
                <c:pt idx="182">
                  <c:v>60.682499999999997</c:v>
                </c:pt>
                <c:pt idx="183">
                  <c:v>56.494</c:v>
                </c:pt>
                <c:pt idx="184">
                  <c:v>54.5687</c:v>
                </c:pt>
                <c:pt idx="185">
                  <c:v>54.491300000000003</c:v>
                </c:pt>
                <c:pt idx="186">
                  <c:v>52.615900000000003</c:v>
                </c:pt>
                <c:pt idx="187">
                  <c:v>52.034300000000002</c:v>
                </c:pt>
                <c:pt idx="188">
                  <c:v>56.680100000000003</c:v>
                </c:pt>
                <c:pt idx="189">
                  <c:v>56.258400000000002</c:v>
                </c:pt>
                <c:pt idx="190">
                  <c:v>56.2376</c:v>
                </c:pt>
                <c:pt idx="191">
                  <c:v>62.7363</c:v>
                </c:pt>
                <c:pt idx="192">
                  <c:v>64.842500000000001</c:v>
                </c:pt>
                <c:pt idx="193">
                  <c:v>66.098299999999995</c:v>
                </c:pt>
                <c:pt idx="194">
                  <c:v>64.833699999999993</c:v>
                </c:pt>
                <c:pt idx="195">
                  <c:v>65.1738</c:v>
                </c:pt>
                <c:pt idx="196">
                  <c:v>64.973200000000006</c:v>
                </c:pt>
                <c:pt idx="197">
                  <c:v>64.986199999999997</c:v>
                </c:pt>
                <c:pt idx="198">
                  <c:v>65.555800000000005</c:v>
                </c:pt>
                <c:pt idx="199">
                  <c:v>65.400000000000006</c:v>
                </c:pt>
                <c:pt idx="200">
                  <c:v>63.393000000000001</c:v>
                </c:pt>
                <c:pt idx="201">
                  <c:v>65.593699999999998</c:v>
                </c:pt>
                <c:pt idx="202">
                  <c:v>67.815299999999993</c:v>
                </c:pt>
                <c:pt idx="203">
                  <c:v>67.150599999999997</c:v>
                </c:pt>
                <c:pt idx="204">
                  <c:v>68.7303</c:v>
                </c:pt>
                <c:pt idx="205">
                  <c:v>68.929100000000005</c:v>
                </c:pt>
                <c:pt idx="206">
                  <c:v>69.664000000000001</c:v>
                </c:pt>
                <c:pt idx="207">
                  <c:v>67.7727</c:v>
                </c:pt>
                <c:pt idx="208">
                  <c:v>65.447000000000003</c:v>
                </c:pt>
                <c:pt idx="209">
                  <c:v>68.6113</c:v>
                </c:pt>
                <c:pt idx="210">
                  <c:v>66.043199999999999</c:v>
                </c:pt>
                <c:pt idx="211">
                  <c:v>65.781700000000001</c:v>
                </c:pt>
                <c:pt idx="212">
                  <c:v>65.446899999999999</c:v>
                </c:pt>
                <c:pt idx="213">
                  <c:v>66.058499999999995</c:v>
                </c:pt>
                <c:pt idx="214">
                  <c:v>66.099400000000003</c:v>
                </c:pt>
                <c:pt idx="215">
                  <c:v>65.086200000000005</c:v>
                </c:pt>
                <c:pt idx="216">
                  <c:v>62.663200000000003</c:v>
                </c:pt>
                <c:pt idx="217">
                  <c:v>62.835299999999997</c:v>
                </c:pt>
                <c:pt idx="218">
                  <c:v>62.400100000000002</c:v>
                </c:pt>
                <c:pt idx="219">
                  <c:v>62.130699999999997</c:v>
                </c:pt>
                <c:pt idx="220">
                  <c:v>61.723500000000001</c:v>
                </c:pt>
                <c:pt idx="221">
                  <c:v>63.508299999999998</c:v>
                </c:pt>
                <c:pt idx="222">
                  <c:v>62.590600000000002</c:v>
                </c:pt>
                <c:pt idx="223">
                  <c:v>60.710900000000002</c:v>
                </c:pt>
                <c:pt idx="224">
                  <c:v>61.271799999999999</c:v>
                </c:pt>
                <c:pt idx="225">
                  <c:v>62.224800000000002</c:v>
                </c:pt>
                <c:pt idx="226">
                  <c:v>62.364899999999999</c:v>
                </c:pt>
                <c:pt idx="227">
                  <c:v>61.874499999999998</c:v>
                </c:pt>
                <c:pt idx="228">
                  <c:v>61.845700000000001</c:v>
                </c:pt>
                <c:pt idx="229">
                  <c:v>59.9938</c:v>
                </c:pt>
                <c:pt idx="230">
                  <c:v>60.664900000000003</c:v>
                </c:pt>
                <c:pt idx="231">
                  <c:v>62.679699999999997</c:v>
                </c:pt>
                <c:pt idx="232">
                  <c:v>60.959499999999998</c:v>
                </c:pt>
                <c:pt idx="233">
                  <c:v>61.316699999999997</c:v>
                </c:pt>
                <c:pt idx="234">
                  <c:v>62.149700000000003</c:v>
                </c:pt>
                <c:pt idx="235">
                  <c:v>61.750999999999998</c:v>
                </c:pt>
                <c:pt idx="236">
                  <c:v>61.348300000000002</c:v>
                </c:pt>
                <c:pt idx="237">
                  <c:v>59.830800000000004</c:v>
                </c:pt>
                <c:pt idx="238">
                  <c:v>60.034100000000002</c:v>
                </c:pt>
                <c:pt idx="239">
                  <c:v>59.4452</c:v>
                </c:pt>
                <c:pt idx="240">
                  <c:v>58.771000000000001</c:v>
                </c:pt>
                <c:pt idx="241">
                  <c:v>57.387900000000002</c:v>
                </c:pt>
                <c:pt idx="242">
                  <c:v>56.427100000000003</c:v>
                </c:pt>
                <c:pt idx="243">
                  <c:v>57.727899999999998</c:v>
                </c:pt>
                <c:pt idx="244">
                  <c:v>58.464300000000001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17349376"/>
        <c:axId val="117613312"/>
      </c:lineChart>
      <c:dateAx>
        <c:axId val="117349376"/>
        <c:scaling>
          <c:orientation val="minMax"/>
        </c:scaling>
        <c:delete val="0"/>
        <c:axPos val="b"/>
        <c:numFmt formatCode="m/d/yyyy" sourceLinked="1"/>
        <c:majorTickMark val="out"/>
        <c:minorTickMark val="none"/>
        <c:tickLblPos val="nextTo"/>
        <c:crossAx val="117613312"/>
        <c:crosses val="autoZero"/>
        <c:auto val="1"/>
        <c:lblOffset val="100"/>
        <c:baseTimeUnit val="days"/>
      </c:dateAx>
      <c:valAx>
        <c:axId val="117613312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ru-RU" sz="1200">
                    <a:latin typeface="Times New Roman" pitchFamily="18" charset="0"/>
                    <a:cs typeface="Times New Roman" pitchFamily="18" charset="0"/>
                  </a:rPr>
                  <a:t>руб</a:t>
                </a:r>
                <a:r>
                  <a:rPr lang="ru-RU"/>
                  <a:t>.</a:t>
                </a:r>
              </a:p>
            </c:rich>
          </c:tx>
          <c:layout>
            <c:manualLayout>
              <c:xMode val="edge"/>
              <c:yMode val="edge"/>
              <c:x val="2.2988505747126436E-2"/>
              <c:y val="0.35698711294528701"/>
            </c:manualLayout>
          </c:layout>
          <c:overlay val="0"/>
        </c:title>
        <c:numFmt formatCode="General" sourceLinked="1"/>
        <c:majorTickMark val="out"/>
        <c:minorTickMark val="none"/>
        <c:tickLblPos val="nextTo"/>
        <c:crossAx val="117349376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/>
      <c:lineChart>
        <c:grouping val="standard"/>
        <c:varyColors val="0"/>
        <c:ser>
          <c:idx val="0"/>
          <c:order val="0"/>
          <c:marker>
            <c:symbol val="none"/>
          </c:marker>
          <c:cat>
            <c:strRef>
              <c:f>Лист2!$K$21:$K$32</c:f>
              <c:strCache>
                <c:ptCount val="12"/>
                <c:pt idx="0">
                  <c:v>с 13 сентября 2013 г. по 02 марта 2014 г.</c:v>
                </c:pt>
                <c:pt idx="1">
                  <c:v>с 03 марта 2014 г. по 27 апреля 2014 г.</c:v>
                </c:pt>
                <c:pt idx="2">
                  <c:v>с 28 апреля 2014 г. по 27 июля 2014 г.</c:v>
                </c:pt>
                <c:pt idx="3">
                  <c:v>с 28 июля 2014 г. по 04 ноября 2014 г.</c:v>
                </c:pt>
                <c:pt idx="4">
                  <c:v>с 05 ноября 2014 г. по 11 декабря 2014 г.</c:v>
                </c:pt>
                <c:pt idx="5">
                  <c:v>с 12 декабря 2014 г.по 15 декабря 2014 г.</c:v>
                </c:pt>
                <c:pt idx="6">
                  <c:v>с 16 декабря 2014 г. по 01 февраля 2015 г.</c:v>
                </c:pt>
                <c:pt idx="7">
                  <c:v>с 02 февраля 2015 г. по 15 марта 2015 г.</c:v>
                </c:pt>
                <c:pt idx="8">
                  <c:v>с 16 марта 2015 г. по 04 мая 2015 г.</c:v>
                </c:pt>
                <c:pt idx="9">
                  <c:v>с 05 мая 2015 г. - 15 июня 2015 г.</c:v>
                </c:pt>
                <c:pt idx="10">
                  <c:v>с 16 июня 2015 г. - по 02 августа 2015 г.</c:v>
                </c:pt>
                <c:pt idx="11">
                  <c:v>с 03 августа 2015 г. -</c:v>
                </c:pt>
              </c:strCache>
            </c:strRef>
          </c:cat>
          <c:val>
            <c:numRef>
              <c:f>Лист2!$L$21:$L$32</c:f>
              <c:numCache>
                <c:formatCode>General</c:formatCode>
                <c:ptCount val="12"/>
              </c:numCache>
            </c:numRef>
          </c:val>
          <c:smooth val="0"/>
        </c:ser>
        <c:ser>
          <c:idx val="1"/>
          <c:order val="1"/>
          <c:marker>
            <c:symbol val="none"/>
          </c:marker>
          <c:cat>
            <c:strRef>
              <c:f>Лист2!$K$21:$K$32</c:f>
              <c:strCache>
                <c:ptCount val="12"/>
                <c:pt idx="0">
                  <c:v>с 13 сентября 2013 г. по 02 марта 2014 г.</c:v>
                </c:pt>
                <c:pt idx="1">
                  <c:v>с 03 марта 2014 г. по 27 апреля 2014 г.</c:v>
                </c:pt>
                <c:pt idx="2">
                  <c:v>с 28 апреля 2014 г. по 27 июля 2014 г.</c:v>
                </c:pt>
                <c:pt idx="3">
                  <c:v>с 28 июля 2014 г. по 04 ноября 2014 г.</c:v>
                </c:pt>
                <c:pt idx="4">
                  <c:v>с 05 ноября 2014 г. по 11 декабря 2014 г.</c:v>
                </c:pt>
                <c:pt idx="5">
                  <c:v>с 12 декабря 2014 г.по 15 декабря 2014 г.</c:v>
                </c:pt>
                <c:pt idx="6">
                  <c:v>с 16 декабря 2014 г. по 01 февраля 2015 г.</c:v>
                </c:pt>
                <c:pt idx="7">
                  <c:v>с 02 февраля 2015 г. по 15 марта 2015 г.</c:v>
                </c:pt>
                <c:pt idx="8">
                  <c:v>с 16 марта 2015 г. по 04 мая 2015 г.</c:v>
                </c:pt>
                <c:pt idx="9">
                  <c:v>с 05 мая 2015 г. - 15 июня 2015 г.</c:v>
                </c:pt>
                <c:pt idx="10">
                  <c:v>с 16 июня 2015 г. - по 02 августа 2015 г.</c:v>
                </c:pt>
                <c:pt idx="11">
                  <c:v>с 03 августа 2015 г. -</c:v>
                </c:pt>
              </c:strCache>
            </c:strRef>
          </c:cat>
          <c:val>
            <c:numRef>
              <c:f>Лист2!$M$21:$M$32</c:f>
              <c:numCache>
                <c:formatCode>General</c:formatCode>
                <c:ptCount val="12"/>
              </c:numCache>
            </c:numRef>
          </c:val>
          <c:smooth val="0"/>
        </c:ser>
        <c:ser>
          <c:idx val="2"/>
          <c:order val="2"/>
          <c:marker>
            <c:symbol val="none"/>
          </c:marker>
          <c:cat>
            <c:strRef>
              <c:f>Лист2!$K$21:$K$32</c:f>
              <c:strCache>
                <c:ptCount val="12"/>
                <c:pt idx="0">
                  <c:v>с 13 сентября 2013 г. по 02 марта 2014 г.</c:v>
                </c:pt>
                <c:pt idx="1">
                  <c:v>с 03 марта 2014 г. по 27 апреля 2014 г.</c:v>
                </c:pt>
                <c:pt idx="2">
                  <c:v>с 28 апреля 2014 г. по 27 июля 2014 г.</c:v>
                </c:pt>
                <c:pt idx="3">
                  <c:v>с 28 июля 2014 г. по 04 ноября 2014 г.</c:v>
                </c:pt>
                <c:pt idx="4">
                  <c:v>с 05 ноября 2014 г. по 11 декабря 2014 г.</c:v>
                </c:pt>
                <c:pt idx="5">
                  <c:v>с 12 декабря 2014 г.по 15 декабря 2014 г.</c:v>
                </c:pt>
                <c:pt idx="6">
                  <c:v>с 16 декабря 2014 г. по 01 февраля 2015 г.</c:v>
                </c:pt>
                <c:pt idx="7">
                  <c:v>с 02 февраля 2015 г. по 15 марта 2015 г.</c:v>
                </c:pt>
                <c:pt idx="8">
                  <c:v>с 16 марта 2015 г. по 04 мая 2015 г.</c:v>
                </c:pt>
                <c:pt idx="9">
                  <c:v>с 05 мая 2015 г. - 15 июня 2015 г.</c:v>
                </c:pt>
                <c:pt idx="10">
                  <c:v>с 16 июня 2015 г. - по 02 августа 2015 г.</c:v>
                </c:pt>
                <c:pt idx="11">
                  <c:v>с 03 августа 2015 г. -</c:v>
                </c:pt>
              </c:strCache>
            </c:strRef>
          </c:cat>
          <c:val>
            <c:numRef>
              <c:f>Лист2!$N$21:$N$32</c:f>
              <c:numCache>
                <c:formatCode>General</c:formatCode>
                <c:ptCount val="12"/>
              </c:numCache>
            </c:numRef>
          </c:val>
          <c:smooth val="0"/>
        </c:ser>
        <c:ser>
          <c:idx val="3"/>
          <c:order val="3"/>
          <c:marker>
            <c:symbol val="none"/>
          </c:marker>
          <c:cat>
            <c:strRef>
              <c:f>Лист2!$K$21:$K$32</c:f>
              <c:strCache>
                <c:ptCount val="12"/>
                <c:pt idx="0">
                  <c:v>с 13 сентября 2013 г. по 02 марта 2014 г.</c:v>
                </c:pt>
                <c:pt idx="1">
                  <c:v>с 03 марта 2014 г. по 27 апреля 2014 г.</c:v>
                </c:pt>
                <c:pt idx="2">
                  <c:v>с 28 апреля 2014 г. по 27 июля 2014 г.</c:v>
                </c:pt>
                <c:pt idx="3">
                  <c:v>с 28 июля 2014 г. по 04 ноября 2014 г.</c:v>
                </c:pt>
                <c:pt idx="4">
                  <c:v>с 05 ноября 2014 г. по 11 декабря 2014 г.</c:v>
                </c:pt>
                <c:pt idx="5">
                  <c:v>с 12 декабря 2014 г.по 15 декабря 2014 г.</c:v>
                </c:pt>
                <c:pt idx="6">
                  <c:v>с 16 декабря 2014 г. по 01 февраля 2015 г.</c:v>
                </c:pt>
                <c:pt idx="7">
                  <c:v>с 02 февраля 2015 г. по 15 марта 2015 г.</c:v>
                </c:pt>
                <c:pt idx="8">
                  <c:v>с 16 марта 2015 г. по 04 мая 2015 г.</c:v>
                </c:pt>
                <c:pt idx="9">
                  <c:v>с 05 мая 2015 г. - 15 июня 2015 г.</c:v>
                </c:pt>
                <c:pt idx="10">
                  <c:v>с 16 июня 2015 г. - по 02 августа 2015 г.</c:v>
                </c:pt>
                <c:pt idx="11">
                  <c:v>с 03 августа 2015 г. -</c:v>
                </c:pt>
              </c:strCache>
            </c:strRef>
          </c:cat>
          <c:val>
            <c:numRef>
              <c:f>Лист2!$O$21:$O$32</c:f>
              <c:numCache>
                <c:formatCode>General</c:formatCode>
                <c:ptCount val="12"/>
                <c:pt idx="0">
                  <c:v>5.5</c:v>
                </c:pt>
                <c:pt idx="1">
                  <c:v>7</c:v>
                </c:pt>
                <c:pt idx="2">
                  <c:v>7.5</c:v>
                </c:pt>
                <c:pt idx="3">
                  <c:v>8</c:v>
                </c:pt>
                <c:pt idx="4">
                  <c:v>9.5</c:v>
                </c:pt>
                <c:pt idx="5">
                  <c:v>10.5</c:v>
                </c:pt>
                <c:pt idx="6">
                  <c:v>17</c:v>
                </c:pt>
                <c:pt idx="7">
                  <c:v>15</c:v>
                </c:pt>
                <c:pt idx="8">
                  <c:v>14</c:v>
                </c:pt>
                <c:pt idx="9">
                  <c:v>12.5</c:v>
                </c:pt>
                <c:pt idx="10">
                  <c:v>11.5</c:v>
                </c:pt>
                <c:pt idx="11">
                  <c:v>11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30693760"/>
        <c:axId val="130707840"/>
      </c:lineChart>
      <c:catAx>
        <c:axId val="130693760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crossAx val="130707840"/>
        <c:crosses val="autoZero"/>
        <c:auto val="1"/>
        <c:lblAlgn val="ctr"/>
        <c:lblOffset val="100"/>
        <c:noMultiLvlLbl val="0"/>
      </c:catAx>
      <c:valAx>
        <c:axId val="130707840"/>
        <c:scaling>
          <c:orientation val="minMax"/>
        </c:scaling>
        <c:delete val="0"/>
        <c:axPos val="l"/>
        <c:majorGridlines/>
        <c:title>
          <c:tx>
            <c:rich>
              <a:bodyPr rot="-5400000" vert="horz"/>
              <a:lstStyle/>
              <a:p>
                <a:pPr>
                  <a:defRPr/>
                </a:pPr>
                <a:r>
                  <a:rPr lang="en-US" sz="1200" b="1">
                    <a:latin typeface="Times New Roman" pitchFamily="18" charset="0"/>
                    <a:cs typeface="Times New Roman" pitchFamily="18" charset="0"/>
                  </a:rPr>
                  <a:t>%</a:t>
                </a:r>
                <a:r>
                  <a:rPr lang="ru-RU" sz="1200" b="1">
                    <a:latin typeface="Times New Roman" pitchFamily="18" charset="0"/>
                    <a:cs typeface="Times New Roman" pitchFamily="18" charset="0"/>
                  </a:rPr>
                  <a:t> годовых</a:t>
                </a:r>
                <a:r>
                  <a:rPr lang="en-US" sz="1200" b="1" baseline="0">
                    <a:latin typeface="Times New Roman" pitchFamily="18" charset="0"/>
                    <a:cs typeface="Times New Roman" pitchFamily="18" charset="0"/>
                  </a:rPr>
                  <a:t> </a:t>
                </a:r>
                <a:endParaRPr lang="ru-RU" sz="1200" b="1">
                  <a:latin typeface="Times New Roman" pitchFamily="18" charset="0"/>
                  <a:cs typeface="Times New Roman" pitchFamily="18" charset="0"/>
                </a:endParaRPr>
              </a:p>
            </c:rich>
          </c:tx>
          <c:overlay val="0"/>
        </c:title>
        <c:numFmt formatCode="General" sourceLinked="1"/>
        <c:majorTickMark val="out"/>
        <c:minorTickMark val="none"/>
        <c:tickLblPos val="nextTo"/>
        <c:crossAx val="130693760"/>
        <c:crosses val="autoZero"/>
        <c:crossBetween val="between"/>
      </c:valAx>
    </c:plotArea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1676</TotalTime>
  <Pages>12</Pages>
  <Words>1817</Words>
  <Characters>10361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асус</cp:lastModifiedBy>
  <cp:revision>16</cp:revision>
  <dcterms:created xsi:type="dcterms:W3CDTF">2015-10-10T16:49:00Z</dcterms:created>
  <dcterms:modified xsi:type="dcterms:W3CDTF">2016-10-24T18:41:00Z</dcterms:modified>
</cp:coreProperties>
</file>