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14D" w:rsidRPr="003D714D" w:rsidRDefault="003D714D" w:rsidP="003D714D">
      <w:pPr>
        <w:spacing w:line="360" w:lineRule="auto"/>
        <w:ind w:firstLine="851"/>
        <w:jc w:val="center"/>
        <w:rPr>
          <w:rFonts w:ascii="Times New Roman" w:hAnsi="Times New Roman" w:cs="Times New Roman"/>
          <w:sz w:val="28"/>
          <w:szCs w:val="28"/>
        </w:rPr>
      </w:pPr>
      <w:r w:rsidRPr="003D714D">
        <w:rPr>
          <w:rFonts w:ascii="Times New Roman" w:hAnsi="Times New Roman" w:cs="Times New Roman"/>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w:t>
      </w:r>
    </w:p>
    <w:p w:rsidR="003D714D" w:rsidRPr="003D714D" w:rsidRDefault="003D714D" w:rsidP="003D714D">
      <w:pPr>
        <w:spacing w:line="360" w:lineRule="auto"/>
        <w:ind w:firstLine="851"/>
        <w:jc w:val="center"/>
        <w:rPr>
          <w:rFonts w:ascii="Times New Roman" w:hAnsi="Times New Roman" w:cs="Times New Roman"/>
          <w:sz w:val="28"/>
          <w:szCs w:val="28"/>
        </w:rPr>
      </w:pPr>
      <w:r w:rsidRPr="003D714D">
        <w:rPr>
          <w:rFonts w:ascii="Times New Roman" w:hAnsi="Times New Roman" w:cs="Times New Roman"/>
          <w:sz w:val="28"/>
          <w:szCs w:val="28"/>
        </w:rPr>
        <w:t>Кафедра «Банки и банковский менеджмент»</w:t>
      </w:r>
    </w:p>
    <w:p w:rsidR="003D714D" w:rsidRDefault="003D714D" w:rsidP="003D714D">
      <w:pPr>
        <w:spacing w:line="360" w:lineRule="auto"/>
        <w:ind w:firstLine="851"/>
        <w:jc w:val="center"/>
        <w:rPr>
          <w:rFonts w:ascii="Times New Roman" w:hAnsi="Times New Roman" w:cs="Times New Roman"/>
          <w:sz w:val="28"/>
          <w:szCs w:val="28"/>
        </w:rPr>
      </w:pPr>
    </w:p>
    <w:p w:rsidR="003D714D" w:rsidRPr="003D714D" w:rsidRDefault="003D714D" w:rsidP="003D714D">
      <w:pPr>
        <w:spacing w:line="360" w:lineRule="auto"/>
        <w:ind w:firstLine="851"/>
        <w:jc w:val="center"/>
        <w:rPr>
          <w:rFonts w:ascii="Times New Roman" w:hAnsi="Times New Roman" w:cs="Times New Roman"/>
          <w:b/>
          <w:sz w:val="28"/>
          <w:szCs w:val="28"/>
        </w:rPr>
      </w:pPr>
      <w:r w:rsidRPr="003D714D">
        <w:rPr>
          <w:rFonts w:ascii="Times New Roman" w:hAnsi="Times New Roman" w:cs="Times New Roman"/>
          <w:b/>
          <w:sz w:val="28"/>
          <w:szCs w:val="28"/>
        </w:rPr>
        <w:t>Контрольная работа №1</w:t>
      </w:r>
    </w:p>
    <w:p w:rsidR="003D714D" w:rsidRPr="003D714D" w:rsidRDefault="003D714D" w:rsidP="003D714D">
      <w:pPr>
        <w:spacing w:line="360" w:lineRule="auto"/>
        <w:ind w:firstLine="851"/>
        <w:jc w:val="center"/>
        <w:rPr>
          <w:rFonts w:ascii="Times New Roman" w:hAnsi="Times New Roman" w:cs="Times New Roman"/>
          <w:sz w:val="28"/>
          <w:szCs w:val="28"/>
        </w:rPr>
      </w:pPr>
    </w:p>
    <w:p w:rsidR="003D714D" w:rsidRPr="003D714D" w:rsidRDefault="003D714D" w:rsidP="003D714D">
      <w:pPr>
        <w:spacing w:line="360" w:lineRule="auto"/>
        <w:ind w:firstLine="851"/>
        <w:jc w:val="center"/>
        <w:rPr>
          <w:rFonts w:ascii="Times New Roman" w:hAnsi="Times New Roman" w:cs="Times New Roman"/>
          <w:sz w:val="28"/>
          <w:szCs w:val="28"/>
        </w:rPr>
      </w:pPr>
      <w:r w:rsidRPr="003D714D">
        <w:rPr>
          <w:rFonts w:ascii="Times New Roman" w:hAnsi="Times New Roman" w:cs="Times New Roman"/>
          <w:sz w:val="28"/>
          <w:szCs w:val="28"/>
        </w:rPr>
        <w:t>Дисциплина: «БАНКОВСКОЕ ДЕЛО»</w:t>
      </w:r>
    </w:p>
    <w:p w:rsidR="003D714D" w:rsidRPr="003D714D" w:rsidRDefault="003D714D" w:rsidP="003D714D">
      <w:pPr>
        <w:spacing w:line="240" w:lineRule="auto"/>
        <w:ind w:firstLine="851"/>
        <w:jc w:val="center"/>
        <w:rPr>
          <w:rFonts w:ascii="Times New Roman" w:hAnsi="Times New Roman" w:cs="Times New Roman"/>
          <w:sz w:val="28"/>
          <w:szCs w:val="28"/>
        </w:rPr>
      </w:pPr>
      <w:r w:rsidRPr="003D714D">
        <w:rPr>
          <w:rFonts w:ascii="Times New Roman" w:hAnsi="Times New Roman" w:cs="Times New Roman"/>
          <w:sz w:val="28"/>
          <w:szCs w:val="28"/>
        </w:rPr>
        <w:t>Направление подготовки «Экономика»,</w:t>
      </w:r>
    </w:p>
    <w:p w:rsidR="003D714D" w:rsidRPr="003D714D" w:rsidRDefault="003D714D" w:rsidP="003D714D">
      <w:pPr>
        <w:spacing w:line="240" w:lineRule="auto"/>
        <w:ind w:firstLine="851"/>
        <w:jc w:val="center"/>
        <w:rPr>
          <w:rFonts w:ascii="Times New Roman" w:hAnsi="Times New Roman" w:cs="Times New Roman"/>
          <w:sz w:val="28"/>
          <w:szCs w:val="28"/>
        </w:rPr>
      </w:pPr>
      <w:r w:rsidRPr="003D714D">
        <w:rPr>
          <w:rFonts w:ascii="Times New Roman" w:hAnsi="Times New Roman" w:cs="Times New Roman"/>
          <w:sz w:val="28"/>
          <w:szCs w:val="28"/>
        </w:rPr>
        <w:t>профиль «Финансы и кредит».</w:t>
      </w:r>
    </w:p>
    <w:p w:rsidR="003D714D" w:rsidRPr="003D714D" w:rsidRDefault="003D714D" w:rsidP="003D714D">
      <w:pPr>
        <w:spacing w:line="240" w:lineRule="auto"/>
        <w:ind w:firstLine="851"/>
        <w:jc w:val="center"/>
        <w:rPr>
          <w:rFonts w:ascii="Times New Roman" w:hAnsi="Times New Roman" w:cs="Times New Roman"/>
          <w:sz w:val="28"/>
          <w:szCs w:val="28"/>
        </w:rPr>
      </w:pPr>
      <w:r w:rsidRPr="003D714D">
        <w:rPr>
          <w:rFonts w:ascii="Times New Roman" w:hAnsi="Times New Roman" w:cs="Times New Roman"/>
          <w:sz w:val="28"/>
          <w:szCs w:val="28"/>
        </w:rPr>
        <w:t>Заочная форма обучения</w:t>
      </w:r>
    </w:p>
    <w:p w:rsidR="003D714D" w:rsidRDefault="003D714D" w:rsidP="003D714D">
      <w:pPr>
        <w:spacing w:line="360" w:lineRule="auto"/>
        <w:ind w:firstLine="851"/>
        <w:jc w:val="center"/>
        <w:rPr>
          <w:rFonts w:ascii="Times New Roman" w:hAnsi="Times New Roman" w:cs="Times New Roman"/>
          <w:sz w:val="28"/>
          <w:szCs w:val="28"/>
        </w:rPr>
      </w:pPr>
    </w:p>
    <w:p w:rsidR="003D714D" w:rsidRPr="003D714D" w:rsidRDefault="003D714D" w:rsidP="003D714D">
      <w:pPr>
        <w:spacing w:line="360" w:lineRule="auto"/>
        <w:ind w:firstLine="851"/>
        <w:jc w:val="center"/>
        <w:rPr>
          <w:rFonts w:ascii="Times New Roman" w:hAnsi="Times New Roman" w:cs="Times New Roman"/>
          <w:b/>
          <w:sz w:val="28"/>
          <w:szCs w:val="28"/>
        </w:rPr>
      </w:pPr>
      <w:r w:rsidRPr="003D714D">
        <w:rPr>
          <w:rFonts w:ascii="Times New Roman" w:hAnsi="Times New Roman" w:cs="Times New Roman"/>
          <w:b/>
          <w:sz w:val="28"/>
          <w:szCs w:val="28"/>
        </w:rPr>
        <w:t>Задание 13</w:t>
      </w:r>
    </w:p>
    <w:p w:rsidR="003D714D" w:rsidRDefault="003D714D" w:rsidP="003D714D">
      <w:pPr>
        <w:spacing w:line="360" w:lineRule="auto"/>
        <w:ind w:firstLine="851"/>
        <w:jc w:val="center"/>
        <w:rPr>
          <w:rFonts w:ascii="Times New Roman" w:hAnsi="Times New Roman" w:cs="Times New Roman"/>
          <w:b/>
          <w:sz w:val="28"/>
          <w:szCs w:val="28"/>
        </w:rPr>
      </w:pPr>
      <w:r w:rsidRPr="003D714D">
        <w:rPr>
          <w:rFonts w:ascii="Times New Roman" w:hAnsi="Times New Roman" w:cs="Times New Roman"/>
          <w:b/>
          <w:sz w:val="28"/>
          <w:szCs w:val="28"/>
        </w:rPr>
        <w:t>Кредитоспособность клиента</w:t>
      </w:r>
    </w:p>
    <w:p w:rsidR="003D714D" w:rsidRPr="003D714D" w:rsidRDefault="003D714D" w:rsidP="003D714D">
      <w:pPr>
        <w:spacing w:line="360" w:lineRule="auto"/>
        <w:ind w:firstLine="851"/>
        <w:jc w:val="center"/>
        <w:rPr>
          <w:rFonts w:ascii="Times New Roman" w:hAnsi="Times New Roman" w:cs="Times New Roman"/>
          <w:b/>
          <w:sz w:val="28"/>
          <w:szCs w:val="28"/>
        </w:rPr>
      </w:pPr>
    </w:p>
    <w:p w:rsidR="003D714D" w:rsidRDefault="003D714D" w:rsidP="003D714D">
      <w:pPr>
        <w:spacing w:line="276" w:lineRule="auto"/>
        <w:ind w:firstLine="851"/>
        <w:jc w:val="right"/>
        <w:rPr>
          <w:rFonts w:ascii="Times New Roman" w:hAnsi="Times New Roman" w:cs="Times New Roman"/>
          <w:sz w:val="28"/>
          <w:szCs w:val="28"/>
        </w:rPr>
      </w:pPr>
      <w:r w:rsidRPr="003D714D">
        <w:rPr>
          <w:rFonts w:ascii="Times New Roman" w:hAnsi="Times New Roman" w:cs="Times New Roman"/>
          <w:sz w:val="28"/>
          <w:szCs w:val="28"/>
        </w:rPr>
        <w:t>Выполнил:</w:t>
      </w:r>
    </w:p>
    <w:p w:rsidR="003D714D" w:rsidRPr="003D714D" w:rsidRDefault="003D714D" w:rsidP="003D714D">
      <w:pPr>
        <w:spacing w:line="276" w:lineRule="auto"/>
        <w:ind w:firstLine="851"/>
        <w:jc w:val="right"/>
        <w:rPr>
          <w:rFonts w:ascii="Times New Roman" w:hAnsi="Times New Roman" w:cs="Times New Roman"/>
          <w:sz w:val="28"/>
          <w:szCs w:val="28"/>
        </w:rPr>
      </w:pPr>
      <w:r w:rsidRPr="003D714D">
        <w:rPr>
          <w:rFonts w:ascii="Times New Roman" w:hAnsi="Times New Roman" w:cs="Times New Roman"/>
          <w:sz w:val="28"/>
          <w:szCs w:val="28"/>
        </w:rPr>
        <w:t xml:space="preserve"> Студент группы_</w:t>
      </w:r>
      <w:r>
        <w:rPr>
          <w:rFonts w:ascii="Times New Roman" w:hAnsi="Times New Roman" w:cs="Times New Roman"/>
          <w:sz w:val="28"/>
          <w:szCs w:val="28"/>
        </w:rPr>
        <w:t>ЗБ-3-ЭФ3-14с</w:t>
      </w:r>
      <w:r w:rsidRPr="003D714D">
        <w:rPr>
          <w:rFonts w:ascii="Times New Roman" w:hAnsi="Times New Roman" w:cs="Times New Roman"/>
          <w:sz w:val="28"/>
          <w:szCs w:val="28"/>
        </w:rPr>
        <w:t xml:space="preserve">_ </w:t>
      </w:r>
    </w:p>
    <w:p w:rsidR="003D714D" w:rsidRPr="003D714D" w:rsidRDefault="003D714D" w:rsidP="003D714D">
      <w:pPr>
        <w:spacing w:line="276" w:lineRule="auto"/>
        <w:ind w:firstLine="851"/>
        <w:jc w:val="right"/>
        <w:rPr>
          <w:rFonts w:ascii="Times New Roman" w:hAnsi="Times New Roman" w:cs="Times New Roman"/>
          <w:sz w:val="28"/>
          <w:szCs w:val="28"/>
        </w:rPr>
      </w:pPr>
      <w:r>
        <w:rPr>
          <w:rFonts w:ascii="Times New Roman" w:hAnsi="Times New Roman" w:cs="Times New Roman"/>
          <w:sz w:val="28"/>
          <w:szCs w:val="28"/>
        </w:rPr>
        <w:t>Косякова Ольга Ивановна</w:t>
      </w:r>
    </w:p>
    <w:p w:rsidR="003D714D" w:rsidRPr="003D714D" w:rsidRDefault="003D714D" w:rsidP="003D714D">
      <w:pPr>
        <w:spacing w:after="0" w:line="240" w:lineRule="auto"/>
        <w:ind w:firstLine="851"/>
        <w:jc w:val="right"/>
        <w:rPr>
          <w:rFonts w:ascii="Times New Roman" w:hAnsi="Times New Roman" w:cs="Times New Roman"/>
          <w:sz w:val="28"/>
          <w:szCs w:val="28"/>
        </w:rPr>
      </w:pPr>
      <w:r w:rsidRPr="003D714D">
        <w:rPr>
          <w:rFonts w:ascii="Times New Roman" w:hAnsi="Times New Roman" w:cs="Times New Roman"/>
          <w:sz w:val="28"/>
          <w:szCs w:val="28"/>
        </w:rPr>
        <w:t xml:space="preserve"> _____________________ </w:t>
      </w:r>
    </w:p>
    <w:p w:rsidR="003D714D" w:rsidRPr="003D714D" w:rsidRDefault="003D714D" w:rsidP="003D714D">
      <w:pPr>
        <w:spacing w:line="240" w:lineRule="auto"/>
        <w:ind w:firstLine="851"/>
        <w:jc w:val="right"/>
        <w:rPr>
          <w:rFonts w:ascii="Times New Roman" w:hAnsi="Times New Roman" w:cs="Times New Roman"/>
          <w:sz w:val="24"/>
          <w:szCs w:val="24"/>
        </w:rPr>
      </w:pPr>
      <w:r w:rsidRPr="003D714D">
        <w:rPr>
          <w:rFonts w:ascii="Times New Roman" w:hAnsi="Times New Roman" w:cs="Times New Roman"/>
          <w:sz w:val="24"/>
          <w:szCs w:val="24"/>
        </w:rPr>
        <w:t>(Подпись)</w:t>
      </w:r>
    </w:p>
    <w:p w:rsidR="003D714D" w:rsidRPr="003D714D" w:rsidRDefault="003D714D" w:rsidP="003D714D">
      <w:pPr>
        <w:spacing w:line="276" w:lineRule="auto"/>
        <w:ind w:firstLine="851"/>
        <w:jc w:val="right"/>
        <w:rPr>
          <w:rFonts w:ascii="Times New Roman" w:hAnsi="Times New Roman" w:cs="Times New Roman"/>
          <w:sz w:val="28"/>
          <w:szCs w:val="28"/>
        </w:rPr>
      </w:pPr>
      <w:r w:rsidRPr="003D714D">
        <w:rPr>
          <w:rFonts w:ascii="Times New Roman" w:hAnsi="Times New Roman" w:cs="Times New Roman"/>
          <w:sz w:val="28"/>
          <w:szCs w:val="28"/>
        </w:rPr>
        <w:t xml:space="preserve"> Руководитель: </w:t>
      </w:r>
    </w:p>
    <w:p w:rsidR="003D714D" w:rsidRPr="003D714D" w:rsidRDefault="003D714D" w:rsidP="003D714D">
      <w:pPr>
        <w:spacing w:line="276" w:lineRule="auto"/>
        <w:ind w:firstLine="851"/>
        <w:jc w:val="right"/>
        <w:rPr>
          <w:rFonts w:ascii="Times New Roman" w:hAnsi="Times New Roman" w:cs="Times New Roman"/>
          <w:sz w:val="28"/>
          <w:szCs w:val="28"/>
        </w:rPr>
      </w:pPr>
      <w:r w:rsidRPr="003D714D">
        <w:rPr>
          <w:rFonts w:ascii="Times New Roman" w:hAnsi="Times New Roman" w:cs="Times New Roman"/>
          <w:sz w:val="28"/>
          <w:szCs w:val="28"/>
        </w:rPr>
        <w:t>Рудакова Ольга Степановна</w:t>
      </w:r>
    </w:p>
    <w:p w:rsidR="003D714D" w:rsidRPr="003D714D" w:rsidRDefault="003D714D" w:rsidP="003D714D">
      <w:pPr>
        <w:spacing w:after="0" w:line="240" w:lineRule="auto"/>
        <w:ind w:firstLine="851"/>
        <w:jc w:val="right"/>
        <w:rPr>
          <w:rFonts w:ascii="Times New Roman" w:hAnsi="Times New Roman" w:cs="Times New Roman"/>
          <w:sz w:val="28"/>
          <w:szCs w:val="28"/>
        </w:rPr>
      </w:pPr>
      <w:r w:rsidRPr="003D714D">
        <w:rPr>
          <w:rFonts w:ascii="Times New Roman" w:hAnsi="Times New Roman" w:cs="Times New Roman"/>
          <w:sz w:val="28"/>
          <w:szCs w:val="28"/>
        </w:rPr>
        <w:t xml:space="preserve">_______________________ </w:t>
      </w:r>
    </w:p>
    <w:p w:rsidR="003D714D" w:rsidRPr="003D714D" w:rsidRDefault="003D714D" w:rsidP="003D714D">
      <w:pPr>
        <w:spacing w:line="240" w:lineRule="auto"/>
        <w:ind w:firstLine="851"/>
        <w:jc w:val="right"/>
        <w:rPr>
          <w:rFonts w:ascii="Times New Roman" w:hAnsi="Times New Roman" w:cs="Times New Roman"/>
          <w:sz w:val="24"/>
          <w:szCs w:val="24"/>
        </w:rPr>
      </w:pPr>
      <w:r w:rsidRPr="003D714D">
        <w:rPr>
          <w:rFonts w:ascii="Times New Roman" w:hAnsi="Times New Roman" w:cs="Times New Roman"/>
          <w:sz w:val="24"/>
          <w:szCs w:val="24"/>
        </w:rPr>
        <w:t xml:space="preserve">(Подпись) </w:t>
      </w:r>
    </w:p>
    <w:p w:rsidR="003D714D" w:rsidRDefault="003D714D" w:rsidP="003D714D">
      <w:pPr>
        <w:spacing w:line="360" w:lineRule="auto"/>
        <w:ind w:firstLine="851"/>
        <w:jc w:val="center"/>
        <w:rPr>
          <w:rFonts w:ascii="Times New Roman" w:hAnsi="Times New Roman" w:cs="Times New Roman"/>
          <w:sz w:val="28"/>
          <w:szCs w:val="28"/>
        </w:rPr>
      </w:pPr>
    </w:p>
    <w:p w:rsidR="003D714D" w:rsidRPr="003D714D" w:rsidRDefault="00C86780" w:rsidP="003D714D">
      <w:pPr>
        <w:spacing w:line="360" w:lineRule="auto"/>
        <w:ind w:firstLine="851"/>
        <w:jc w:val="cente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2999217</wp:posOffset>
                </wp:positionH>
                <wp:positionV relativeFrom="paragraph">
                  <wp:posOffset>386902</wp:posOffset>
                </wp:positionV>
                <wp:extent cx="537882" cy="470647"/>
                <wp:effectExtent l="0" t="0" r="0" b="5715"/>
                <wp:wrapNone/>
                <wp:docPr id="10" name="Прямоугольник 10"/>
                <wp:cNvGraphicFramePr/>
                <a:graphic xmlns:a="http://schemas.openxmlformats.org/drawingml/2006/main">
                  <a:graphicData uri="http://schemas.microsoft.com/office/word/2010/wordprocessingShape">
                    <wps:wsp>
                      <wps:cNvSpPr/>
                      <wps:spPr>
                        <a:xfrm>
                          <a:off x="0" y="0"/>
                          <a:ext cx="537882" cy="47064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8AB741" id="Прямоугольник 10" o:spid="_x0000_s1026" style="position:absolute;margin-left:236.15pt;margin-top:30.45pt;width:42.35pt;height:37.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" fillcolor="white [3212]" stroked="f" strokeweight="1pt"/>
            </w:pict>
          </mc:Fallback>
        </mc:AlternateContent>
      </w:r>
      <w:r w:rsidR="00A00B42">
        <w:rPr>
          <w:rFonts w:ascii="Times New Roman" w:hAnsi="Times New Roman" w:cs="Times New Roman"/>
          <w:sz w:val="28"/>
          <w:szCs w:val="28"/>
        </w:rPr>
        <w:t>МОСКВА 2016</w:t>
      </w:r>
    </w:p>
    <w:p w:rsidR="003D714D" w:rsidRDefault="003D714D" w:rsidP="003B02FE">
      <w:pPr>
        <w:spacing w:line="360" w:lineRule="auto"/>
        <w:ind w:firstLine="851"/>
        <w:jc w:val="both"/>
      </w:pPr>
    </w:p>
    <w:sdt>
      <w:sdtPr>
        <w:id w:val="303356298"/>
        <w:docPartObj>
          <w:docPartGallery w:val="Table of Contents"/>
          <w:docPartUnique/>
        </w:docPartObj>
      </w:sdtPr>
      <w:sdtEndPr>
        <w:rPr>
          <w:rFonts w:ascii="Times New Roman" w:hAnsi="Times New Roman" w:cs="Times New Roman"/>
          <w:bCs/>
          <w:sz w:val="28"/>
          <w:szCs w:val="28"/>
        </w:rPr>
      </w:sdtEndPr>
      <w:sdtContent>
        <w:p w:rsidR="00C86780" w:rsidRPr="003D714D" w:rsidRDefault="00C86780" w:rsidP="00C86780">
          <w:pPr>
            <w:spacing w:line="240" w:lineRule="auto"/>
            <w:ind w:firstLine="851"/>
            <w:rPr>
              <w:rFonts w:ascii="Times New Roman" w:hAnsi="Times New Roman" w:cs="Times New Roman"/>
              <w:b/>
              <w:sz w:val="28"/>
              <w:szCs w:val="28"/>
            </w:rPr>
          </w:pPr>
          <w:r w:rsidRPr="003D714D">
            <w:rPr>
              <w:rFonts w:ascii="Times New Roman" w:hAnsi="Times New Roman" w:cs="Times New Roman"/>
              <w:b/>
              <w:sz w:val="28"/>
              <w:szCs w:val="28"/>
            </w:rPr>
            <w:t xml:space="preserve">Содержание контрольной работы </w:t>
          </w:r>
        </w:p>
        <w:p w:rsidR="00C86780" w:rsidRPr="00C86780" w:rsidRDefault="00C86780" w:rsidP="00C86780">
          <w:pPr>
            <w:rPr>
              <w:rFonts w:ascii="Times New Roman" w:hAnsi="Times New Roman" w:cs="Times New Roman"/>
              <w:noProof/>
              <w:sz w:val="28"/>
              <w:szCs w:val="28"/>
            </w:rPr>
          </w:pPr>
          <w:r w:rsidRPr="00C86780">
            <w:rPr>
              <w:rFonts w:ascii="Times New Roman" w:hAnsi="Times New Roman" w:cs="Times New Roman"/>
              <w:sz w:val="28"/>
              <w:szCs w:val="28"/>
            </w:rPr>
            <w:fldChar w:fldCharType="begin"/>
          </w:r>
          <w:r w:rsidRPr="00C86780">
            <w:rPr>
              <w:rFonts w:ascii="Times New Roman" w:hAnsi="Times New Roman" w:cs="Times New Roman"/>
              <w:sz w:val="28"/>
              <w:szCs w:val="28"/>
            </w:rPr>
            <w:instrText xml:space="preserve"> TOC \o "1-3" \h \z \u </w:instrText>
          </w:r>
          <w:r w:rsidRPr="00C86780">
            <w:rPr>
              <w:rFonts w:ascii="Times New Roman" w:hAnsi="Times New Roman" w:cs="Times New Roman"/>
              <w:sz w:val="28"/>
              <w:szCs w:val="28"/>
            </w:rPr>
            <w:fldChar w:fldCharType="separate"/>
          </w:r>
          <w:hyperlink w:anchor="_Toc453754710" w:history="1">
            <w:r w:rsidRPr="00C86780">
              <w:rPr>
                <w:rStyle w:val="a5"/>
                <w:rFonts w:ascii="Times New Roman" w:hAnsi="Times New Roman" w:cs="Times New Roman"/>
                <w:noProof/>
                <w:sz w:val="28"/>
                <w:szCs w:val="28"/>
              </w:rPr>
              <w:t>Вопрос 1. Понятие кредитоспособности заемщика и критерии его оценки.</w:t>
            </w:r>
            <w:r w:rsidRPr="00C86780">
              <w:rPr>
                <w:rFonts w:ascii="Times New Roman" w:hAnsi="Times New Roman" w:cs="Times New Roman"/>
                <w:noProof/>
                <w:webHidden/>
                <w:sz w:val="28"/>
                <w:szCs w:val="28"/>
              </w:rPr>
              <w:tab/>
            </w:r>
            <w:r w:rsidRPr="00C86780">
              <w:rPr>
                <w:rFonts w:ascii="Times New Roman" w:hAnsi="Times New Roman" w:cs="Times New Roman"/>
                <w:noProof/>
                <w:webHidden/>
                <w:sz w:val="28"/>
                <w:szCs w:val="28"/>
              </w:rPr>
              <w:fldChar w:fldCharType="begin"/>
            </w:r>
            <w:r w:rsidRPr="00C86780">
              <w:rPr>
                <w:rFonts w:ascii="Times New Roman" w:hAnsi="Times New Roman" w:cs="Times New Roman"/>
                <w:noProof/>
                <w:webHidden/>
                <w:sz w:val="28"/>
                <w:szCs w:val="28"/>
              </w:rPr>
              <w:instrText xml:space="preserve"> PAGEREF _Toc453754710 \h </w:instrText>
            </w:r>
            <w:r w:rsidRPr="00C86780">
              <w:rPr>
                <w:rFonts w:ascii="Times New Roman" w:hAnsi="Times New Roman" w:cs="Times New Roman"/>
                <w:noProof/>
                <w:webHidden/>
                <w:sz w:val="28"/>
                <w:szCs w:val="28"/>
              </w:rPr>
            </w:r>
            <w:r w:rsidRPr="00C8678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w:t>
            </w:r>
            <w:r w:rsidRPr="00C86780">
              <w:rPr>
                <w:rFonts w:ascii="Times New Roman" w:hAnsi="Times New Roman" w:cs="Times New Roman"/>
                <w:noProof/>
                <w:webHidden/>
                <w:sz w:val="28"/>
                <w:szCs w:val="28"/>
              </w:rPr>
              <w:fldChar w:fldCharType="end"/>
            </w:r>
          </w:hyperlink>
        </w:p>
        <w:p w:rsidR="00C86780" w:rsidRPr="00C86780" w:rsidRDefault="00483B14">
          <w:pPr>
            <w:pStyle w:val="11"/>
            <w:tabs>
              <w:tab w:val="right" w:leader="dot" w:pos="9911"/>
            </w:tabs>
            <w:rPr>
              <w:rFonts w:ascii="Times New Roman" w:hAnsi="Times New Roman" w:cs="Times New Roman"/>
              <w:noProof/>
              <w:sz w:val="28"/>
              <w:szCs w:val="28"/>
            </w:rPr>
          </w:pPr>
          <w:hyperlink w:anchor="_Toc453754711" w:history="1">
            <w:r w:rsidR="00C86780" w:rsidRPr="00C86780">
              <w:rPr>
                <w:rStyle w:val="a5"/>
                <w:rFonts w:ascii="Times New Roman" w:hAnsi="Times New Roman" w:cs="Times New Roman"/>
                <w:noProof/>
                <w:sz w:val="28"/>
                <w:szCs w:val="28"/>
              </w:rPr>
              <w:t>Вопрос 2. Методы анализа кредитоспособности заемщика.</w:t>
            </w:r>
            <w:r w:rsidR="00C86780" w:rsidRPr="00C86780">
              <w:rPr>
                <w:rFonts w:ascii="Times New Roman" w:hAnsi="Times New Roman" w:cs="Times New Roman"/>
                <w:noProof/>
                <w:webHidden/>
                <w:sz w:val="28"/>
                <w:szCs w:val="28"/>
              </w:rPr>
              <w:tab/>
            </w:r>
            <w:r w:rsidR="00C86780" w:rsidRPr="00C86780">
              <w:rPr>
                <w:rFonts w:ascii="Times New Roman" w:hAnsi="Times New Roman" w:cs="Times New Roman"/>
                <w:noProof/>
                <w:webHidden/>
                <w:sz w:val="28"/>
                <w:szCs w:val="28"/>
              </w:rPr>
              <w:fldChar w:fldCharType="begin"/>
            </w:r>
            <w:r w:rsidR="00C86780" w:rsidRPr="00C86780">
              <w:rPr>
                <w:rFonts w:ascii="Times New Roman" w:hAnsi="Times New Roman" w:cs="Times New Roman"/>
                <w:noProof/>
                <w:webHidden/>
                <w:sz w:val="28"/>
                <w:szCs w:val="28"/>
              </w:rPr>
              <w:instrText xml:space="preserve"> PAGEREF _Toc453754711 \h </w:instrText>
            </w:r>
            <w:r w:rsidR="00C86780" w:rsidRPr="00C86780">
              <w:rPr>
                <w:rFonts w:ascii="Times New Roman" w:hAnsi="Times New Roman" w:cs="Times New Roman"/>
                <w:noProof/>
                <w:webHidden/>
                <w:sz w:val="28"/>
                <w:szCs w:val="28"/>
              </w:rPr>
            </w:r>
            <w:r w:rsidR="00C86780" w:rsidRPr="00C86780">
              <w:rPr>
                <w:rFonts w:ascii="Times New Roman" w:hAnsi="Times New Roman" w:cs="Times New Roman"/>
                <w:noProof/>
                <w:webHidden/>
                <w:sz w:val="28"/>
                <w:szCs w:val="28"/>
              </w:rPr>
              <w:fldChar w:fldCharType="separate"/>
            </w:r>
            <w:r w:rsidR="00C86780">
              <w:rPr>
                <w:rFonts w:ascii="Times New Roman" w:hAnsi="Times New Roman" w:cs="Times New Roman"/>
                <w:noProof/>
                <w:webHidden/>
                <w:sz w:val="28"/>
                <w:szCs w:val="28"/>
              </w:rPr>
              <w:t>7</w:t>
            </w:r>
            <w:r w:rsidR="00C86780" w:rsidRPr="00C86780">
              <w:rPr>
                <w:rFonts w:ascii="Times New Roman" w:hAnsi="Times New Roman" w:cs="Times New Roman"/>
                <w:noProof/>
                <w:webHidden/>
                <w:sz w:val="28"/>
                <w:szCs w:val="28"/>
              </w:rPr>
              <w:fldChar w:fldCharType="end"/>
            </w:r>
          </w:hyperlink>
        </w:p>
        <w:p w:rsidR="00C86780" w:rsidRPr="00C86780" w:rsidRDefault="00483B14">
          <w:pPr>
            <w:pStyle w:val="11"/>
            <w:tabs>
              <w:tab w:val="right" w:leader="dot" w:pos="9911"/>
            </w:tabs>
            <w:rPr>
              <w:rFonts w:ascii="Times New Roman" w:hAnsi="Times New Roman" w:cs="Times New Roman"/>
              <w:noProof/>
              <w:sz w:val="28"/>
              <w:szCs w:val="28"/>
            </w:rPr>
          </w:pPr>
          <w:hyperlink w:anchor="_Toc453754712" w:history="1">
            <w:r w:rsidR="00C86780" w:rsidRPr="00C86780">
              <w:rPr>
                <w:rStyle w:val="a5"/>
                <w:rFonts w:ascii="Times New Roman" w:hAnsi="Times New Roman" w:cs="Times New Roman"/>
                <w:noProof/>
                <w:sz w:val="28"/>
                <w:szCs w:val="28"/>
              </w:rPr>
              <w:t>Вопрос 3. Анализ кредитоспособности заемщика – юридического лица</w:t>
            </w:r>
            <w:r w:rsidR="00C86780" w:rsidRPr="00C86780">
              <w:rPr>
                <w:rFonts w:ascii="Times New Roman" w:hAnsi="Times New Roman" w:cs="Times New Roman"/>
                <w:noProof/>
                <w:webHidden/>
                <w:sz w:val="28"/>
                <w:szCs w:val="28"/>
              </w:rPr>
              <w:tab/>
            </w:r>
            <w:r w:rsidR="00C86780" w:rsidRPr="00C86780">
              <w:rPr>
                <w:rFonts w:ascii="Times New Roman" w:hAnsi="Times New Roman" w:cs="Times New Roman"/>
                <w:noProof/>
                <w:webHidden/>
                <w:sz w:val="28"/>
                <w:szCs w:val="28"/>
              </w:rPr>
              <w:fldChar w:fldCharType="begin"/>
            </w:r>
            <w:r w:rsidR="00C86780" w:rsidRPr="00C86780">
              <w:rPr>
                <w:rFonts w:ascii="Times New Roman" w:hAnsi="Times New Roman" w:cs="Times New Roman"/>
                <w:noProof/>
                <w:webHidden/>
                <w:sz w:val="28"/>
                <w:szCs w:val="28"/>
              </w:rPr>
              <w:instrText xml:space="preserve"> PAGEREF _Toc453754712 \h </w:instrText>
            </w:r>
            <w:r w:rsidR="00C86780" w:rsidRPr="00C86780">
              <w:rPr>
                <w:rFonts w:ascii="Times New Roman" w:hAnsi="Times New Roman" w:cs="Times New Roman"/>
                <w:noProof/>
                <w:webHidden/>
                <w:sz w:val="28"/>
                <w:szCs w:val="28"/>
              </w:rPr>
            </w:r>
            <w:r w:rsidR="00C86780" w:rsidRPr="00C86780">
              <w:rPr>
                <w:rFonts w:ascii="Times New Roman" w:hAnsi="Times New Roman" w:cs="Times New Roman"/>
                <w:noProof/>
                <w:webHidden/>
                <w:sz w:val="28"/>
                <w:szCs w:val="28"/>
              </w:rPr>
              <w:fldChar w:fldCharType="separate"/>
            </w:r>
            <w:r w:rsidR="00C86780">
              <w:rPr>
                <w:rFonts w:ascii="Times New Roman" w:hAnsi="Times New Roman" w:cs="Times New Roman"/>
                <w:noProof/>
                <w:webHidden/>
                <w:sz w:val="28"/>
                <w:szCs w:val="28"/>
              </w:rPr>
              <w:t>15</w:t>
            </w:r>
            <w:r w:rsidR="00C86780" w:rsidRPr="00C86780">
              <w:rPr>
                <w:rFonts w:ascii="Times New Roman" w:hAnsi="Times New Roman" w:cs="Times New Roman"/>
                <w:noProof/>
                <w:webHidden/>
                <w:sz w:val="28"/>
                <w:szCs w:val="28"/>
              </w:rPr>
              <w:fldChar w:fldCharType="end"/>
            </w:r>
          </w:hyperlink>
        </w:p>
        <w:p w:rsidR="00C86780" w:rsidRPr="00C86780" w:rsidRDefault="00483B14">
          <w:pPr>
            <w:pStyle w:val="11"/>
            <w:tabs>
              <w:tab w:val="right" w:leader="dot" w:pos="9911"/>
            </w:tabs>
            <w:rPr>
              <w:rFonts w:ascii="Times New Roman" w:hAnsi="Times New Roman" w:cs="Times New Roman"/>
              <w:noProof/>
              <w:sz w:val="28"/>
              <w:szCs w:val="28"/>
            </w:rPr>
          </w:pPr>
          <w:hyperlink w:anchor="_Toc453754713" w:history="1">
            <w:r w:rsidR="00C86780" w:rsidRPr="00C86780">
              <w:rPr>
                <w:rStyle w:val="a5"/>
                <w:rFonts w:ascii="Times New Roman" w:hAnsi="Times New Roman" w:cs="Times New Roman"/>
                <w:noProof/>
                <w:sz w:val="28"/>
                <w:szCs w:val="28"/>
              </w:rPr>
              <w:t>Список литературы</w:t>
            </w:r>
            <w:r w:rsidR="00C86780" w:rsidRPr="00C86780">
              <w:rPr>
                <w:rFonts w:ascii="Times New Roman" w:hAnsi="Times New Roman" w:cs="Times New Roman"/>
                <w:noProof/>
                <w:webHidden/>
                <w:sz w:val="28"/>
                <w:szCs w:val="28"/>
              </w:rPr>
              <w:tab/>
            </w:r>
            <w:r w:rsidR="00C86780" w:rsidRPr="00C86780">
              <w:rPr>
                <w:rFonts w:ascii="Times New Roman" w:hAnsi="Times New Roman" w:cs="Times New Roman"/>
                <w:noProof/>
                <w:webHidden/>
                <w:sz w:val="28"/>
                <w:szCs w:val="28"/>
              </w:rPr>
              <w:fldChar w:fldCharType="begin"/>
            </w:r>
            <w:r w:rsidR="00C86780" w:rsidRPr="00C86780">
              <w:rPr>
                <w:rFonts w:ascii="Times New Roman" w:hAnsi="Times New Roman" w:cs="Times New Roman"/>
                <w:noProof/>
                <w:webHidden/>
                <w:sz w:val="28"/>
                <w:szCs w:val="28"/>
              </w:rPr>
              <w:instrText xml:space="preserve"> PAGEREF _Toc453754713 \h </w:instrText>
            </w:r>
            <w:r w:rsidR="00C86780" w:rsidRPr="00C86780">
              <w:rPr>
                <w:rFonts w:ascii="Times New Roman" w:hAnsi="Times New Roman" w:cs="Times New Roman"/>
                <w:noProof/>
                <w:webHidden/>
                <w:sz w:val="28"/>
                <w:szCs w:val="28"/>
              </w:rPr>
            </w:r>
            <w:r w:rsidR="00C86780" w:rsidRPr="00C86780">
              <w:rPr>
                <w:rFonts w:ascii="Times New Roman" w:hAnsi="Times New Roman" w:cs="Times New Roman"/>
                <w:noProof/>
                <w:webHidden/>
                <w:sz w:val="28"/>
                <w:szCs w:val="28"/>
              </w:rPr>
              <w:fldChar w:fldCharType="separate"/>
            </w:r>
            <w:r w:rsidR="00C86780">
              <w:rPr>
                <w:rFonts w:ascii="Times New Roman" w:hAnsi="Times New Roman" w:cs="Times New Roman"/>
                <w:noProof/>
                <w:webHidden/>
                <w:sz w:val="28"/>
                <w:szCs w:val="28"/>
              </w:rPr>
              <w:t>18</w:t>
            </w:r>
            <w:r w:rsidR="00C86780" w:rsidRPr="00C86780">
              <w:rPr>
                <w:rFonts w:ascii="Times New Roman" w:hAnsi="Times New Roman" w:cs="Times New Roman"/>
                <w:noProof/>
                <w:webHidden/>
                <w:sz w:val="28"/>
                <w:szCs w:val="28"/>
              </w:rPr>
              <w:fldChar w:fldCharType="end"/>
            </w:r>
          </w:hyperlink>
        </w:p>
        <w:p w:rsidR="00C86780" w:rsidRPr="00C86780" w:rsidRDefault="00483B14">
          <w:pPr>
            <w:pStyle w:val="11"/>
            <w:tabs>
              <w:tab w:val="right" w:leader="dot" w:pos="9911"/>
            </w:tabs>
            <w:rPr>
              <w:rFonts w:ascii="Times New Roman" w:hAnsi="Times New Roman" w:cs="Times New Roman"/>
              <w:noProof/>
              <w:sz w:val="28"/>
              <w:szCs w:val="28"/>
            </w:rPr>
          </w:pPr>
          <w:hyperlink w:anchor="_Toc453754714" w:history="1">
            <w:r w:rsidR="00C86780" w:rsidRPr="00C86780">
              <w:rPr>
                <w:rStyle w:val="a5"/>
                <w:rFonts w:ascii="Times New Roman" w:eastAsia="Times New Roman" w:hAnsi="Times New Roman" w:cs="Times New Roman"/>
                <w:noProof/>
                <w:sz w:val="28"/>
                <w:szCs w:val="28"/>
                <w:lang w:eastAsia="ru-RU"/>
              </w:rPr>
              <w:t>Приложение</w:t>
            </w:r>
            <w:r w:rsidR="00C86780" w:rsidRPr="00C86780">
              <w:rPr>
                <w:rFonts w:ascii="Times New Roman" w:hAnsi="Times New Roman" w:cs="Times New Roman"/>
                <w:noProof/>
                <w:webHidden/>
                <w:sz w:val="28"/>
                <w:szCs w:val="28"/>
              </w:rPr>
              <w:tab/>
            </w:r>
            <w:r w:rsidR="00C86780" w:rsidRPr="00C86780">
              <w:rPr>
                <w:rFonts w:ascii="Times New Roman" w:hAnsi="Times New Roman" w:cs="Times New Roman"/>
                <w:noProof/>
                <w:webHidden/>
                <w:sz w:val="28"/>
                <w:szCs w:val="28"/>
              </w:rPr>
              <w:fldChar w:fldCharType="begin"/>
            </w:r>
            <w:r w:rsidR="00C86780" w:rsidRPr="00C86780">
              <w:rPr>
                <w:rFonts w:ascii="Times New Roman" w:hAnsi="Times New Roman" w:cs="Times New Roman"/>
                <w:noProof/>
                <w:webHidden/>
                <w:sz w:val="28"/>
                <w:szCs w:val="28"/>
              </w:rPr>
              <w:instrText xml:space="preserve"> PAGEREF _Toc453754714 \h </w:instrText>
            </w:r>
            <w:r w:rsidR="00C86780" w:rsidRPr="00C86780">
              <w:rPr>
                <w:rFonts w:ascii="Times New Roman" w:hAnsi="Times New Roman" w:cs="Times New Roman"/>
                <w:noProof/>
                <w:webHidden/>
                <w:sz w:val="28"/>
                <w:szCs w:val="28"/>
              </w:rPr>
            </w:r>
            <w:r w:rsidR="00C86780" w:rsidRPr="00C86780">
              <w:rPr>
                <w:rFonts w:ascii="Times New Roman" w:hAnsi="Times New Roman" w:cs="Times New Roman"/>
                <w:noProof/>
                <w:webHidden/>
                <w:sz w:val="28"/>
                <w:szCs w:val="28"/>
              </w:rPr>
              <w:fldChar w:fldCharType="separate"/>
            </w:r>
            <w:r w:rsidR="00C86780">
              <w:rPr>
                <w:rFonts w:ascii="Times New Roman" w:hAnsi="Times New Roman" w:cs="Times New Roman"/>
                <w:noProof/>
                <w:webHidden/>
                <w:sz w:val="28"/>
                <w:szCs w:val="28"/>
              </w:rPr>
              <w:t>19</w:t>
            </w:r>
            <w:r w:rsidR="00C86780" w:rsidRPr="00C86780">
              <w:rPr>
                <w:rFonts w:ascii="Times New Roman" w:hAnsi="Times New Roman" w:cs="Times New Roman"/>
                <w:noProof/>
                <w:webHidden/>
                <w:sz w:val="28"/>
                <w:szCs w:val="28"/>
              </w:rPr>
              <w:fldChar w:fldCharType="end"/>
            </w:r>
          </w:hyperlink>
        </w:p>
        <w:p w:rsidR="00C86780" w:rsidRPr="00C86780" w:rsidRDefault="00C86780">
          <w:pPr>
            <w:rPr>
              <w:rFonts w:ascii="Times New Roman" w:hAnsi="Times New Roman" w:cs="Times New Roman"/>
              <w:sz w:val="28"/>
              <w:szCs w:val="28"/>
            </w:rPr>
          </w:pPr>
          <w:r w:rsidRPr="00C86780">
            <w:rPr>
              <w:rFonts w:ascii="Times New Roman" w:hAnsi="Times New Roman" w:cs="Times New Roman"/>
              <w:bCs/>
              <w:sz w:val="28"/>
              <w:szCs w:val="28"/>
            </w:rPr>
            <w:fldChar w:fldCharType="end"/>
          </w:r>
        </w:p>
      </w:sdtContent>
    </w:sdt>
    <w:p w:rsidR="003D714D" w:rsidRPr="00C86780" w:rsidRDefault="003D714D">
      <w:pPr>
        <w:rPr>
          <w:rFonts w:ascii="Times New Roman" w:hAnsi="Times New Roman" w:cs="Times New Roman"/>
          <w:sz w:val="28"/>
          <w:szCs w:val="28"/>
        </w:rPr>
      </w:pPr>
    </w:p>
    <w:p w:rsidR="00C86780" w:rsidRDefault="00C86780">
      <w:pPr>
        <w:rPr>
          <w:rFonts w:ascii="Times New Roman" w:hAnsi="Times New Roman" w:cs="Times New Roman"/>
          <w:b/>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00A548AD" wp14:editId="5FE1D25D">
                <wp:simplePos x="0" y="0"/>
                <wp:positionH relativeFrom="column">
                  <wp:posOffset>2891118</wp:posOffset>
                </wp:positionH>
                <wp:positionV relativeFrom="paragraph">
                  <wp:posOffset>6347011</wp:posOffset>
                </wp:positionV>
                <wp:extent cx="537882" cy="470647"/>
                <wp:effectExtent l="0" t="0" r="0" b="5715"/>
                <wp:wrapNone/>
                <wp:docPr id="11" name="Прямоугольник 11"/>
                <wp:cNvGraphicFramePr/>
                <a:graphic xmlns:a="http://schemas.openxmlformats.org/drawingml/2006/main">
                  <a:graphicData uri="http://schemas.microsoft.com/office/word/2010/wordprocessingShape">
                    <wps:wsp>
                      <wps:cNvSpPr/>
                      <wps:spPr>
                        <a:xfrm>
                          <a:off x="0" y="0"/>
                          <a:ext cx="537882" cy="47064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7324C2" id="Прямоугольник 11" o:spid="_x0000_s1026" style="position:absolute;margin-left:227.65pt;margin-top:499.75pt;width:42.35pt;height:37.0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" fillcolor="white [3212]" stroked="f" strokeweight="1pt"/>
            </w:pict>
          </mc:Fallback>
        </mc:AlternateContent>
      </w:r>
      <w:r>
        <w:rPr>
          <w:rFonts w:ascii="Times New Roman" w:hAnsi="Times New Roman" w:cs="Times New Roman"/>
          <w:b/>
          <w:sz w:val="28"/>
          <w:szCs w:val="28"/>
        </w:rPr>
        <w:br w:type="page"/>
      </w:r>
    </w:p>
    <w:p w:rsidR="00A07F37" w:rsidRPr="003B02FE" w:rsidRDefault="00A07F37" w:rsidP="003B02FE">
      <w:pPr>
        <w:spacing w:line="360" w:lineRule="auto"/>
        <w:ind w:firstLine="851"/>
        <w:jc w:val="both"/>
        <w:rPr>
          <w:rFonts w:ascii="Times New Roman" w:hAnsi="Times New Roman" w:cs="Times New Roman"/>
          <w:b/>
          <w:sz w:val="28"/>
          <w:szCs w:val="28"/>
        </w:rPr>
      </w:pPr>
      <w:r w:rsidRPr="003B02FE">
        <w:rPr>
          <w:rFonts w:ascii="Times New Roman" w:hAnsi="Times New Roman" w:cs="Times New Roman"/>
          <w:b/>
          <w:sz w:val="28"/>
          <w:szCs w:val="28"/>
        </w:rPr>
        <w:lastRenderedPageBreak/>
        <w:t>Задание 1</w:t>
      </w:r>
      <w:r w:rsidR="00AD5BF3">
        <w:rPr>
          <w:rFonts w:ascii="Times New Roman" w:hAnsi="Times New Roman" w:cs="Times New Roman"/>
          <w:b/>
          <w:sz w:val="28"/>
          <w:szCs w:val="28"/>
        </w:rPr>
        <w:t xml:space="preserve">. </w:t>
      </w:r>
      <w:r w:rsidRPr="003B02FE">
        <w:rPr>
          <w:rFonts w:ascii="Times New Roman" w:hAnsi="Times New Roman" w:cs="Times New Roman"/>
          <w:b/>
          <w:sz w:val="28"/>
          <w:szCs w:val="28"/>
        </w:rPr>
        <w:t xml:space="preserve">Контрольный теоретический вопрос </w:t>
      </w:r>
    </w:p>
    <w:p w:rsidR="00A07F37" w:rsidRPr="003B02FE" w:rsidRDefault="00A07F37" w:rsidP="003B02FE">
      <w:pPr>
        <w:spacing w:line="360" w:lineRule="auto"/>
        <w:ind w:firstLine="851"/>
        <w:jc w:val="both"/>
        <w:rPr>
          <w:rFonts w:ascii="Times New Roman" w:hAnsi="Times New Roman" w:cs="Times New Roman"/>
          <w:b/>
          <w:sz w:val="28"/>
          <w:szCs w:val="28"/>
        </w:rPr>
      </w:pPr>
      <w:r w:rsidRPr="003B02FE">
        <w:rPr>
          <w:rFonts w:ascii="Times New Roman" w:hAnsi="Times New Roman" w:cs="Times New Roman"/>
          <w:b/>
          <w:sz w:val="28"/>
          <w:szCs w:val="28"/>
        </w:rPr>
        <w:t>Вариант № 1</w:t>
      </w:r>
      <w:r w:rsidR="003B02FE" w:rsidRPr="003B02FE">
        <w:rPr>
          <w:rFonts w:ascii="Times New Roman" w:hAnsi="Times New Roman" w:cs="Times New Roman"/>
          <w:b/>
          <w:sz w:val="28"/>
          <w:szCs w:val="28"/>
        </w:rPr>
        <w:t>3</w:t>
      </w:r>
    </w:p>
    <w:p w:rsidR="00A07F37" w:rsidRPr="003B02FE" w:rsidRDefault="00A07F37" w:rsidP="003B02FE">
      <w:pPr>
        <w:spacing w:line="360" w:lineRule="auto"/>
        <w:ind w:firstLine="851"/>
        <w:jc w:val="both"/>
        <w:rPr>
          <w:rFonts w:ascii="Times New Roman" w:hAnsi="Times New Roman" w:cs="Times New Roman"/>
          <w:b/>
          <w:sz w:val="28"/>
          <w:szCs w:val="28"/>
        </w:rPr>
      </w:pPr>
      <w:r w:rsidRPr="003B02FE">
        <w:rPr>
          <w:rFonts w:ascii="Times New Roman" w:hAnsi="Times New Roman" w:cs="Times New Roman"/>
          <w:b/>
          <w:sz w:val="28"/>
          <w:szCs w:val="28"/>
        </w:rPr>
        <w:t>Тема 1</w:t>
      </w:r>
      <w:r w:rsidR="003B02FE" w:rsidRPr="003B02FE">
        <w:rPr>
          <w:rFonts w:ascii="Times New Roman" w:hAnsi="Times New Roman" w:cs="Times New Roman"/>
          <w:b/>
          <w:sz w:val="28"/>
          <w:szCs w:val="28"/>
        </w:rPr>
        <w:t>3</w:t>
      </w:r>
      <w:r w:rsidRPr="003B02FE">
        <w:rPr>
          <w:rFonts w:ascii="Times New Roman" w:hAnsi="Times New Roman" w:cs="Times New Roman"/>
          <w:b/>
          <w:sz w:val="28"/>
          <w:szCs w:val="28"/>
        </w:rPr>
        <w:t xml:space="preserve">. </w:t>
      </w:r>
      <w:r w:rsidR="003B02FE" w:rsidRPr="003B02FE">
        <w:rPr>
          <w:rFonts w:ascii="Times New Roman" w:hAnsi="Times New Roman" w:cs="Times New Roman"/>
          <w:b/>
          <w:sz w:val="28"/>
          <w:szCs w:val="28"/>
        </w:rPr>
        <w:t>Кредитоспособность клиента</w:t>
      </w:r>
    </w:p>
    <w:p w:rsidR="00A07F37" w:rsidRPr="00C86780" w:rsidRDefault="00A07F37" w:rsidP="00C86780">
      <w:pPr>
        <w:pStyle w:val="1"/>
        <w:rPr>
          <w:b/>
        </w:rPr>
      </w:pPr>
      <w:bookmarkStart w:id="0" w:name="_Toc453754710"/>
      <w:r w:rsidRPr="00C86780">
        <w:rPr>
          <w:b/>
        </w:rPr>
        <w:t xml:space="preserve">Вопрос 1. </w:t>
      </w:r>
      <w:r w:rsidR="003B02FE" w:rsidRPr="00C86780">
        <w:rPr>
          <w:b/>
        </w:rPr>
        <w:t>Понятие кредитоспособности заемщика и критерии его оценки.</w:t>
      </w:r>
      <w:bookmarkEnd w:id="0"/>
      <w:r w:rsidR="003B02FE" w:rsidRPr="00C86780">
        <w:rPr>
          <w:b/>
        </w:rPr>
        <w:t xml:space="preserve"> </w:t>
      </w:r>
    </w:p>
    <w:p w:rsidR="00A07F37" w:rsidRPr="003B02FE" w:rsidRDefault="00A07F37" w:rsidP="003B02FE">
      <w:pPr>
        <w:spacing w:line="360" w:lineRule="auto"/>
        <w:ind w:firstLine="851"/>
        <w:jc w:val="both"/>
        <w:rPr>
          <w:rFonts w:ascii="Times New Roman" w:hAnsi="Times New Roman" w:cs="Times New Roman"/>
          <w:b/>
          <w:sz w:val="28"/>
          <w:szCs w:val="28"/>
        </w:rPr>
      </w:pPr>
      <w:r w:rsidRPr="003B02FE">
        <w:rPr>
          <w:rFonts w:ascii="Times New Roman" w:hAnsi="Times New Roman" w:cs="Times New Roman"/>
          <w:b/>
          <w:sz w:val="28"/>
          <w:szCs w:val="28"/>
        </w:rPr>
        <w:t>Ответ:</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Кредитоспособност</w:t>
      </w:r>
      <w:r w:rsidR="00A00B42">
        <w:rPr>
          <w:color w:val="000000"/>
          <w:sz w:val="28"/>
          <w:szCs w:val="28"/>
        </w:rPr>
        <w:t>ь клиента коммерческого банка -</w:t>
      </w:r>
      <w:r w:rsidRPr="003B02FE">
        <w:rPr>
          <w:color w:val="000000"/>
          <w:sz w:val="28"/>
          <w:szCs w:val="28"/>
        </w:rPr>
        <w:t xml:space="preserve"> способность заемщика полностью и в срок рассчитаться по своим долговым обязательствам (основному долгу и процентам). </w:t>
      </w:r>
      <w:r w:rsidR="00AD5BF3">
        <w:rPr>
          <w:color w:val="000000"/>
          <w:sz w:val="28"/>
          <w:szCs w:val="28"/>
        </w:rPr>
        <w:t>[1, c. 221].</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Кредитоспособность заемщика в отличие от его платежеспособности не фиксирует неплатежи за истекший период или на какую-либо дату, а прогнозирует способность к погашению долга на ближайшую перспективу. Степень неплатежеспособности в прошлом является одним из формальных показателей, на которые опираются при оценке кредитоспособности клиента. Если заемщик имеет просроченную задолженность, но его баланс ликвиден, а также достаточен размер собственного капитала, то разовая задержка платежей банку в прошлом не является основанием для заключения о некредитоспособности клиента. Кредитоспособные клиенты не допускают длительных неплатежей банку, поставщикам, бюджету.</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Платежеспособность предприятия - это его возможность и способность своевременно погасить все виды обязательств и задолженности. В то же время кредитоспособность характеризуется лишь возможностью предприятия погасить кредиторскую задолженность. Вместе с тем характеристика кредитоспособности должна быть несколько иной по сравнению с платежеспособностью, поскольку погашение ссуд возможно за счет выручки от реализации имущества, принятого банком в залог по ссуде или благодаря использованию гарантии своевременного возврата средств или даже за счет страхования погашения ссуды.</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lastRenderedPageBreak/>
        <w:t>Уровень кредитоспособности клиента свидетельствует о степени индивидуального (частного) риска банка, связанного с выдачей конкретной ссуды конкретному заемщику.</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Мировая и отечественная банковская практика позволила выделить критерии кредитоспособности клиента: характер клиента, способность заимствовать средства, способность заработать средства в ходе текущей деятельности для погашения долга (финансовые возможности), капитал, обеспечение кредита, условия, в которых совершается кредитная сделка, контроль (законодательная основа деятельности заемщика, соответствие характера ссуды стандартам банка и органов надзора).</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Под характером клиента понимается его репутация как юридического лица и репутация менеджеров, степень ответственности клиента за погашение долга, четкость его представления о цели кредита, соответствие ее кредитной политике банка.</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Репутация клиента, как юридического лица, складывается из длительности его функционирования в данной сфере, соответствия его экономических показателей средним по отрасли, из его кредитной истории, репутации в деловом мире его партнеров (поставщиков, покупателей, кредиторов).</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 xml:space="preserve">Репутация менеджеров оценивается на основе их профессионализма, образования, моральных качеств, личного финансового и семейного положения, результатов взаимоотношения руководимых ими структур с банком. Даже при четком понимании клиентом цели испрашиваемой ссуды, выдача ее является рисковой, если она противоречит утвержденной кредитной политике (например, нарушает утвержденные лимиты отдельных сегментов кредитного портфеля). </w:t>
      </w:r>
      <w:r w:rsidR="00AD5BF3">
        <w:rPr>
          <w:color w:val="000000"/>
          <w:sz w:val="28"/>
          <w:szCs w:val="28"/>
        </w:rPr>
        <w:t>[1, c. 221].</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 xml:space="preserve">Способность заимствовать средства означает наличие у клиента права на подачу заявки на кредит, подписи кредитного договора или ведения переговоров, </w:t>
      </w:r>
      <w:r w:rsidRPr="003B02FE">
        <w:rPr>
          <w:color w:val="000000"/>
          <w:sz w:val="28"/>
          <w:szCs w:val="28"/>
        </w:rPr>
        <w:lastRenderedPageBreak/>
        <w:t>т.е. наличие определенных полномочий у представителя предприятия или фирмы, достижение совершеннолетия или другие признаки дееспособности заемщика -- физического лица. Подписание договора неуполномоченным или недееспособным лицом означает большую вероятность потер</w:t>
      </w:r>
      <w:r w:rsidR="00AD5BF3">
        <w:rPr>
          <w:color w:val="000000"/>
          <w:sz w:val="28"/>
          <w:szCs w:val="28"/>
        </w:rPr>
        <w:t>ь для банка. [1</w:t>
      </w:r>
      <w:r w:rsidRPr="003B02FE">
        <w:rPr>
          <w:color w:val="000000"/>
          <w:sz w:val="28"/>
          <w:szCs w:val="28"/>
        </w:rPr>
        <w:t>, c. 222].</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 xml:space="preserve">Одним из основных критериев кредитоспособности клиента является его способность заработать средства для погашения долга в ходе текущей деятельности. Известна и другая позиция, изложенная в экономической литературе, когда кредитоспособность связывается со степенью вложения капитала в недвижимость. Последнее и является формой защиты от риска обесценения средств в условиях инфляции, это не может являться основным признаком кредитоспособности заемщика. Дело в том, что для высвобождения денежных средств из недвижимости требуется время. Вложение средств в недвижимость связано с риском обесценения активов. Поэтому целесообразно ориентироваться на ликвидность баланса, эффективность (прибыльность) деятельности заемщика, его денежные потоки. </w:t>
      </w:r>
      <w:r w:rsidR="00AD5BF3">
        <w:rPr>
          <w:color w:val="000000"/>
          <w:sz w:val="28"/>
          <w:szCs w:val="28"/>
        </w:rPr>
        <w:t>[1</w:t>
      </w:r>
      <w:r w:rsidRPr="003B02FE">
        <w:rPr>
          <w:color w:val="000000"/>
          <w:sz w:val="28"/>
          <w:szCs w:val="28"/>
        </w:rPr>
        <w:t>, c. 222].</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Капитал клиента является не менее важным критерием кредитоспособности клиента. При этом важны следующие два аспекта его оценки:</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 xml:space="preserve">1) его достаточность, которая анализируется на основе требований Центрального банка к минимальному уровню уставного фонда (акционерного капитала) и коэффициентов финансового </w:t>
      </w:r>
      <w:proofErr w:type="spellStart"/>
      <w:r w:rsidRPr="003B02FE">
        <w:rPr>
          <w:color w:val="000000"/>
          <w:sz w:val="28"/>
          <w:szCs w:val="28"/>
        </w:rPr>
        <w:t>левериджа</w:t>
      </w:r>
      <w:proofErr w:type="spellEnd"/>
      <w:r w:rsidRPr="003B02FE">
        <w:rPr>
          <w:color w:val="000000"/>
          <w:sz w:val="28"/>
          <w:szCs w:val="28"/>
        </w:rPr>
        <w:t>;</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2) степень вложения собственного капитала в кредитуемую операцию, что свидетельствует о распределении риска между банком и заемщиком. Чем больше вложения собственного капитала, тем больше и заинтересованность заемщика в тщательном отслеживан</w:t>
      </w:r>
      <w:r w:rsidR="00AD5BF3">
        <w:rPr>
          <w:color w:val="000000"/>
          <w:sz w:val="28"/>
          <w:szCs w:val="28"/>
        </w:rPr>
        <w:t>ии факторов кредитного риска. [1</w:t>
      </w:r>
      <w:r w:rsidRPr="003B02FE">
        <w:rPr>
          <w:color w:val="000000"/>
          <w:sz w:val="28"/>
          <w:szCs w:val="28"/>
        </w:rPr>
        <w:t>, c. 222].</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 xml:space="preserve">Под обеспечением кредита понимается стоимость активов заемщика и конкретный вторичный источник погашения долга (залог, гарантия, поручительство, страхование), предусмотренный в кредитном договоре. Если </w:t>
      </w:r>
      <w:r w:rsidRPr="003B02FE">
        <w:rPr>
          <w:color w:val="000000"/>
          <w:sz w:val="28"/>
          <w:szCs w:val="28"/>
        </w:rPr>
        <w:lastRenderedPageBreak/>
        <w:t xml:space="preserve">соотношение стоимости активов и долговых обязательств имеет значение для погашения ссуды банка в случае объявления заемщика банкротом, то качество конкретного вторичного источника гарантирует выполнение им своих обязательств в срок при финансовых затруднениях. Качество залога, надежность гаранта, поручителя и страхователя особенно важны при недостаточном денежном потоке у клиента банка (проблемах с ликвидностью его баланса </w:t>
      </w:r>
      <w:r w:rsidR="00AD5BF3">
        <w:rPr>
          <w:color w:val="000000"/>
          <w:sz w:val="28"/>
          <w:szCs w:val="28"/>
        </w:rPr>
        <w:t>или достаточностью капитала). [1</w:t>
      </w:r>
      <w:r w:rsidRPr="003B02FE">
        <w:rPr>
          <w:color w:val="000000"/>
          <w:sz w:val="28"/>
          <w:szCs w:val="28"/>
        </w:rPr>
        <w:t>, c. 222].</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К условиям, в которых совершается кредитная операция, относятся текущая или прогнозная экономическая ситуация в стране, регионе и отрасли, политические факторы. Эти условия определяют степень внешнего риска банка и учитываются при решении вопроса о стандартах банка для оценки денежного потока, ликвидности баланса, достаточности капитала,</w:t>
      </w:r>
      <w:r w:rsidR="00AD5BF3">
        <w:rPr>
          <w:color w:val="000000"/>
          <w:sz w:val="28"/>
          <w:szCs w:val="28"/>
        </w:rPr>
        <w:t xml:space="preserve"> уровня менеджмента заемщика. [1</w:t>
      </w:r>
      <w:r w:rsidRPr="003B02FE">
        <w:rPr>
          <w:color w:val="000000"/>
          <w:sz w:val="28"/>
          <w:szCs w:val="28"/>
        </w:rPr>
        <w:t>, c. 222].</w:t>
      </w:r>
    </w:p>
    <w:p w:rsidR="003B02FE" w:rsidRPr="003B02FE" w:rsidRDefault="00AD5BF3" w:rsidP="003B02FE">
      <w:pPr>
        <w:pStyle w:val="a3"/>
        <w:shd w:val="clear" w:color="auto" w:fill="FFFFFF"/>
        <w:spacing w:before="0" w:beforeAutospacing="0" w:after="285" w:afterAutospacing="0" w:line="360" w:lineRule="auto"/>
        <w:ind w:firstLine="851"/>
        <w:jc w:val="both"/>
        <w:rPr>
          <w:color w:val="000000"/>
          <w:sz w:val="28"/>
          <w:szCs w:val="28"/>
        </w:rPr>
      </w:pPr>
      <w:r>
        <w:rPr>
          <w:color w:val="000000"/>
          <w:sz w:val="28"/>
          <w:szCs w:val="28"/>
        </w:rPr>
        <w:t>Последний критерий -</w:t>
      </w:r>
      <w:r w:rsidR="003B02FE" w:rsidRPr="003B02FE">
        <w:rPr>
          <w:color w:val="000000"/>
          <w:sz w:val="28"/>
          <w:szCs w:val="28"/>
        </w:rPr>
        <w:t xml:space="preserve"> контроль за законодательными основами деятельности заемщика и соответствием его стандартам банка нацеливает банкира на получение ответов на следующие вопросы:</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 имеется ли законодательная и нормативная основа для функционирования заемщика и осуществления кредитуемого мероприятия;</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 как повлияет на результаты деятельности заемщика ожидаемое изменение законодательства, например, налогового;</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 насколько сведения о заемщике и ссуде, содержащиеся в кредитной заявке, отвечают стандартам банка, зафиксированным в документе о кредитной политике, а также стандартам органов банковского надзора, контролирующих качество ссу</w:t>
      </w:r>
      <w:r w:rsidR="00AD5BF3">
        <w:rPr>
          <w:color w:val="000000"/>
          <w:sz w:val="28"/>
          <w:szCs w:val="28"/>
        </w:rPr>
        <w:t>д. [1</w:t>
      </w:r>
      <w:r w:rsidRPr="003B02FE">
        <w:rPr>
          <w:color w:val="000000"/>
          <w:sz w:val="28"/>
          <w:szCs w:val="28"/>
        </w:rPr>
        <w:t>, c. 222].</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 xml:space="preserve">Несмотря на единство критериев и способов оценки, существует специфика в анализе кредитоспособности юридических и физических лиц, крупных, средних </w:t>
      </w:r>
      <w:r w:rsidRPr="003B02FE">
        <w:rPr>
          <w:color w:val="000000"/>
          <w:sz w:val="28"/>
          <w:szCs w:val="28"/>
        </w:rPr>
        <w:lastRenderedPageBreak/>
        <w:t>и мелких клиентов. Эта специфика заключается в комбинации применяемых способов оценки, а также в их содержании.</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Изложенные критерии оценки кредитоспособности клиента банка определяют содержание способов ее оценки. К числу этих способов относятся:</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 оценка делового риска;</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 оценка менеджмента;</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 оценка финансовой устойчивости клиента на основе системы финансовых коэффициентов;</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 анализ денежного потока;</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 сбор информации о клиенте;</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 наблюдение за работой клиента путем выхода на место.</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Несмотря на единство критериев и способов оценки, существует специфика в анализе кредитоспособности юридических и физических лиц, крупных, средних и мелких клиентов. Эта специфика заключается в комбинации применяемых способов оценки, а также в их содержании.</w:t>
      </w:r>
    </w:p>
    <w:p w:rsidR="003B02FE" w:rsidRPr="003B02FE" w:rsidRDefault="003B02FE" w:rsidP="003B02FE">
      <w:pPr>
        <w:pStyle w:val="a3"/>
        <w:shd w:val="clear" w:color="auto" w:fill="FFFFFF"/>
        <w:spacing w:before="0" w:beforeAutospacing="0" w:after="285" w:afterAutospacing="0" w:line="360" w:lineRule="auto"/>
        <w:ind w:firstLine="851"/>
        <w:jc w:val="both"/>
        <w:rPr>
          <w:color w:val="000000"/>
          <w:sz w:val="28"/>
          <w:szCs w:val="28"/>
        </w:rPr>
      </w:pPr>
      <w:r w:rsidRPr="003B02FE">
        <w:rPr>
          <w:color w:val="000000"/>
          <w:sz w:val="28"/>
          <w:szCs w:val="28"/>
        </w:rPr>
        <w:t>Для определения кредитоспособности, на сновании которой банк решает предоставлять кредит или нет, предприятие-заемщик должен обеспечить банк необходимой ему информацией.</w:t>
      </w:r>
    </w:p>
    <w:p w:rsidR="003B02FE" w:rsidRPr="00C86780" w:rsidRDefault="003B02FE" w:rsidP="00C86780">
      <w:pPr>
        <w:pStyle w:val="1"/>
        <w:rPr>
          <w:b/>
        </w:rPr>
      </w:pPr>
      <w:bookmarkStart w:id="1" w:name="_Toc453754711"/>
      <w:r w:rsidRPr="00C86780">
        <w:rPr>
          <w:b/>
        </w:rPr>
        <w:t>Вопрос 2. Методы анализа кредитоспособности заемщика.</w:t>
      </w:r>
      <w:bookmarkEnd w:id="1"/>
    </w:p>
    <w:p w:rsidR="003B02FE" w:rsidRPr="003B02FE" w:rsidRDefault="003B02FE" w:rsidP="003B02FE">
      <w:pPr>
        <w:spacing w:line="360" w:lineRule="auto"/>
        <w:ind w:firstLine="851"/>
        <w:jc w:val="both"/>
        <w:rPr>
          <w:rFonts w:ascii="Times New Roman" w:hAnsi="Times New Roman" w:cs="Times New Roman"/>
          <w:b/>
          <w:sz w:val="28"/>
          <w:szCs w:val="28"/>
        </w:rPr>
      </w:pPr>
      <w:r w:rsidRPr="003B02FE">
        <w:rPr>
          <w:rFonts w:ascii="Times New Roman" w:hAnsi="Times New Roman" w:cs="Times New Roman"/>
          <w:b/>
          <w:sz w:val="28"/>
          <w:szCs w:val="28"/>
        </w:rPr>
        <w:t>Ответ:</w:t>
      </w:r>
    </w:p>
    <w:p w:rsidR="003B02FE" w:rsidRPr="003B02FE" w:rsidRDefault="003B02FE" w:rsidP="003B02FE">
      <w:pPr>
        <w:spacing w:line="360" w:lineRule="auto"/>
        <w:ind w:firstLine="851"/>
        <w:jc w:val="both"/>
        <w:rPr>
          <w:rFonts w:ascii="Times New Roman" w:hAnsi="Times New Roman" w:cs="Times New Roman"/>
          <w:color w:val="000000"/>
          <w:sz w:val="28"/>
          <w:szCs w:val="28"/>
          <w:shd w:val="clear" w:color="auto" w:fill="FFFFFF"/>
        </w:rPr>
      </w:pPr>
      <w:r w:rsidRPr="003B02FE">
        <w:rPr>
          <w:rFonts w:ascii="Times New Roman" w:hAnsi="Times New Roman" w:cs="Times New Roman"/>
          <w:color w:val="000000"/>
          <w:sz w:val="28"/>
          <w:szCs w:val="28"/>
          <w:shd w:val="clear" w:color="auto" w:fill="FFFFFF"/>
        </w:rPr>
        <w:t xml:space="preserve">Существуют различные способы группировки базовых методов оценки кредитоспособности. Так как на практике эти методы часто комбинируются и дублируются, то сложно подобрать универсальную схему классификации. Удачной </w:t>
      </w:r>
      <w:r w:rsidRPr="003B02FE">
        <w:rPr>
          <w:rFonts w:ascii="Times New Roman" w:hAnsi="Times New Roman" w:cs="Times New Roman"/>
          <w:color w:val="000000"/>
          <w:sz w:val="28"/>
          <w:szCs w:val="28"/>
          <w:shd w:val="clear" w:color="auto" w:fill="FFFFFF"/>
        </w:rPr>
        <w:lastRenderedPageBreak/>
        <w:t>представляется следующая классификация методов оценки кредитоспособности заемщиков коммерческих банков, представленная на рисунке 1.</w:t>
      </w:r>
    </w:p>
    <w:p w:rsidR="003B02FE" w:rsidRPr="003B02FE" w:rsidRDefault="003B02FE" w:rsidP="003B02FE">
      <w:pPr>
        <w:spacing w:line="360" w:lineRule="auto"/>
        <w:ind w:firstLine="851"/>
        <w:jc w:val="both"/>
        <w:rPr>
          <w:rFonts w:ascii="Times New Roman" w:hAnsi="Times New Roman" w:cs="Times New Roman"/>
          <w:b/>
          <w:sz w:val="28"/>
          <w:szCs w:val="28"/>
        </w:rPr>
      </w:pPr>
      <w:r w:rsidRPr="003B02FE">
        <w:rPr>
          <w:rFonts w:ascii="Times New Roman" w:hAnsi="Times New Roman" w:cs="Times New Roman"/>
          <w:noProof/>
          <w:sz w:val="28"/>
          <w:szCs w:val="28"/>
          <w:lang w:eastAsia="ru-RU"/>
        </w:rPr>
        <w:drawing>
          <wp:inline distT="0" distB="0" distL="0" distR="0" wp14:anchorId="63579597" wp14:editId="5C43B341">
            <wp:extent cx="5600700" cy="2717717"/>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8540" t="30799" r="22556" b="26996"/>
                    <a:stretch/>
                  </pic:blipFill>
                  <pic:spPr bwMode="auto">
                    <a:xfrm>
                      <a:off x="0" y="0"/>
                      <a:ext cx="5649102" cy="2741204"/>
                    </a:xfrm>
                    <a:prstGeom prst="rect">
                      <a:avLst/>
                    </a:prstGeom>
                    <a:ln>
                      <a:noFill/>
                    </a:ln>
                    <a:extLst>
                      <a:ext uri="{53640926-AAD7-44D8-BBD7-CCE9431645EC}">
                        <a14:shadowObscured xmlns:a14="http://schemas.microsoft.com/office/drawing/2010/main"/>
                      </a:ext>
                    </a:extLst>
                  </pic:spPr>
                </pic:pic>
              </a:graphicData>
            </a:graphic>
          </wp:inline>
        </w:drawing>
      </w:r>
    </w:p>
    <w:p w:rsidR="003B02FE" w:rsidRPr="003B02FE" w:rsidRDefault="003B02FE" w:rsidP="003B02FE">
      <w:pPr>
        <w:pStyle w:val="a3"/>
        <w:shd w:val="clear" w:color="auto" w:fill="FFFFFF"/>
        <w:spacing w:before="0" w:beforeAutospacing="0" w:after="0" w:afterAutospacing="0" w:line="360" w:lineRule="auto"/>
        <w:ind w:firstLine="851"/>
        <w:jc w:val="both"/>
        <w:rPr>
          <w:color w:val="000000"/>
          <w:sz w:val="28"/>
          <w:szCs w:val="28"/>
        </w:rPr>
      </w:pPr>
      <w:proofErr w:type="spellStart"/>
      <w:r w:rsidRPr="003B02FE">
        <w:rPr>
          <w:color w:val="000000"/>
          <w:sz w:val="28"/>
          <w:szCs w:val="28"/>
        </w:rPr>
        <w:t>Скоринговый</w:t>
      </w:r>
      <w:proofErr w:type="spellEnd"/>
      <w:r w:rsidRPr="003B02FE">
        <w:rPr>
          <w:color w:val="000000"/>
          <w:sz w:val="28"/>
          <w:szCs w:val="28"/>
        </w:rPr>
        <w:t xml:space="preserve"> метод оценки кредитоспособности чаще всего используется банками при кредитовании физических лиц. Этот метод позволяет оценить не только экономические факторы, но и человеческие качества заемщика. Метод оценки имеет форму теста, состоящего из ряда </w:t>
      </w:r>
      <w:proofErr w:type="gramStart"/>
      <w:r w:rsidRPr="003B02FE">
        <w:rPr>
          <w:color w:val="000000"/>
          <w:sz w:val="28"/>
          <w:szCs w:val="28"/>
        </w:rPr>
        <w:t>вопросов</w:t>
      </w:r>
      <w:proofErr w:type="gramEnd"/>
      <w:r w:rsidRPr="003B02FE">
        <w:rPr>
          <w:color w:val="000000"/>
          <w:sz w:val="28"/>
          <w:szCs w:val="28"/>
        </w:rPr>
        <w:t xml:space="preserve"> позволяющих составить характеристику заемщика. Сущность кредитного </w:t>
      </w:r>
      <w:proofErr w:type="spellStart"/>
      <w:r w:rsidRPr="003B02FE">
        <w:rPr>
          <w:color w:val="000000"/>
          <w:sz w:val="28"/>
          <w:szCs w:val="28"/>
        </w:rPr>
        <w:t>скоринга</w:t>
      </w:r>
      <w:proofErr w:type="spellEnd"/>
      <w:r w:rsidRPr="003B02FE">
        <w:rPr>
          <w:color w:val="000000"/>
          <w:sz w:val="28"/>
          <w:szCs w:val="28"/>
        </w:rPr>
        <w:t xml:space="preserve"> состоит в том, что каждый параметр оценки кредитоспособности заемщика имеет реальную оценку. Итоговая сумма баллов - это оценка кредитоспособности заемщика. Каждый вопрос имеет максимально возможный балл, который выше для таких важных вопросов, как профессия, и ниже, как возраст. Оценка кредитоспособности по методу </w:t>
      </w:r>
      <w:proofErr w:type="spellStart"/>
      <w:r w:rsidRPr="003B02FE">
        <w:rPr>
          <w:color w:val="000000"/>
          <w:sz w:val="28"/>
          <w:szCs w:val="28"/>
        </w:rPr>
        <w:t>скоринга</w:t>
      </w:r>
      <w:proofErr w:type="spellEnd"/>
      <w:r w:rsidRPr="003B02FE">
        <w:rPr>
          <w:color w:val="000000"/>
          <w:sz w:val="28"/>
          <w:szCs w:val="28"/>
        </w:rPr>
        <w:t xml:space="preserve"> является обезличенной и может быть автоматизированной. Самое важное при использовании метода - это список вопросов и весовые коэффициенты ответов, тщательно подобранные с учетом таких специфических факторов как регион использования, менталитет населения и другие.</w:t>
      </w:r>
    </w:p>
    <w:p w:rsidR="003B02FE" w:rsidRPr="003B02FE" w:rsidRDefault="003B02FE" w:rsidP="003B02FE">
      <w:pPr>
        <w:pStyle w:val="a3"/>
        <w:shd w:val="clear" w:color="auto" w:fill="FFFFFF"/>
        <w:spacing w:before="0" w:beforeAutospacing="0" w:after="0" w:afterAutospacing="0" w:line="360" w:lineRule="auto"/>
        <w:ind w:firstLine="851"/>
        <w:jc w:val="both"/>
        <w:rPr>
          <w:color w:val="000000"/>
          <w:sz w:val="28"/>
          <w:szCs w:val="28"/>
        </w:rPr>
      </w:pPr>
      <w:r w:rsidRPr="003B02FE">
        <w:rPr>
          <w:color w:val="000000"/>
          <w:sz w:val="28"/>
          <w:szCs w:val="28"/>
        </w:rPr>
        <w:t>Деревья решений</w:t>
      </w:r>
      <w:r w:rsidR="00AD5BF3">
        <w:rPr>
          <w:color w:val="000000"/>
          <w:sz w:val="28"/>
          <w:szCs w:val="28"/>
        </w:rPr>
        <w:t xml:space="preserve"> -</w:t>
      </w:r>
      <w:r w:rsidRPr="003B02FE">
        <w:rPr>
          <w:color w:val="000000"/>
          <w:sz w:val="28"/>
          <w:szCs w:val="28"/>
        </w:rPr>
        <w:t xml:space="preserve"> это метод автоматического анализа данных. Получаемая модель – это способ представления правил в иерархической, последовательной структуре, где каждому объекту соответствует единственный узел, дающий решение. Пример дерева представлен на следующем рисунке 2.</w:t>
      </w:r>
    </w:p>
    <w:p w:rsidR="003B02FE" w:rsidRPr="003B02FE" w:rsidRDefault="003B02FE" w:rsidP="003B02FE">
      <w:pPr>
        <w:spacing w:line="360" w:lineRule="auto"/>
        <w:ind w:firstLine="851"/>
        <w:jc w:val="both"/>
        <w:rPr>
          <w:rFonts w:ascii="Times New Roman" w:hAnsi="Times New Roman" w:cs="Times New Roman"/>
          <w:b/>
          <w:sz w:val="28"/>
          <w:szCs w:val="28"/>
        </w:rPr>
      </w:pPr>
      <w:r w:rsidRPr="003B02FE">
        <w:rPr>
          <w:rFonts w:ascii="Times New Roman" w:hAnsi="Times New Roman" w:cs="Times New Roman"/>
          <w:noProof/>
          <w:sz w:val="28"/>
          <w:szCs w:val="28"/>
          <w:lang w:eastAsia="ru-RU"/>
        </w:rPr>
        <w:lastRenderedPageBreak/>
        <w:drawing>
          <wp:inline distT="0" distB="0" distL="0" distR="0" wp14:anchorId="40D64E8C" wp14:editId="5E00D85B">
            <wp:extent cx="5838825" cy="313068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33832" t="23099" r="17424" b="30418"/>
                    <a:stretch/>
                  </pic:blipFill>
                  <pic:spPr bwMode="auto">
                    <a:xfrm>
                      <a:off x="0" y="0"/>
                      <a:ext cx="5854048" cy="3138848"/>
                    </a:xfrm>
                    <a:prstGeom prst="rect">
                      <a:avLst/>
                    </a:prstGeom>
                    <a:ln>
                      <a:noFill/>
                    </a:ln>
                    <a:extLst>
                      <a:ext uri="{53640926-AAD7-44D8-BBD7-CCE9431645EC}">
                        <a14:shadowObscured xmlns:a14="http://schemas.microsoft.com/office/drawing/2010/main"/>
                      </a:ext>
                    </a:extLst>
                  </pic:spPr>
                </pic:pic>
              </a:graphicData>
            </a:graphic>
          </wp:inline>
        </w:drawing>
      </w:r>
    </w:p>
    <w:p w:rsidR="003B02FE" w:rsidRPr="003B02FE" w:rsidRDefault="003B02FE" w:rsidP="003B02FE">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3B02FE">
        <w:rPr>
          <w:rFonts w:ascii="Times New Roman" w:eastAsia="Times New Roman" w:hAnsi="Times New Roman" w:cs="Times New Roman"/>
          <w:color w:val="000000"/>
          <w:sz w:val="28"/>
          <w:szCs w:val="28"/>
          <w:lang w:eastAsia="ru-RU"/>
        </w:rPr>
        <w:t xml:space="preserve">Достоинства данного метода заключаются в возможности широкого применения, доступности для понимания и легкости вычислений. Но для построения самого дерева, как и в </w:t>
      </w:r>
      <w:proofErr w:type="spellStart"/>
      <w:r w:rsidRPr="003B02FE">
        <w:rPr>
          <w:rFonts w:ascii="Times New Roman" w:eastAsia="Times New Roman" w:hAnsi="Times New Roman" w:cs="Times New Roman"/>
          <w:color w:val="000000"/>
          <w:sz w:val="28"/>
          <w:szCs w:val="28"/>
          <w:lang w:eastAsia="ru-RU"/>
        </w:rPr>
        <w:t>скоринговом</w:t>
      </w:r>
      <w:proofErr w:type="spellEnd"/>
      <w:r w:rsidRPr="003B02FE">
        <w:rPr>
          <w:rFonts w:ascii="Times New Roman" w:eastAsia="Times New Roman" w:hAnsi="Times New Roman" w:cs="Times New Roman"/>
          <w:color w:val="000000"/>
          <w:sz w:val="28"/>
          <w:szCs w:val="28"/>
          <w:lang w:eastAsia="ru-RU"/>
        </w:rPr>
        <w:t xml:space="preserve"> методе, требуются глубокие статистические исследования для наиболее точного подбора вопросов ключевых ветвей.</w:t>
      </w:r>
    </w:p>
    <w:p w:rsidR="003B02FE" w:rsidRPr="003B02FE" w:rsidRDefault="003B02FE" w:rsidP="003B02FE">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3B02FE">
        <w:rPr>
          <w:rFonts w:ascii="Times New Roman" w:eastAsia="Times New Roman" w:hAnsi="Times New Roman" w:cs="Times New Roman"/>
          <w:color w:val="000000"/>
          <w:sz w:val="28"/>
          <w:szCs w:val="28"/>
          <w:lang w:eastAsia="ru-RU"/>
        </w:rPr>
        <w:t>Анализ финансовых коэффициентов заключается в вычислении пропорций между отдельными позициями бухгалтерского баланса, форм отчетности, которые охватывают один и тот же период времени. Метод эффективен для отражения положения дел компании в течение отрезка времени, так как позволяет анализировать безразмерные величины, отражающие тенденцию развития экономического состояния заемщика, а не абсолютных показателей в стоимостном выражении, и позволяет выявлять взаимосвязи этих коэффициентов.</w:t>
      </w:r>
    </w:p>
    <w:p w:rsidR="003B02FE" w:rsidRPr="003B02FE" w:rsidRDefault="003B02FE" w:rsidP="003B02FE">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3B02FE">
        <w:rPr>
          <w:rFonts w:ascii="Times New Roman" w:eastAsia="Times New Roman" w:hAnsi="Times New Roman" w:cs="Times New Roman"/>
          <w:color w:val="000000"/>
          <w:sz w:val="28"/>
          <w:szCs w:val="28"/>
          <w:lang w:eastAsia="ru-RU"/>
        </w:rPr>
        <w:t>Выбор финансовых коэффициентов определяется особенностями клиентуры банка, возможными причинами финансовых затруднений, кредитной политикой банка. Обычно в мировой практике выделяется пять групп коэффициентов:</w:t>
      </w:r>
    </w:p>
    <w:p w:rsidR="003B02FE" w:rsidRPr="003B02FE" w:rsidRDefault="003B02FE" w:rsidP="003B02FE">
      <w:pPr>
        <w:numPr>
          <w:ilvl w:val="0"/>
          <w:numId w:val="1"/>
        </w:numPr>
        <w:shd w:val="clear" w:color="auto" w:fill="FFFFFF"/>
        <w:spacing w:after="0" w:line="360" w:lineRule="auto"/>
        <w:ind w:left="0" w:firstLine="851"/>
        <w:jc w:val="both"/>
        <w:rPr>
          <w:rFonts w:ascii="Times New Roman" w:eastAsia="Times New Roman" w:hAnsi="Times New Roman" w:cs="Times New Roman"/>
          <w:color w:val="000000"/>
          <w:sz w:val="28"/>
          <w:szCs w:val="28"/>
          <w:lang w:eastAsia="ru-RU"/>
        </w:rPr>
      </w:pPr>
      <w:r w:rsidRPr="003B02FE">
        <w:rPr>
          <w:rFonts w:ascii="Times New Roman" w:eastAsia="Times New Roman" w:hAnsi="Times New Roman" w:cs="Times New Roman"/>
          <w:color w:val="000000"/>
          <w:sz w:val="28"/>
          <w:szCs w:val="28"/>
          <w:lang w:eastAsia="ru-RU"/>
        </w:rPr>
        <w:t>ликвидности;</w:t>
      </w:r>
    </w:p>
    <w:p w:rsidR="003B02FE" w:rsidRPr="003B02FE" w:rsidRDefault="003B02FE" w:rsidP="003B02FE">
      <w:pPr>
        <w:numPr>
          <w:ilvl w:val="0"/>
          <w:numId w:val="1"/>
        </w:numPr>
        <w:shd w:val="clear" w:color="auto" w:fill="FFFFFF"/>
        <w:spacing w:after="0" w:line="360" w:lineRule="auto"/>
        <w:ind w:left="0" w:firstLine="851"/>
        <w:jc w:val="both"/>
        <w:rPr>
          <w:rFonts w:ascii="Times New Roman" w:eastAsia="Times New Roman" w:hAnsi="Times New Roman" w:cs="Times New Roman"/>
          <w:color w:val="000000"/>
          <w:sz w:val="28"/>
          <w:szCs w:val="28"/>
          <w:lang w:eastAsia="ru-RU"/>
        </w:rPr>
      </w:pPr>
      <w:r w:rsidRPr="003B02FE">
        <w:rPr>
          <w:rFonts w:ascii="Times New Roman" w:eastAsia="Times New Roman" w:hAnsi="Times New Roman" w:cs="Times New Roman"/>
          <w:color w:val="000000"/>
          <w:sz w:val="28"/>
          <w:szCs w:val="28"/>
          <w:lang w:eastAsia="ru-RU"/>
        </w:rPr>
        <w:t>эффективности, или оборачиваемости;</w:t>
      </w:r>
    </w:p>
    <w:p w:rsidR="003B02FE" w:rsidRPr="003B02FE" w:rsidRDefault="003B02FE" w:rsidP="003B02FE">
      <w:pPr>
        <w:numPr>
          <w:ilvl w:val="0"/>
          <w:numId w:val="1"/>
        </w:numPr>
        <w:shd w:val="clear" w:color="auto" w:fill="FFFFFF"/>
        <w:spacing w:after="0" w:line="360" w:lineRule="auto"/>
        <w:ind w:left="0" w:firstLine="851"/>
        <w:jc w:val="both"/>
        <w:rPr>
          <w:rFonts w:ascii="Times New Roman" w:eastAsia="Times New Roman" w:hAnsi="Times New Roman" w:cs="Times New Roman"/>
          <w:color w:val="000000"/>
          <w:sz w:val="28"/>
          <w:szCs w:val="28"/>
          <w:lang w:eastAsia="ru-RU"/>
        </w:rPr>
      </w:pPr>
      <w:r w:rsidRPr="003B02FE">
        <w:rPr>
          <w:rFonts w:ascii="Times New Roman" w:eastAsia="Times New Roman" w:hAnsi="Times New Roman" w:cs="Times New Roman"/>
          <w:color w:val="000000"/>
          <w:sz w:val="28"/>
          <w:szCs w:val="28"/>
          <w:lang w:eastAsia="ru-RU"/>
        </w:rPr>
        <w:t xml:space="preserve">финансового </w:t>
      </w:r>
      <w:proofErr w:type="spellStart"/>
      <w:r w:rsidRPr="003B02FE">
        <w:rPr>
          <w:rFonts w:ascii="Times New Roman" w:eastAsia="Times New Roman" w:hAnsi="Times New Roman" w:cs="Times New Roman"/>
          <w:color w:val="000000"/>
          <w:sz w:val="28"/>
          <w:szCs w:val="28"/>
          <w:lang w:eastAsia="ru-RU"/>
        </w:rPr>
        <w:t>левериджа</w:t>
      </w:r>
      <w:proofErr w:type="spellEnd"/>
      <w:r w:rsidRPr="003B02FE">
        <w:rPr>
          <w:rFonts w:ascii="Times New Roman" w:eastAsia="Times New Roman" w:hAnsi="Times New Roman" w:cs="Times New Roman"/>
          <w:color w:val="000000"/>
          <w:sz w:val="28"/>
          <w:szCs w:val="28"/>
          <w:lang w:eastAsia="ru-RU"/>
        </w:rPr>
        <w:t>;</w:t>
      </w:r>
    </w:p>
    <w:p w:rsidR="003B02FE" w:rsidRPr="003B02FE" w:rsidRDefault="003B02FE" w:rsidP="003B02FE">
      <w:pPr>
        <w:numPr>
          <w:ilvl w:val="0"/>
          <w:numId w:val="1"/>
        </w:numPr>
        <w:shd w:val="clear" w:color="auto" w:fill="FFFFFF"/>
        <w:spacing w:after="0" w:line="360" w:lineRule="auto"/>
        <w:ind w:left="0" w:firstLine="851"/>
        <w:jc w:val="both"/>
        <w:rPr>
          <w:rFonts w:ascii="Times New Roman" w:eastAsia="Times New Roman" w:hAnsi="Times New Roman" w:cs="Times New Roman"/>
          <w:color w:val="000000"/>
          <w:sz w:val="28"/>
          <w:szCs w:val="28"/>
          <w:lang w:eastAsia="ru-RU"/>
        </w:rPr>
      </w:pPr>
      <w:r w:rsidRPr="003B02FE">
        <w:rPr>
          <w:rFonts w:ascii="Times New Roman" w:eastAsia="Times New Roman" w:hAnsi="Times New Roman" w:cs="Times New Roman"/>
          <w:color w:val="000000"/>
          <w:sz w:val="28"/>
          <w:szCs w:val="28"/>
          <w:lang w:eastAsia="ru-RU"/>
        </w:rPr>
        <w:lastRenderedPageBreak/>
        <w:t>прибыльности;</w:t>
      </w:r>
    </w:p>
    <w:p w:rsidR="003B02FE" w:rsidRPr="003B02FE" w:rsidRDefault="003B02FE" w:rsidP="003B02FE">
      <w:pPr>
        <w:numPr>
          <w:ilvl w:val="0"/>
          <w:numId w:val="1"/>
        </w:numPr>
        <w:shd w:val="clear" w:color="auto" w:fill="FFFFFF"/>
        <w:spacing w:after="0" w:line="360" w:lineRule="auto"/>
        <w:ind w:left="0" w:firstLine="851"/>
        <w:jc w:val="both"/>
        <w:rPr>
          <w:rFonts w:ascii="Times New Roman" w:eastAsia="Times New Roman" w:hAnsi="Times New Roman" w:cs="Times New Roman"/>
          <w:color w:val="000000"/>
          <w:sz w:val="28"/>
          <w:szCs w:val="28"/>
          <w:lang w:eastAsia="ru-RU"/>
        </w:rPr>
      </w:pPr>
      <w:r w:rsidRPr="003B02FE">
        <w:rPr>
          <w:rFonts w:ascii="Times New Roman" w:eastAsia="Times New Roman" w:hAnsi="Times New Roman" w:cs="Times New Roman"/>
          <w:color w:val="000000"/>
          <w:sz w:val="28"/>
          <w:szCs w:val="28"/>
          <w:lang w:eastAsia="ru-RU"/>
        </w:rPr>
        <w:t>обслуживании долга.</w:t>
      </w:r>
    </w:p>
    <w:p w:rsidR="003B02FE" w:rsidRPr="003B02FE" w:rsidRDefault="003B02FE" w:rsidP="003B02FE">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3B02FE">
        <w:rPr>
          <w:rFonts w:ascii="Times New Roman" w:eastAsia="Times New Roman" w:hAnsi="Times New Roman" w:cs="Times New Roman"/>
          <w:color w:val="000000"/>
          <w:sz w:val="28"/>
          <w:szCs w:val="28"/>
          <w:lang w:eastAsia="ru-RU"/>
        </w:rPr>
        <w:t>На основании сравнения полученных коэффициентов с опорными величинами делается вывод о целесообразности предоставления кредита данному заемщику.</w:t>
      </w:r>
    </w:p>
    <w:p w:rsidR="003B02FE" w:rsidRPr="003B02FE" w:rsidRDefault="003B02FE" w:rsidP="003B02FE">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3B02FE">
        <w:rPr>
          <w:rFonts w:ascii="Times New Roman" w:eastAsia="Times New Roman" w:hAnsi="Times New Roman" w:cs="Times New Roman"/>
          <w:color w:val="000000"/>
          <w:sz w:val="28"/>
          <w:szCs w:val="28"/>
          <w:lang w:eastAsia="ru-RU"/>
        </w:rPr>
        <w:t>Так, коэффициент текущей ликвидности (КТЛ) показывает, способен ли заемщик рассчитаться по своим долговым обязательствам.</w:t>
      </w:r>
    </w:p>
    <w:p w:rsidR="003B02FE" w:rsidRPr="003B02FE" w:rsidRDefault="003B02FE" w:rsidP="003B02FE">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3B02FE">
        <w:rPr>
          <w:rFonts w:ascii="Times New Roman" w:eastAsia="Times New Roman" w:hAnsi="Times New Roman" w:cs="Times New Roman"/>
          <w:color w:val="000000"/>
          <w:sz w:val="28"/>
          <w:szCs w:val="28"/>
          <w:lang w:eastAsia="ru-RU"/>
        </w:rPr>
        <w:t>Коэффициент текущей ликвидности предполагает сопоставление текущих оборотных активов, то есть средств, которыми располагает клиент в таких формах как денежные средства, дебиторская задолженность ближайших сроков погашения, стоимости запасов товарно-материальных ценностей и прочих активов, с текущими обязательствами ближайших сроков погашения. Если долговые обязательства превышают средства клиента, он является некредитоспособным.</w:t>
      </w:r>
    </w:p>
    <w:p w:rsidR="003B02FE" w:rsidRPr="003B02FE" w:rsidRDefault="003B02FE" w:rsidP="003B02FE">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3B02FE">
        <w:rPr>
          <w:rFonts w:ascii="Times New Roman" w:eastAsia="Times New Roman" w:hAnsi="Times New Roman" w:cs="Times New Roman"/>
          <w:color w:val="000000"/>
          <w:sz w:val="28"/>
          <w:szCs w:val="28"/>
          <w:lang w:eastAsia="ru-RU"/>
        </w:rPr>
        <w:t>Коэффициенты эффективности или оборачиваемости дополняют коэффициенты ликвидности и позволяют сделать заключение более обоснованным. Если показатели ликвидности растут за счет увеличения дебиторской задолженности и стоимости запасов при одновременном замедлении их оборачиваемости, нельзя повышать класс кредитоспособности заемщика. Коэффициенты эффективности рассчитывают так.</w:t>
      </w:r>
    </w:p>
    <w:p w:rsidR="003B02FE" w:rsidRPr="003B02FE" w:rsidRDefault="003B02FE" w:rsidP="003B02FE">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3B02FE">
        <w:rPr>
          <w:rFonts w:ascii="Times New Roman" w:eastAsia="Times New Roman" w:hAnsi="Times New Roman" w:cs="Times New Roman"/>
          <w:color w:val="000000"/>
          <w:sz w:val="28"/>
          <w:szCs w:val="28"/>
          <w:lang w:eastAsia="ru-RU"/>
        </w:rPr>
        <w:t xml:space="preserve">Коэффициент финансового </w:t>
      </w:r>
      <w:proofErr w:type="spellStart"/>
      <w:r w:rsidRPr="003B02FE">
        <w:rPr>
          <w:rFonts w:ascii="Times New Roman" w:eastAsia="Times New Roman" w:hAnsi="Times New Roman" w:cs="Times New Roman"/>
          <w:color w:val="000000"/>
          <w:sz w:val="28"/>
          <w:szCs w:val="28"/>
          <w:lang w:eastAsia="ru-RU"/>
        </w:rPr>
        <w:t>левериджа</w:t>
      </w:r>
      <w:proofErr w:type="spellEnd"/>
      <w:r w:rsidRPr="003B02FE">
        <w:rPr>
          <w:rFonts w:ascii="Times New Roman" w:eastAsia="Times New Roman" w:hAnsi="Times New Roman" w:cs="Times New Roman"/>
          <w:color w:val="000000"/>
          <w:sz w:val="28"/>
          <w:szCs w:val="28"/>
          <w:lang w:eastAsia="ru-RU"/>
        </w:rPr>
        <w:t xml:space="preserve"> (КЛ) характеризует степень обеспеченности заемщика собственным капиталом. Варианты расчета этого коэффициента различны, но экономический смысл один: оценка размера собственного капитала и степени зависимости клиента от привлеченных ресурсов. При расчете данного коэффициента учитываются все долговые обязательства клиента банка, независимо от их сроков. Чем выше доля привлеченных краткосрочных и долгосрочных средств, тем ниже класс кредитоспособности клиента. Окончательный вывод делают с учетом динамики коэффициентов прибыльности.</w:t>
      </w:r>
    </w:p>
    <w:p w:rsidR="003B02FE" w:rsidRPr="003B02FE" w:rsidRDefault="003B02FE" w:rsidP="003B02FE">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3B02FE">
        <w:rPr>
          <w:rFonts w:ascii="Times New Roman" w:eastAsia="Times New Roman" w:hAnsi="Times New Roman" w:cs="Times New Roman"/>
          <w:color w:val="000000"/>
          <w:sz w:val="28"/>
          <w:szCs w:val="28"/>
          <w:lang w:eastAsia="ru-RU"/>
        </w:rPr>
        <w:lastRenderedPageBreak/>
        <w:t>Коэффициенты прибыльности характеризуют эффективность использования всего капитала, включая его привлеченную часть. Их разновидностями являются следующие.</w:t>
      </w:r>
    </w:p>
    <w:p w:rsidR="003B02FE" w:rsidRPr="003B02FE" w:rsidRDefault="003B02FE" w:rsidP="003B02FE">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3B02FE">
        <w:rPr>
          <w:rFonts w:ascii="Times New Roman" w:eastAsia="Times New Roman" w:hAnsi="Times New Roman" w:cs="Times New Roman"/>
          <w:color w:val="000000"/>
          <w:sz w:val="28"/>
          <w:szCs w:val="28"/>
          <w:lang w:eastAsia="ru-RU"/>
        </w:rPr>
        <w:t>Коэффициенты обслуживания долга или коэффициент покрытия фиксированных платежей показывают, какая часть прибыли поглощается процентными и фиксированными платежами.</w:t>
      </w:r>
    </w:p>
    <w:p w:rsidR="003B02FE" w:rsidRPr="003B02FE" w:rsidRDefault="003B02FE" w:rsidP="003B02FE">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3B02FE">
        <w:rPr>
          <w:rFonts w:ascii="Times New Roman" w:eastAsia="Times New Roman" w:hAnsi="Times New Roman" w:cs="Times New Roman"/>
          <w:color w:val="000000"/>
          <w:sz w:val="28"/>
          <w:szCs w:val="28"/>
          <w:lang w:eastAsia="ru-RU"/>
        </w:rPr>
        <w:t>Формулы расчета коэффициентов и их нормативы приводятся в приложении 1.</w:t>
      </w:r>
    </w:p>
    <w:p w:rsidR="003B02FE" w:rsidRPr="003B02FE" w:rsidRDefault="003B02FE" w:rsidP="003B02FE">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3B02FE">
        <w:rPr>
          <w:rFonts w:ascii="Times New Roman" w:eastAsia="Times New Roman" w:hAnsi="Times New Roman" w:cs="Times New Roman"/>
          <w:color w:val="000000"/>
          <w:sz w:val="28"/>
          <w:szCs w:val="28"/>
          <w:lang w:eastAsia="ru-RU"/>
        </w:rPr>
        <w:t>Данный метод оценки кредитоспособности на основе системы финансовых коэффициентов имеет свои недостатки. Эти коэффициенты полезны, так как позволяют дать характеристику отдельным сторонам деятельности клиента с помощью цифровых величин, однако нельзя также не видеть их ограниченности, так как они:</w:t>
      </w:r>
    </w:p>
    <w:p w:rsidR="003B02FE" w:rsidRPr="003B02FE" w:rsidRDefault="003B02FE" w:rsidP="003B02FE">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3B02FE">
        <w:rPr>
          <w:rFonts w:ascii="Times New Roman" w:eastAsia="Times New Roman" w:hAnsi="Times New Roman" w:cs="Times New Roman"/>
          <w:color w:val="000000"/>
          <w:sz w:val="28"/>
          <w:szCs w:val="28"/>
          <w:lang w:eastAsia="ru-RU"/>
        </w:rPr>
        <w:t xml:space="preserve">- отражают положение дел в прошлом, причем на основании данных об остатках средств, а не </w:t>
      </w:r>
      <w:proofErr w:type="gramStart"/>
      <w:r w:rsidRPr="003B02FE">
        <w:rPr>
          <w:rFonts w:ascii="Times New Roman" w:eastAsia="Times New Roman" w:hAnsi="Times New Roman" w:cs="Times New Roman"/>
          <w:color w:val="000000"/>
          <w:sz w:val="28"/>
          <w:szCs w:val="28"/>
          <w:lang w:eastAsia="ru-RU"/>
        </w:rPr>
        <w:t>средств</w:t>
      </w:r>
      <w:proofErr w:type="gramEnd"/>
      <w:r w:rsidRPr="003B02FE">
        <w:rPr>
          <w:rFonts w:ascii="Times New Roman" w:eastAsia="Times New Roman" w:hAnsi="Times New Roman" w:cs="Times New Roman"/>
          <w:color w:val="000000"/>
          <w:sz w:val="28"/>
          <w:szCs w:val="28"/>
          <w:lang w:eastAsia="ru-RU"/>
        </w:rPr>
        <w:t xml:space="preserve"> находящихся в обороте;</w:t>
      </w:r>
    </w:p>
    <w:p w:rsidR="003B02FE" w:rsidRPr="003B02FE" w:rsidRDefault="003B02FE" w:rsidP="003B02FE">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3B02FE">
        <w:rPr>
          <w:rFonts w:ascii="Times New Roman" w:eastAsia="Times New Roman" w:hAnsi="Times New Roman" w:cs="Times New Roman"/>
          <w:color w:val="000000"/>
          <w:sz w:val="28"/>
          <w:szCs w:val="28"/>
          <w:lang w:eastAsia="ru-RU"/>
        </w:rPr>
        <w:t>- показывают лишь некоторые стороны деятельности предприятия - в основном движение оборотных средств;</w:t>
      </w:r>
    </w:p>
    <w:p w:rsidR="003B02FE" w:rsidRPr="003B02FE" w:rsidRDefault="003B02FE" w:rsidP="003B02FE">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3B02FE">
        <w:rPr>
          <w:rFonts w:ascii="Times New Roman" w:eastAsia="Times New Roman" w:hAnsi="Times New Roman" w:cs="Times New Roman"/>
          <w:color w:val="000000"/>
          <w:sz w:val="28"/>
          <w:szCs w:val="28"/>
          <w:lang w:eastAsia="ru-RU"/>
        </w:rPr>
        <w:t>- не учитывают репутации заемщика, инфляции, оценок выпускаемой и реализуемой продукции, ни перспектив капиталовложений.</w:t>
      </w:r>
    </w:p>
    <w:p w:rsidR="003B02FE" w:rsidRPr="003B02FE" w:rsidRDefault="003B02FE" w:rsidP="003B02FE">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3B02FE">
        <w:rPr>
          <w:rFonts w:ascii="Times New Roman" w:eastAsia="Times New Roman" w:hAnsi="Times New Roman" w:cs="Times New Roman"/>
          <w:color w:val="000000"/>
          <w:sz w:val="28"/>
          <w:szCs w:val="28"/>
          <w:lang w:eastAsia="ru-RU"/>
        </w:rPr>
        <w:t>Таким образом, оценка уровня кредитоспособности с помощью метода коэффициентов требует индивидуального подхода к каждому клиенту. Без серьезной аналитической работы невозможно ответить на вопрос, является ли данный заемщик платежеспособным и кредитоспособным.</w:t>
      </w:r>
    </w:p>
    <w:p w:rsidR="003B02FE" w:rsidRDefault="003B02FE" w:rsidP="003B02FE">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3B02FE">
        <w:rPr>
          <w:rFonts w:ascii="Times New Roman" w:eastAsia="Times New Roman" w:hAnsi="Times New Roman" w:cs="Times New Roman"/>
          <w:color w:val="000000"/>
          <w:sz w:val="28"/>
          <w:szCs w:val="28"/>
          <w:lang w:eastAsia="ru-RU"/>
        </w:rPr>
        <w:t xml:space="preserve">Анализ денежного потока — способ оценки кредитоспособности клиента коммерческого банка, в основе которого лежит использование фактических показателей, характеризующих оборот средств у клиента в отчетном периоде. Этим метод анализа денежного потока принципиально отличается от метода оценки кредитоспособности клиента на основе системы финансовых коэффициентов, расчет которых строится на сальдовых отчетных показателях. Анализ денежного потока заключается в сопоставлении оттока и притока (таблица </w:t>
      </w:r>
      <w:r>
        <w:rPr>
          <w:rFonts w:ascii="Times New Roman" w:eastAsia="Times New Roman" w:hAnsi="Times New Roman" w:cs="Times New Roman"/>
          <w:color w:val="000000"/>
          <w:sz w:val="28"/>
          <w:szCs w:val="28"/>
          <w:lang w:eastAsia="ru-RU"/>
        </w:rPr>
        <w:t>1</w:t>
      </w:r>
      <w:r w:rsidRPr="003B02FE">
        <w:rPr>
          <w:rFonts w:ascii="Times New Roman" w:eastAsia="Times New Roman" w:hAnsi="Times New Roman" w:cs="Times New Roman"/>
          <w:color w:val="000000"/>
          <w:sz w:val="28"/>
          <w:szCs w:val="28"/>
          <w:lang w:eastAsia="ru-RU"/>
        </w:rPr>
        <w:t xml:space="preserve">) средств у </w:t>
      </w:r>
      <w:r w:rsidRPr="003B02FE">
        <w:rPr>
          <w:rFonts w:ascii="Times New Roman" w:eastAsia="Times New Roman" w:hAnsi="Times New Roman" w:cs="Times New Roman"/>
          <w:color w:val="000000"/>
          <w:sz w:val="28"/>
          <w:szCs w:val="28"/>
          <w:lang w:eastAsia="ru-RU"/>
        </w:rPr>
        <w:lastRenderedPageBreak/>
        <w:t>заемщика за период, соответствующий обычно сроку пользования испрашиваемой ссуды.</w:t>
      </w:r>
    </w:p>
    <w:p w:rsidR="003B02FE" w:rsidRPr="003B02FE" w:rsidRDefault="003B02FE" w:rsidP="003B02FE">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t xml:space="preserve">Таблица 1.                     </w:t>
      </w:r>
    </w:p>
    <w:p w:rsidR="003B02FE" w:rsidRPr="003B02FE" w:rsidRDefault="003B02FE" w:rsidP="003B02FE">
      <w:pPr>
        <w:spacing w:line="360" w:lineRule="auto"/>
        <w:ind w:firstLine="851"/>
        <w:jc w:val="both"/>
        <w:rPr>
          <w:rFonts w:ascii="Times New Roman" w:hAnsi="Times New Roman" w:cs="Times New Roman"/>
          <w:b/>
          <w:sz w:val="28"/>
          <w:szCs w:val="28"/>
        </w:rPr>
      </w:pPr>
      <w:r>
        <w:rPr>
          <w:noProof/>
          <w:lang w:eastAsia="ru-RU"/>
        </w:rPr>
        <w:drawing>
          <wp:inline distT="0" distB="0" distL="0" distR="0" wp14:anchorId="67411C8A" wp14:editId="45F26E78">
            <wp:extent cx="4791075" cy="3962169"/>
            <wp:effectExtent l="0" t="0" r="0"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22207" t="8930" r="27203" b="16660"/>
                    <a:stretch/>
                  </pic:blipFill>
                  <pic:spPr bwMode="auto">
                    <a:xfrm>
                      <a:off x="0" y="0"/>
                      <a:ext cx="4803092" cy="3972107"/>
                    </a:xfrm>
                    <a:prstGeom prst="rect">
                      <a:avLst/>
                    </a:prstGeom>
                    <a:ln>
                      <a:noFill/>
                    </a:ln>
                    <a:extLst>
                      <a:ext uri="{53640926-AAD7-44D8-BBD7-CCE9431645EC}">
                        <a14:shadowObscured xmlns:a14="http://schemas.microsoft.com/office/drawing/2010/main"/>
                      </a:ext>
                    </a:extLst>
                  </pic:spPr>
                </pic:pic>
              </a:graphicData>
            </a:graphic>
          </wp:inline>
        </w:drawing>
      </w:r>
    </w:p>
    <w:p w:rsidR="003B02FE" w:rsidRPr="003B02FE" w:rsidRDefault="003B02FE" w:rsidP="003B02FE">
      <w:pPr>
        <w:spacing w:line="360" w:lineRule="auto"/>
        <w:ind w:firstLine="851"/>
        <w:jc w:val="both"/>
        <w:rPr>
          <w:rFonts w:ascii="Times New Roman" w:hAnsi="Times New Roman" w:cs="Times New Roman"/>
          <w:sz w:val="28"/>
          <w:szCs w:val="28"/>
        </w:rPr>
      </w:pPr>
      <w:r w:rsidRPr="003B02FE">
        <w:rPr>
          <w:rFonts w:ascii="Times New Roman" w:hAnsi="Times New Roman" w:cs="Times New Roman"/>
          <w:sz w:val="28"/>
          <w:szCs w:val="28"/>
        </w:rPr>
        <w:t>Разница между притоком и оттоком средств определяет величину общего денежного потока. Для анализа денежного потока берутся данные как минимум за три года. Если клиент имел устойчивое превышение притока над оттоком средств, то это свидетельствует о его финансовой устойчивости – кредитоспособности. Колебания величины общего денежного потока (кратковременные превышения оттока над притоком) говорят о более низком рейтинге клиента. Систематическое превышение оттока над притоком средств характеризует клиента как некредитоспособного.</w:t>
      </w:r>
      <w:bookmarkStart w:id="2" w:name="_GoBack"/>
      <w:bookmarkEnd w:id="2"/>
    </w:p>
    <w:p w:rsidR="003B02FE" w:rsidRPr="003B02FE" w:rsidRDefault="003B02FE" w:rsidP="003B02FE">
      <w:pPr>
        <w:spacing w:line="360" w:lineRule="auto"/>
        <w:ind w:firstLine="851"/>
        <w:jc w:val="both"/>
        <w:rPr>
          <w:rFonts w:ascii="Times New Roman" w:hAnsi="Times New Roman" w:cs="Times New Roman"/>
          <w:sz w:val="28"/>
          <w:szCs w:val="28"/>
        </w:rPr>
      </w:pPr>
      <w:r w:rsidRPr="003B02FE">
        <w:rPr>
          <w:rFonts w:ascii="Times New Roman" w:hAnsi="Times New Roman" w:cs="Times New Roman"/>
          <w:sz w:val="28"/>
          <w:szCs w:val="28"/>
        </w:rPr>
        <w:t xml:space="preserve">На основании соотношения величины общего денежного потока и размера долговых обязательств клиента определяется его класс кредитоспособности. Нормативные уровни этого соотношения таковы: I </w:t>
      </w:r>
      <w:proofErr w:type="spellStart"/>
      <w:r w:rsidRPr="003B02FE">
        <w:rPr>
          <w:rFonts w:ascii="Times New Roman" w:hAnsi="Times New Roman" w:cs="Times New Roman"/>
          <w:sz w:val="28"/>
          <w:szCs w:val="28"/>
        </w:rPr>
        <w:t>кл</w:t>
      </w:r>
      <w:proofErr w:type="spellEnd"/>
      <w:r w:rsidRPr="003B02FE">
        <w:rPr>
          <w:rFonts w:ascii="Times New Roman" w:hAnsi="Times New Roman" w:cs="Times New Roman"/>
          <w:sz w:val="28"/>
          <w:szCs w:val="28"/>
        </w:rPr>
        <w:t xml:space="preserve">. – 0,75; II </w:t>
      </w:r>
      <w:proofErr w:type="spellStart"/>
      <w:r w:rsidRPr="003B02FE">
        <w:rPr>
          <w:rFonts w:ascii="Times New Roman" w:hAnsi="Times New Roman" w:cs="Times New Roman"/>
          <w:sz w:val="28"/>
          <w:szCs w:val="28"/>
        </w:rPr>
        <w:t>кл</w:t>
      </w:r>
      <w:proofErr w:type="spellEnd"/>
      <w:r w:rsidRPr="003B02FE">
        <w:rPr>
          <w:rFonts w:ascii="Times New Roman" w:hAnsi="Times New Roman" w:cs="Times New Roman"/>
          <w:sz w:val="28"/>
          <w:szCs w:val="28"/>
        </w:rPr>
        <w:t xml:space="preserve">. – 0, 30; III </w:t>
      </w:r>
      <w:proofErr w:type="spellStart"/>
      <w:r w:rsidRPr="003B02FE">
        <w:rPr>
          <w:rFonts w:ascii="Times New Roman" w:hAnsi="Times New Roman" w:cs="Times New Roman"/>
          <w:sz w:val="28"/>
          <w:szCs w:val="28"/>
        </w:rPr>
        <w:t>кл</w:t>
      </w:r>
      <w:proofErr w:type="spellEnd"/>
      <w:r w:rsidRPr="003B02FE">
        <w:rPr>
          <w:rFonts w:ascii="Times New Roman" w:hAnsi="Times New Roman" w:cs="Times New Roman"/>
          <w:sz w:val="28"/>
          <w:szCs w:val="28"/>
        </w:rPr>
        <w:t xml:space="preserve">. – 0,25; IV </w:t>
      </w:r>
      <w:proofErr w:type="spellStart"/>
      <w:r w:rsidRPr="003B02FE">
        <w:rPr>
          <w:rFonts w:ascii="Times New Roman" w:hAnsi="Times New Roman" w:cs="Times New Roman"/>
          <w:sz w:val="28"/>
          <w:szCs w:val="28"/>
        </w:rPr>
        <w:t>кл</w:t>
      </w:r>
      <w:proofErr w:type="spellEnd"/>
      <w:r w:rsidRPr="003B02FE">
        <w:rPr>
          <w:rFonts w:ascii="Times New Roman" w:hAnsi="Times New Roman" w:cs="Times New Roman"/>
          <w:sz w:val="28"/>
          <w:szCs w:val="28"/>
        </w:rPr>
        <w:t xml:space="preserve">. – 0,2; V </w:t>
      </w:r>
      <w:proofErr w:type="spellStart"/>
      <w:r w:rsidRPr="003B02FE">
        <w:rPr>
          <w:rFonts w:ascii="Times New Roman" w:hAnsi="Times New Roman" w:cs="Times New Roman"/>
          <w:sz w:val="28"/>
          <w:szCs w:val="28"/>
        </w:rPr>
        <w:t>кл</w:t>
      </w:r>
      <w:proofErr w:type="spellEnd"/>
      <w:r w:rsidRPr="003B02FE">
        <w:rPr>
          <w:rFonts w:ascii="Times New Roman" w:hAnsi="Times New Roman" w:cs="Times New Roman"/>
          <w:sz w:val="28"/>
          <w:szCs w:val="28"/>
        </w:rPr>
        <w:t>. – 0,</w:t>
      </w:r>
      <w:proofErr w:type="gramStart"/>
      <w:r w:rsidRPr="003B02FE">
        <w:rPr>
          <w:rFonts w:ascii="Times New Roman" w:hAnsi="Times New Roman" w:cs="Times New Roman"/>
          <w:sz w:val="28"/>
          <w:szCs w:val="28"/>
        </w:rPr>
        <w:t>2;VI</w:t>
      </w:r>
      <w:proofErr w:type="gramEnd"/>
      <w:r w:rsidRPr="003B02FE">
        <w:rPr>
          <w:rFonts w:ascii="Times New Roman" w:hAnsi="Times New Roman" w:cs="Times New Roman"/>
          <w:sz w:val="28"/>
          <w:szCs w:val="28"/>
        </w:rPr>
        <w:t xml:space="preserve"> </w:t>
      </w:r>
      <w:proofErr w:type="spellStart"/>
      <w:r w:rsidRPr="003B02FE">
        <w:rPr>
          <w:rFonts w:ascii="Times New Roman" w:hAnsi="Times New Roman" w:cs="Times New Roman"/>
          <w:sz w:val="28"/>
          <w:szCs w:val="28"/>
        </w:rPr>
        <w:t>кл</w:t>
      </w:r>
      <w:proofErr w:type="spellEnd"/>
      <w:r w:rsidRPr="003B02FE">
        <w:rPr>
          <w:rFonts w:ascii="Times New Roman" w:hAnsi="Times New Roman" w:cs="Times New Roman"/>
          <w:sz w:val="28"/>
          <w:szCs w:val="28"/>
        </w:rPr>
        <w:t>. – 0,15.</w:t>
      </w:r>
    </w:p>
    <w:p w:rsidR="003B02FE" w:rsidRPr="003B02FE" w:rsidRDefault="003B02FE" w:rsidP="003B02FE">
      <w:pPr>
        <w:spacing w:line="360" w:lineRule="auto"/>
        <w:ind w:firstLine="851"/>
        <w:jc w:val="both"/>
        <w:rPr>
          <w:rFonts w:ascii="Times New Roman" w:hAnsi="Times New Roman" w:cs="Times New Roman"/>
          <w:sz w:val="28"/>
          <w:szCs w:val="28"/>
        </w:rPr>
      </w:pPr>
      <w:r w:rsidRPr="003B02FE">
        <w:rPr>
          <w:rFonts w:ascii="Times New Roman" w:hAnsi="Times New Roman" w:cs="Times New Roman"/>
          <w:sz w:val="28"/>
          <w:szCs w:val="28"/>
        </w:rPr>
        <w:lastRenderedPageBreak/>
        <w:t>Описанный метод анализа денежного потока называется косвенным. Вместе с тем существует и прямой метод, содержание которого может быть сведено к следующему.</w:t>
      </w:r>
    </w:p>
    <w:p w:rsidR="003B02FE" w:rsidRPr="00AD5BF3" w:rsidRDefault="003B02FE" w:rsidP="00AD5BF3">
      <w:pPr>
        <w:pStyle w:val="a4"/>
        <w:numPr>
          <w:ilvl w:val="0"/>
          <w:numId w:val="3"/>
        </w:numPr>
        <w:spacing w:line="360" w:lineRule="auto"/>
        <w:jc w:val="both"/>
        <w:rPr>
          <w:rFonts w:ascii="Times New Roman" w:hAnsi="Times New Roman" w:cs="Times New Roman"/>
          <w:sz w:val="28"/>
          <w:szCs w:val="28"/>
        </w:rPr>
      </w:pPr>
      <w:r w:rsidRPr="00AD5BF3">
        <w:rPr>
          <w:rFonts w:ascii="Times New Roman" w:hAnsi="Times New Roman" w:cs="Times New Roman"/>
          <w:sz w:val="28"/>
          <w:szCs w:val="28"/>
        </w:rPr>
        <w:t>Общий денежный поток (Чистые денежные средства)</w:t>
      </w:r>
      <w:r w:rsidR="00AD5BF3">
        <w:rPr>
          <w:rFonts w:ascii="Times New Roman" w:hAnsi="Times New Roman" w:cs="Times New Roman"/>
          <w:sz w:val="28"/>
          <w:szCs w:val="28"/>
        </w:rPr>
        <w:t xml:space="preserve"> </w:t>
      </w:r>
      <w:r w:rsidRPr="00AD5BF3">
        <w:rPr>
          <w:rFonts w:ascii="Times New Roman" w:hAnsi="Times New Roman" w:cs="Times New Roman"/>
          <w:sz w:val="28"/>
          <w:szCs w:val="28"/>
        </w:rPr>
        <w:t>=</w:t>
      </w:r>
    </w:p>
    <w:p w:rsidR="003B02FE" w:rsidRPr="003B02FE" w:rsidRDefault="00AD5BF3" w:rsidP="003B02FE">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у</w:t>
      </w:r>
      <w:r w:rsidR="003B02FE" w:rsidRPr="003B02FE">
        <w:rPr>
          <w:rFonts w:ascii="Times New Roman" w:hAnsi="Times New Roman" w:cs="Times New Roman"/>
          <w:sz w:val="28"/>
          <w:szCs w:val="28"/>
        </w:rPr>
        <w:t>величение (уменьшение) денежных средств в результате производственно-хозяйственной деятельности + увеличение (уменьшение) денежных средств в результате инвестиционной деятельности + увеличение (уменьшение) денежных средств в результате финансовой деятельности.</w:t>
      </w:r>
    </w:p>
    <w:p w:rsidR="003B02FE" w:rsidRPr="003B02FE" w:rsidRDefault="003B02FE" w:rsidP="003B02FE">
      <w:pPr>
        <w:pStyle w:val="a4"/>
        <w:numPr>
          <w:ilvl w:val="0"/>
          <w:numId w:val="2"/>
        </w:numPr>
        <w:spacing w:line="360" w:lineRule="auto"/>
        <w:jc w:val="both"/>
        <w:rPr>
          <w:rFonts w:ascii="Times New Roman" w:hAnsi="Times New Roman" w:cs="Times New Roman"/>
          <w:sz w:val="28"/>
          <w:szCs w:val="28"/>
        </w:rPr>
      </w:pPr>
      <w:r w:rsidRPr="003B02FE">
        <w:rPr>
          <w:rFonts w:ascii="Times New Roman" w:hAnsi="Times New Roman" w:cs="Times New Roman"/>
          <w:sz w:val="28"/>
          <w:szCs w:val="28"/>
        </w:rPr>
        <w:t>Расчет первого слагаемого:</w:t>
      </w:r>
    </w:p>
    <w:p w:rsidR="003B02FE" w:rsidRPr="00AD5BF3" w:rsidRDefault="003B02FE" w:rsidP="00AD5BF3">
      <w:pPr>
        <w:pStyle w:val="a4"/>
        <w:numPr>
          <w:ilvl w:val="0"/>
          <w:numId w:val="3"/>
        </w:numPr>
        <w:spacing w:line="360" w:lineRule="auto"/>
        <w:jc w:val="both"/>
        <w:rPr>
          <w:rFonts w:ascii="Times New Roman" w:hAnsi="Times New Roman" w:cs="Times New Roman"/>
          <w:sz w:val="28"/>
          <w:szCs w:val="28"/>
        </w:rPr>
      </w:pPr>
      <w:r w:rsidRPr="00AD5BF3">
        <w:rPr>
          <w:rFonts w:ascii="Times New Roman" w:hAnsi="Times New Roman" w:cs="Times New Roman"/>
          <w:sz w:val="28"/>
          <w:szCs w:val="28"/>
        </w:rPr>
        <w:t>Денежный поток производственно-хозяйственной деятельности=</w:t>
      </w:r>
    </w:p>
    <w:p w:rsidR="003B02FE" w:rsidRPr="003B02FE" w:rsidRDefault="003B02FE" w:rsidP="003B02FE">
      <w:pPr>
        <w:spacing w:line="360" w:lineRule="auto"/>
        <w:ind w:left="360" w:firstLine="851"/>
        <w:jc w:val="both"/>
        <w:rPr>
          <w:rFonts w:ascii="Times New Roman" w:hAnsi="Times New Roman" w:cs="Times New Roman"/>
          <w:sz w:val="28"/>
          <w:szCs w:val="28"/>
        </w:rPr>
      </w:pPr>
      <w:r w:rsidRPr="003B02FE">
        <w:rPr>
          <w:rFonts w:ascii="Times New Roman" w:hAnsi="Times New Roman" w:cs="Times New Roman"/>
          <w:sz w:val="28"/>
          <w:szCs w:val="28"/>
        </w:rPr>
        <w:t>Выручка и реализации — платежи поставщикам и персоналу</w:t>
      </w:r>
    </w:p>
    <w:p w:rsidR="003B02FE" w:rsidRPr="003B02FE" w:rsidRDefault="003B02FE" w:rsidP="003B02FE">
      <w:pPr>
        <w:spacing w:line="360" w:lineRule="auto"/>
        <w:ind w:left="360" w:firstLine="851"/>
        <w:jc w:val="both"/>
        <w:rPr>
          <w:rFonts w:ascii="Times New Roman" w:hAnsi="Times New Roman" w:cs="Times New Roman"/>
          <w:sz w:val="28"/>
          <w:szCs w:val="28"/>
        </w:rPr>
      </w:pPr>
      <w:r w:rsidRPr="003B02FE">
        <w:rPr>
          <w:rFonts w:ascii="Times New Roman" w:hAnsi="Times New Roman" w:cs="Times New Roman"/>
          <w:sz w:val="28"/>
          <w:szCs w:val="28"/>
        </w:rPr>
        <w:t>+ проценты полученные — проценты уплаченные — налоги</w:t>
      </w:r>
    </w:p>
    <w:p w:rsidR="003B02FE" w:rsidRPr="003B02FE" w:rsidRDefault="003B02FE" w:rsidP="003B02FE">
      <w:pPr>
        <w:pStyle w:val="a4"/>
        <w:numPr>
          <w:ilvl w:val="0"/>
          <w:numId w:val="2"/>
        </w:numPr>
        <w:spacing w:line="360" w:lineRule="auto"/>
        <w:jc w:val="both"/>
        <w:rPr>
          <w:rFonts w:ascii="Times New Roman" w:hAnsi="Times New Roman" w:cs="Times New Roman"/>
          <w:sz w:val="28"/>
          <w:szCs w:val="28"/>
        </w:rPr>
      </w:pPr>
      <w:r w:rsidRPr="003B02FE">
        <w:rPr>
          <w:rFonts w:ascii="Times New Roman" w:hAnsi="Times New Roman" w:cs="Times New Roman"/>
          <w:sz w:val="28"/>
          <w:szCs w:val="28"/>
        </w:rPr>
        <w:t>Расчет второго слагаемого общего денежного потока:</w:t>
      </w:r>
    </w:p>
    <w:p w:rsidR="003B02FE" w:rsidRPr="00AD5BF3" w:rsidRDefault="003B02FE" w:rsidP="00AD5BF3">
      <w:pPr>
        <w:pStyle w:val="a4"/>
        <w:numPr>
          <w:ilvl w:val="0"/>
          <w:numId w:val="3"/>
        </w:numPr>
        <w:spacing w:line="360" w:lineRule="auto"/>
        <w:jc w:val="both"/>
        <w:rPr>
          <w:rFonts w:ascii="Times New Roman" w:hAnsi="Times New Roman" w:cs="Times New Roman"/>
          <w:sz w:val="28"/>
          <w:szCs w:val="28"/>
        </w:rPr>
      </w:pPr>
      <w:r w:rsidRPr="00AD5BF3">
        <w:rPr>
          <w:rFonts w:ascii="Times New Roman" w:hAnsi="Times New Roman" w:cs="Times New Roman"/>
          <w:sz w:val="28"/>
          <w:szCs w:val="28"/>
        </w:rPr>
        <w:t>Денежный поток инвестиционной деятельности =</w:t>
      </w:r>
    </w:p>
    <w:p w:rsidR="003B02FE" w:rsidRPr="003B02FE" w:rsidRDefault="003B02FE" w:rsidP="003B02FE">
      <w:pPr>
        <w:spacing w:line="360" w:lineRule="auto"/>
        <w:ind w:left="565" w:firstLine="851"/>
        <w:jc w:val="both"/>
        <w:rPr>
          <w:rFonts w:ascii="Times New Roman" w:hAnsi="Times New Roman" w:cs="Times New Roman"/>
          <w:sz w:val="28"/>
          <w:szCs w:val="28"/>
        </w:rPr>
      </w:pPr>
      <w:r w:rsidRPr="003B02FE">
        <w:rPr>
          <w:rFonts w:ascii="Times New Roman" w:hAnsi="Times New Roman" w:cs="Times New Roman"/>
          <w:sz w:val="28"/>
          <w:szCs w:val="28"/>
        </w:rPr>
        <w:t>Поступления от продажи основных активов — капвложения</w:t>
      </w:r>
    </w:p>
    <w:p w:rsidR="003B02FE" w:rsidRPr="003B02FE" w:rsidRDefault="003B02FE" w:rsidP="003B02FE">
      <w:pPr>
        <w:pStyle w:val="a4"/>
        <w:numPr>
          <w:ilvl w:val="0"/>
          <w:numId w:val="2"/>
        </w:numPr>
        <w:spacing w:line="360" w:lineRule="auto"/>
        <w:jc w:val="both"/>
        <w:rPr>
          <w:rFonts w:ascii="Times New Roman" w:hAnsi="Times New Roman" w:cs="Times New Roman"/>
          <w:sz w:val="28"/>
          <w:szCs w:val="28"/>
        </w:rPr>
      </w:pPr>
      <w:r w:rsidRPr="003B02FE">
        <w:rPr>
          <w:rFonts w:ascii="Times New Roman" w:hAnsi="Times New Roman" w:cs="Times New Roman"/>
          <w:sz w:val="28"/>
          <w:szCs w:val="28"/>
        </w:rPr>
        <w:t>Расчет третьего слагаемого:</w:t>
      </w:r>
    </w:p>
    <w:p w:rsidR="003B02FE" w:rsidRPr="00AD5BF3" w:rsidRDefault="003B02FE" w:rsidP="00AD5BF3">
      <w:pPr>
        <w:pStyle w:val="a4"/>
        <w:numPr>
          <w:ilvl w:val="0"/>
          <w:numId w:val="3"/>
        </w:numPr>
        <w:spacing w:line="360" w:lineRule="auto"/>
        <w:jc w:val="both"/>
        <w:rPr>
          <w:rFonts w:ascii="Times New Roman" w:hAnsi="Times New Roman" w:cs="Times New Roman"/>
          <w:sz w:val="28"/>
          <w:szCs w:val="28"/>
        </w:rPr>
      </w:pPr>
      <w:r w:rsidRPr="00AD5BF3">
        <w:rPr>
          <w:rFonts w:ascii="Times New Roman" w:hAnsi="Times New Roman" w:cs="Times New Roman"/>
          <w:sz w:val="28"/>
          <w:szCs w:val="28"/>
        </w:rPr>
        <w:t>Денежный поток финансовой деятельности =</w:t>
      </w:r>
    </w:p>
    <w:p w:rsidR="003B02FE" w:rsidRPr="003B02FE" w:rsidRDefault="003B02FE" w:rsidP="003B02FE">
      <w:pPr>
        <w:spacing w:line="360" w:lineRule="auto"/>
        <w:ind w:left="565" w:firstLine="851"/>
        <w:jc w:val="both"/>
        <w:rPr>
          <w:rFonts w:ascii="Times New Roman" w:hAnsi="Times New Roman" w:cs="Times New Roman"/>
          <w:sz w:val="28"/>
          <w:szCs w:val="28"/>
        </w:rPr>
      </w:pPr>
      <w:r w:rsidRPr="003B02FE">
        <w:rPr>
          <w:rFonts w:ascii="Times New Roman" w:hAnsi="Times New Roman" w:cs="Times New Roman"/>
          <w:sz w:val="28"/>
          <w:szCs w:val="28"/>
        </w:rPr>
        <w:t>Кредиты полученные — погашение долговых обязательств</w:t>
      </w:r>
    </w:p>
    <w:p w:rsidR="003B02FE" w:rsidRPr="003B02FE" w:rsidRDefault="003B02FE" w:rsidP="003B02FE">
      <w:pPr>
        <w:spacing w:line="360" w:lineRule="auto"/>
        <w:ind w:left="565" w:firstLine="851"/>
        <w:jc w:val="both"/>
        <w:rPr>
          <w:rFonts w:ascii="Times New Roman" w:hAnsi="Times New Roman" w:cs="Times New Roman"/>
          <w:sz w:val="28"/>
          <w:szCs w:val="28"/>
        </w:rPr>
      </w:pPr>
      <w:r w:rsidRPr="003B02FE">
        <w:rPr>
          <w:rFonts w:ascii="Times New Roman" w:hAnsi="Times New Roman" w:cs="Times New Roman"/>
          <w:sz w:val="28"/>
          <w:szCs w:val="28"/>
        </w:rPr>
        <w:t>+ эмиссия акций — выплата дивидендов</w:t>
      </w:r>
    </w:p>
    <w:p w:rsidR="003B02FE" w:rsidRPr="003B02FE" w:rsidRDefault="003B02FE" w:rsidP="003B02FE">
      <w:pPr>
        <w:spacing w:line="360" w:lineRule="auto"/>
        <w:ind w:firstLine="851"/>
        <w:jc w:val="both"/>
        <w:rPr>
          <w:rFonts w:ascii="Times New Roman" w:hAnsi="Times New Roman" w:cs="Times New Roman"/>
          <w:sz w:val="28"/>
          <w:szCs w:val="28"/>
        </w:rPr>
      </w:pPr>
      <w:r w:rsidRPr="003B02FE">
        <w:rPr>
          <w:rFonts w:ascii="Times New Roman" w:hAnsi="Times New Roman" w:cs="Times New Roman"/>
          <w:sz w:val="28"/>
          <w:szCs w:val="28"/>
        </w:rPr>
        <w:t xml:space="preserve">Прогнозные модели получают с помощью статистических методов и используются для оценки качества потенциальных заемщиков. При реализации данного метода используется функция, дающая оценку надежности заемщика. Данная функция рассчитывается путем умножения финансовых коэффициентов результатов деятельности заемщика на коэффициенты, рассчитанные в результате статистической обработки данных по выборке фирм, которые либо обанкротились, либо выжили в течение определенного времени. Если оценка фирмы находится </w:t>
      </w:r>
      <w:r w:rsidRPr="003B02FE">
        <w:rPr>
          <w:rFonts w:ascii="Times New Roman" w:hAnsi="Times New Roman" w:cs="Times New Roman"/>
          <w:sz w:val="28"/>
          <w:szCs w:val="28"/>
        </w:rPr>
        <w:lastRenderedPageBreak/>
        <w:t>ближе к показателю средней фирмы-банкрота, то при условии продолжающегося ухудшения ее положения она обанкротится. Если менеджеры фирмы и банк предпримут усилия для устранения финансовых трудностей, то банкротство, возможно, не произойдет. Таким образом, эта оценка является сигналом для предупреждения банкротства фирмы. Применение данной модели требует обширной репрезентативной выборки фирм по разным отраслям и масштабам деятельности. Сложность заключается в том, что не всегда можно найти достаточное число обанкротившихся фирм внутри отрасли для расчета аналитических коэффициентов.</w:t>
      </w:r>
    </w:p>
    <w:p w:rsidR="003B02FE" w:rsidRPr="003B02FE" w:rsidRDefault="003B02FE" w:rsidP="003B02FE">
      <w:pPr>
        <w:spacing w:line="360" w:lineRule="auto"/>
        <w:ind w:firstLine="851"/>
        <w:jc w:val="both"/>
        <w:rPr>
          <w:rFonts w:ascii="Times New Roman" w:hAnsi="Times New Roman" w:cs="Times New Roman"/>
          <w:sz w:val="28"/>
          <w:szCs w:val="28"/>
        </w:rPr>
      </w:pPr>
      <w:r w:rsidRPr="003B02FE">
        <w:rPr>
          <w:rFonts w:ascii="Times New Roman" w:hAnsi="Times New Roman" w:cs="Times New Roman"/>
          <w:sz w:val="28"/>
          <w:szCs w:val="28"/>
        </w:rPr>
        <w:t xml:space="preserve">Основываясь на данных базовых методах оценки кредитоспособности клиента можно создать методику для оценки кредитоспособности практически любого типа клиентов. Для оценки частных займов небольших сумм может подойти метод деревьев решений, оценить кредитоспособность можно прямо в офисе банка за несколько минут, с этой задачей может справиться любой офисный работник. При выдаче кредита на крупную сумму или ипотечного кредита подойдет </w:t>
      </w:r>
      <w:proofErr w:type="spellStart"/>
      <w:r w:rsidRPr="003B02FE">
        <w:rPr>
          <w:rFonts w:ascii="Times New Roman" w:hAnsi="Times New Roman" w:cs="Times New Roman"/>
          <w:sz w:val="28"/>
          <w:szCs w:val="28"/>
        </w:rPr>
        <w:t>скоринговый</w:t>
      </w:r>
      <w:proofErr w:type="spellEnd"/>
      <w:r w:rsidRPr="003B02FE">
        <w:rPr>
          <w:rFonts w:ascii="Times New Roman" w:hAnsi="Times New Roman" w:cs="Times New Roman"/>
          <w:sz w:val="28"/>
          <w:szCs w:val="28"/>
        </w:rPr>
        <w:t xml:space="preserve"> метод, так как он может более тонко учитывать индивидуальные особенности клиента, а, следовательно, может дать более точный прогноз о будущей кредитоспособности заемщика. При оценке кредитоспособности фирмы не обойтись без анализа финансовых коэффициентов результатов деятельности, чтобы составить представление о перспективах ее развития. Проверить сделанные выводы можно проанализировав денежные потоки, порождаемые деятельностью компании. А если речь идет о долгосрочном инвестиционном проекте, то обязательно следует проверить, насколько велика будет склонность потенциального заемщика к банкротству в течение ближайших нескольких лет, опираясь на данные статистики деятельности </w:t>
      </w:r>
      <w:proofErr w:type="gramStart"/>
      <w:r w:rsidRPr="003B02FE">
        <w:rPr>
          <w:rFonts w:ascii="Times New Roman" w:hAnsi="Times New Roman" w:cs="Times New Roman"/>
          <w:sz w:val="28"/>
          <w:szCs w:val="28"/>
        </w:rPr>
        <w:t>компаний</w:t>
      </w:r>
      <w:proofErr w:type="gramEnd"/>
      <w:r w:rsidRPr="003B02FE">
        <w:rPr>
          <w:rFonts w:ascii="Times New Roman" w:hAnsi="Times New Roman" w:cs="Times New Roman"/>
          <w:sz w:val="28"/>
          <w:szCs w:val="28"/>
        </w:rPr>
        <w:t xml:space="preserve"> занятых в этом же секторе экономики.</w:t>
      </w:r>
    </w:p>
    <w:p w:rsidR="003B02FE" w:rsidRPr="003B02FE" w:rsidRDefault="003B02FE" w:rsidP="003B02FE">
      <w:pPr>
        <w:spacing w:line="360" w:lineRule="auto"/>
        <w:ind w:firstLine="851"/>
        <w:jc w:val="both"/>
        <w:rPr>
          <w:rFonts w:ascii="Times New Roman" w:hAnsi="Times New Roman" w:cs="Times New Roman"/>
          <w:sz w:val="28"/>
          <w:szCs w:val="28"/>
        </w:rPr>
      </w:pPr>
      <w:r w:rsidRPr="003B02FE">
        <w:rPr>
          <w:rFonts w:ascii="Times New Roman" w:hAnsi="Times New Roman" w:cs="Times New Roman"/>
          <w:sz w:val="28"/>
          <w:szCs w:val="28"/>
        </w:rPr>
        <w:t xml:space="preserve">Используя любой метод оценки кредитоспособности, отдельное внимание всегда следует уделять кредитной истории заемщика, ведь ни что не характеризует </w:t>
      </w:r>
      <w:r w:rsidRPr="003B02FE">
        <w:rPr>
          <w:rFonts w:ascii="Times New Roman" w:hAnsi="Times New Roman" w:cs="Times New Roman"/>
          <w:sz w:val="28"/>
          <w:szCs w:val="28"/>
        </w:rPr>
        <w:lastRenderedPageBreak/>
        <w:t>порядочность и платежеспособность заемщика лучше, чем регулярность и своевременность оплаты его прошлых кредитов.</w:t>
      </w:r>
    </w:p>
    <w:p w:rsidR="003B02FE" w:rsidRPr="003B02FE" w:rsidRDefault="003B02FE" w:rsidP="003B02FE">
      <w:pPr>
        <w:spacing w:line="360" w:lineRule="auto"/>
        <w:ind w:firstLine="851"/>
        <w:jc w:val="both"/>
        <w:rPr>
          <w:rFonts w:ascii="Times New Roman" w:hAnsi="Times New Roman" w:cs="Times New Roman"/>
          <w:sz w:val="28"/>
          <w:szCs w:val="28"/>
        </w:rPr>
      </w:pPr>
      <w:r w:rsidRPr="003B02FE">
        <w:rPr>
          <w:rFonts w:ascii="Times New Roman" w:hAnsi="Times New Roman" w:cs="Times New Roman"/>
          <w:sz w:val="28"/>
          <w:szCs w:val="28"/>
        </w:rPr>
        <w:t>Таким образом, рассмотрев основные методы оценки кредитоспособности заемщика, можно сделать вывод, что для достижения наиболее точных результатов всегда следует использовать комплексную методику оценки кредитоспособности, включающую несколько разносторонних методов.</w:t>
      </w:r>
    </w:p>
    <w:p w:rsidR="003B02FE" w:rsidRPr="00C86780" w:rsidRDefault="003B02FE" w:rsidP="003B02FE">
      <w:pPr>
        <w:spacing w:line="360" w:lineRule="auto"/>
        <w:ind w:firstLine="851"/>
        <w:jc w:val="both"/>
        <w:rPr>
          <w:rStyle w:val="10"/>
          <w:b/>
        </w:rPr>
      </w:pPr>
      <w:bookmarkStart w:id="3" w:name="_Toc453754712"/>
      <w:r w:rsidRPr="00C86780">
        <w:rPr>
          <w:rStyle w:val="10"/>
          <w:b/>
        </w:rPr>
        <w:t xml:space="preserve">Вопрос 3. Анализ кредитоспособности </w:t>
      </w:r>
      <w:r w:rsidR="00AD5BF3" w:rsidRPr="00C86780">
        <w:rPr>
          <w:rStyle w:val="10"/>
          <w:b/>
        </w:rPr>
        <w:t>заемщика – юридического лица</w:t>
      </w:r>
      <w:bookmarkEnd w:id="3"/>
      <w:r w:rsidR="00AD5BF3" w:rsidRPr="00AD5BF3">
        <w:rPr>
          <w:rFonts w:ascii="Times New Roman" w:hAnsi="Times New Roman" w:cs="Times New Roman"/>
          <w:b/>
          <w:sz w:val="28"/>
          <w:szCs w:val="28"/>
        </w:rPr>
        <w:t xml:space="preserve"> </w:t>
      </w:r>
      <w:r w:rsidR="00AD5BF3" w:rsidRPr="00C86780">
        <w:rPr>
          <w:rStyle w:val="10"/>
          <w:b/>
        </w:rPr>
        <w:t>Сбербанком России</w:t>
      </w:r>
      <w:r w:rsidRPr="00C86780">
        <w:rPr>
          <w:rStyle w:val="10"/>
          <w:b/>
        </w:rPr>
        <w:t>.</w:t>
      </w:r>
    </w:p>
    <w:p w:rsidR="003B02FE" w:rsidRDefault="003B02FE" w:rsidP="003B02FE">
      <w:pPr>
        <w:spacing w:line="360" w:lineRule="auto"/>
        <w:ind w:firstLine="851"/>
        <w:jc w:val="both"/>
        <w:rPr>
          <w:rFonts w:ascii="Times New Roman" w:hAnsi="Times New Roman" w:cs="Times New Roman"/>
          <w:b/>
          <w:sz w:val="28"/>
          <w:szCs w:val="28"/>
        </w:rPr>
      </w:pPr>
      <w:r w:rsidRPr="003B02FE">
        <w:rPr>
          <w:rFonts w:ascii="Times New Roman" w:hAnsi="Times New Roman" w:cs="Times New Roman"/>
          <w:b/>
          <w:sz w:val="28"/>
          <w:szCs w:val="28"/>
        </w:rPr>
        <w:t>Ответ:</w:t>
      </w:r>
    </w:p>
    <w:p w:rsidR="00AD5BF3" w:rsidRPr="00AD5BF3" w:rsidRDefault="00AD5BF3" w:rsidP="00AD5BF3">
      <w:pPr>
        <w:spacing w:line="360" w:lineRule="auto"/>
        <w:ind w:firstLine="851"/>
        <w:jc w:val="both"/>
        <w:rPr>
          <w:rFonts w:ascii="Times New Roman" w:hAnsi="Times New Roman" w:cs="Times New Roman"/>
          <w:sz w:val="28"/>
          <w:szCs w:val="28"/>
        </w:rPr>
      </w:pPr>
      <w:r w:rsidRPr="00AD5BF3">
        <w:rPr>
          <w:rFonts w:ascii="Times New Roman" w:hAnsi="Times New Roman" w:cs="Times New Roman"/>
          <w:sz w:val="28"/>
          <w:szCs w:val="28"/>
        </w:rPr>
        <w:t>В большинстве случаев российские банки на практике применяют методы оценки кредитоспособности на основе совокупности финансовых коэффициентов, характеризующих финансовое состояние заемщика. Главной проблемой при этом является разработка нормативных значений для сравнения, так как существует разброс значений, вызванный отраслевой спецификой хозяйствующих субъектов, а приводимые в экономической литературе приемлемые нормативные уровни финансовых показателей рассчитаны без учета этого. Из-за отсутствия единой нормативной базы в отраслевом разрезе объективная оценка финансового состояния заемщика невозможна, так как нет сравнительных среднеотраслевых, минимально допустимых и наилучших для данной отрасли показателей.</w:t>
      </w:r>
    </w:p>
    <w:p w:rsidR="00AD5BF3" w:rsidRPr="00AD5BF3" w:rsidRDefault="00AD5BF3" w:rsidP="00AD5BF3">
      <w:pPr>
        <w:spacing w:line="360" w:lineRule="auto"/>
        <w:ind w:firstLine="851"/>
        <w:jc w:val="both"/>
        <w:rPr>
          <w:rFonts w:ascii="Times New Roman" w:hAnsi="Times New Roman" w:cs="Times New Roman"/>
          <w:sz w:val="28"/>
          <w:szCs w:val="28"/>
        </w:rPr>
      </w:pPr>
      <w:r w:rsidRPr="00AD5BF3">
        <w:rPr>
          <w:rFonts w:ascii="Times New Roman" w:hAnsi="Times New Roman" w:cs="Times New Roman"/>
          <w:sz w:val="28"/>
          <w:szCs w:val="28"/>
        </w:rPr>
        <w:t>В современных условиях коммерческие банки разрабатывают и используют собственные методики оценки кредитоспособности заемщиков с учетом интересов банка.</w:t>
      </w:r>
    </w:p>
    <w:p w:rsidR="00AD5BF3" w:rsidRPr="00AD5BF3" w:rsidRDefault="00AD5BF3" w:rsidP="00AD5BF3">
      <w:pPr>
        <w:spacing w:line="360" w:lineRule="auto"/>
        <w:ind w:firstLine="851"/>
        <w:jc w:val="both"/>
        <w:rPr>
          <w:rFonts w:ascii="Times New Roman" w:hAnsi="Times New Roman" w:cs="Times New Roman"/>
          <w:sz w:val="28"/>
          <w:szCs w:val="28"/>
        </w:rPr>
      </w:pPr>
      <w:r w:rsidRPr="00AD5BF3">
        <w:rPr>
          <w:rFonts w:ascii="Times New Roman" w:hAnsi="Times New Roman" w:cs="Times New Roman"/>
          <w:sz w:val="28"/>
          <w:szCs w:val="28"/>
        </w:rPr>
        <w:t>Сбербанк России разработал и применяет методику определения кредитоспособности заемщика на основе количественной оценки, финансового состояния и качественного анализа рисков. Методика разработана на основе приложения к Регламенту предоставления кредитов юридическим лицам Сбербанком России для определения финансового состояния и степени кредитоспособности Заемщика.</w:t>
      </w:r>
    </w:p>
    <w:p w:rsidR="00AD5BF3" w:rsidRPr="00AD5BF3" w:rsidRDefault="00AD5BF3" w:rsidP="00AD5BF3">
      <w:pPr>
        <w:spacing w:line="360" w:lineRule="auto"/>
        <w:ind w:firstLine="851"/>
        <w:jc w:val="both"/>
        <w:rPr>
          <w:rFonts w:ascii="Times New Roman" w:hAnsi="Times New Roman" w:cs="Times New Roman"/>
          <w:sz w:val="28"/>
          <w:szCs w:val="28"/>
        </w:rPr>
      </w:pPr>
      <w:r w:rsidRPr="00AD5BF3">
        <w:rPr>
          <w:rFonts w:ascii="Times New Roman" w:hAnsi="Times New Roman" w:cs="Times New Roman"/>
          <w:sz w:val="28"/>
          <w:szCs w:val="28"/>
        </w:rPr>
        <w:lastRenderedPageBreak/>
        <w:t xml:space="preserve">Финансовое состояние заемщика оценивается с учетом тенденций в изменении финансового состояния и факторов, влияющих на такие изменения. С этой целью анализируются динамика оценочных показателей, структура статей баланса, качество активов, основные направления финансово-хозяйственной политики заемщика. При расчете показателей (коэффициентов) применяется принцип осторожности, т.е. пересчет статей актива баланса в сторону уменьшения на основе экспертной оценки. Для оценки финансового состояния заемщика используются три группы оценочных показателей: коэффициенты ликвидности (К1, К2, К3); коэффициент соотношения собственных и заемных средств (К4); показатель оборачиваемости и рентабельности (К5). Согласно </w:t>
      </w:r>
      <w:proofErr w:type="gramStart"/>
      <w:r w:rsidRPr="00AD5BF3">
        <w:rPr>
          <w:rFonts w:ascii="Times New Roman" w:hAnsi="Times New Roman" w:cs="Times New Roman"/>
          <w:sz w:val="28"/>
          <w:szCs w:val="28"/>
        </w:rPr>
        <w:t>Регламенту Сбербанка России</w:t>
      </w:r>
      <w:proofErr w:type="gramEnd"/>
      <w:r w:rsidRPr="00AD5BF3">
        <w:rPr>
          <w:rFonts w:ascii="Times New Roman" w:hAnsi="Times New Roman" w:cs="Times New Roman"/>
          <w:sz w:val="28"/>
          <w:szCs w:val="28"/>
        </w:rPr>
        <w:t xml:space="preserve"> основными оценочными показателями являются коэффициенты (К1, К2, К3, К4, К5), а остальные показатели (оборачиваемости и рентабельности) необходимы для общей характеристики и рассматриваются как дополнительные к первым пяти коэффициентам. По результатам анализа пяти коэффициентов заемщику присваивается категория по каждому из этих показателей на базе сравнения полученных значений с установленными (достаточными). Далее определяется сумма баллов по этим показателям в соответствии с их весами. Разбивка показателей на категории в зависимости от их фактических значений представлен</w:t>
      </w:r>
      <w:r>
        <w:rPr>
          <w:rFonts w:ascii="Times New Roman" w:hAnsi="Times New Roman" w:cs="Times New Roman"/>
          <w:sz w:val="28"/>
          <w:szCs w:val="28"/>
        </w:rPr>
        <w:t>а в табл. 2</w:t>
      </w:r>
      <w:r w:rsidRPr="00AD5BF3">
        <w:rPr>
          <w:rFonts w:ascii="Times New Roman" w:hAnsi="Times New Roman" w:cs="Times New Roman"/>
          <w:sz w:val="28"/>
          <w:szCs w:val="28"/>
        </w:rPr>
        <w:t>.</w:t>
      </w:r>
    </w:p>
    <w:p w:rsidR="00AD5BF3" w:rsidRPr="00AD5BF3" w:rsidRDefault="00AD5BF3" w:rsidP="00AD5BF3">
      <w:pPr>
        <w:spacing w:line="360" w:lineRule="auto"/>
        <w:ind w:firstLine="851"/>
        <w:jc w:val="both"/>
        <w:rPr>
          <w:rFonts w:ascii="Times New Roman" w:hAnsi="Times New Roman" w:cs="Times New Roman"/>
          <w:sz w:val="28"/>
          <w:szCs w:val="28"/>
        </w:rPr>
      </w:pPr>
      <w:r w:rsidRPr="00AD5BF3">
        <w:rPr>
          <w:rFonts w:ascii="Times New Roman" w:hAnsi="Times New Roman" w:cs="Times New Roman"/>
          <w:sz w:val="28"/>
          <w:szCs w:val="28"/>
        </w:rPr>
        <w:t xml:space="preserve">Таблица </w:t>
      </w:r>
      <w:r>
        <w:rPr>
          <w:rFonts w:ascii="Times New Roman" w:hAnsi="Times New Roman" w:cs="Times New Roman"/>
          <w:sz w:val="28"/>
          <w:szCs w:val="28"/>
        </w:rPr>
        <w:t>2</w:t>
      </w:r>
      <w:r w:rsidRPr="00AD5BF3">
        <w:rPr>
          <w:rFonts w:ascii="Times New Roman" w:hAnsi="Times New Roman" w:cs="Times New Roman"/>
          <w:sz w:val="28"/>
          <w:szCs w:val="28"/>
        </w:rPr>
        <w:t>. Категории показателей оценки кредитоспособности заемщика в соответствии с методикой Сбербанка России</w:t>
      </w:r>
    </w:p>
    <w:p w:rsidR="003B02FE" w:rsidRDefault="00AD5BF3" w:rsidP="003B02FE">
      <w:pPr>
        <w:spacing w:line="360" w:lineRule="auto"/>
        <w:ind w:firstLine="851"/>
        <w:jc w:val="both"/>
        <w:rPr>
          <w:rFonts w:ascii="Times New Roman" w:hAnsi="Times New Roman" w:cs="Times New Roman"/>
          <w:sz w:val="28"/>
          <w:szCs w:val="28"/>
        </w:rPr>
      </w:pPr>
      <w:r>
        <w:rPr>
          <w:noProof/>
          <w:lang w:eastAsia="ru-RU"/>
        </w:rPr>
        <w:drawing>
          <wp:inline distT="0" distB="0" distL="0" distR="0" wp14:anchorId="2CC9112F" wp14:editId="09D78CC9">
            <wp:extent cx="5522998" cy="2362200"/>
            <wp:effectExtent l="0" t="0" r="190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0927" t="47347" r="30576" b="15761"/>
                    <a:stretch/>
                  </pic:blipFill>
                  <pic:spPr bwMode="auto">
                    <a:xfrm>
                      <a:off x="0" y="0"/>
                      <a:ext cx="5546247" cy="2372144"/>
                    </a:xfrm>
                    <a:prstGeom prst="rect">
                      <a:avLst/>
                    </a:prstGeom>
                    <a:ln>
                      <a:noFill/>
                    </a:ln>
                    <a:extLst>
                      <a:ext uri="{53640926-AAD7-44D8-BBD7-CCE9431645EC}">
                        <a14:shadowObscured xmlns:a14="http://schemas.microsoft.com/office/drawing/2010/main"/>
                      </a:ext>
                    </a:extLst>
                  </pic:spPr>
                </pic:pic>
              </a:graphicData>
            </a:graphic>
          </wp:inline>
        </w:drawing>
      </w:r>
    </w:p>
    <w:p w:rsidR="00AD5BF3" w:rsidRPr="00AD5BF3" w:rsidRDefault="00AD5BF3" w:rsidP="00AD5BF3">
      <w:pPr>
        <w:spacing w:line="360" w:lineRule="auto"/>
        <w:ind w:firstLine="851"/>
        <w:jc w:val="both"/>
        <w:rPr>
          <w:rFonts w:ascii="Times New Roman" w:hAnsi="Times New Roman" w:cs="Times New Roman"/>
          <w:sz w:val="28"/>
          <w:szCs w:val="28"/>
        </w:rPr>
      </w:pPr>
      <w:r w:rsidRPr="00AD5BF3">
        <w:rPr>
          <w:rFonts w:ascii="Times New Roman" w:hAnsi="Times New Roman" w:cs="Times New Roman"/>
          <w:sz w:val="28"/>
          <w:szCs w:val="28"/>
        </w:rPr>
        <w:lastRenderedPageBreak/>
        <w:t>Следующий шаг – расчет общей суммы баллов (S) с учетом коэффициентов значимости каждого показателя, имеющих следующие значения: К1 = 0,11, К2 = 0,05, К3 = 0,42, К4 = 0,21, К5 = 0,21. Значение S наряду с другими факторами используется для определения рейтинга заемщика.</w:t>
      </w:r>
    </w:p>
    <w:p w:rsidR="00AD5BF3" w:rsidRPr="00AD5BF3" w:rsidRDefault="00AD5BF3" w:rsidP="00AD5BF3">
      <w:pPr>
        <w:spacing w:line="360" w:lineRule="auto"/>
        <w:ind w:firstLine="851"/>
        <w:jc w:val="both"/>
        <w:rPr>
          <w:rFonts w:ascii="Times New Roman" w:hAnsi="Times New Roman" w:cs="Times New Roman"/>
          <w:sz w:val="28"/>
          <w:szCs w:val="28"/>
        </w:rPr>
      </w:pPr>
      <w:r w:rsidRPr="00AD5BF3">
        <w:rPr>
          <w:rFonts w:ascii="Times New Roman" w:hAnsi="Times New Roman" w:cs="Times New Roman"/>
          <w:sz w:val="28"/>
          <w:szCs w:val="28"/>
        </w:rPr>
        <w:t>Для остальных показателей третьей группы (оборачиваемость и рентабельность) не устанавливаются оптимальные или критические значения ввиду большой зависимости этих значений от специфики хозяйствующего субъекта, его отраслевой принадлежности и других конкретных условий. Осуществляется сравнительный анализ этих показателей и оценивается их динамика.</w:t>
      </w:r>
    </w:p>
    <w:p w:rsidR="00AD5BF3" w:rsidRPr="00AD5BF3" w:rsidRDefault="00AD5BF3" w:rsidP="00AD5BF3">
      <w:pPr>
        <w:spacing w:line="360" w:lineRule="auto"/>
        <w:ind w:firstLine="851"/>
        <w:jc w:val="both"/>
        <w:rPr>
          <w:rFonts w:ascii="Times New Roman" w:hAnsi="Times New Roman" w:cs="Times New Roman"/>
          <w:sz w:val="28"/>
          <w:szCs w:val="28"/>
        </w:rPr>
      </w:pPr>
      <w:r w:rsidRPr="00AD5BF3">
        <w:rPr>
          <w:rFonts w:ascii="Times New Roman" w:hAnsi="Times New Roman" w:cs="Times New Roman"/>
          <w:sz w:val="28"/>
          <w:szCs w:val="28"/>
        </w:rPr>
        <w:t>Качественный анализ базируется на использовании информации, которая не может быть выражена в количественных показателях. Для проведения такого анализа применяются сведения, представленные заемщиком, подразделением безопасности, и информация базы данных. На этом этапе оцениваются риски отраслевые, акционерные, регулирования деятельности хозяйствующего субъекта, производственные и управленческие.</w:t>
      </w:r>
    </w:p>
    <w:p w:rsidR="00AD5BF3" w:rsidRDefault="00AD5BF3" w:rsidP="00AD5BF3">
      <w:pPr>
        <w:spacing w:line="360" w:lineRule="auto"/>
        <w:ind w:firstLine="851"/>
        <w:jc w:val="both"/>
        <w:rPr>
          <w:rFonts w:ascii="Times New Roman" w:hAnsi="Times New Roman" w:cs="Times New Roman"/>
          <w:sz w:val="28"/>
          <w:szCs w:val="28"/>
        </w:rPr>
      </w:pPr>
      <w:r w:rsidRPr="00AD5BF3">
        <w:rPr>
          <w:rFonts w:ascii="Times New Roman" w:hAnsi="Times New Roman" w:cs="Times New Roman"/>
          <w:sz w:val="28"/>
          <w:szCs w:val="28"/>
        </w:rPr>
        <w:t xml:space="preserve">Заключительным этапом оценки кредитоспособности является определение рейтинга заемщика, или класса. Устанавливаются три класса заемщиков: первоклассные, кредитование которых не вызывает сомнений; второклассные — кредитование требует взвешенного подхода; третьеклассные — кредитование связано с повышенным риском. Рейтинг определяется на основе суммы баллов по пяти основным показателям, оценки остальных показателей третьей группы и качественного анализа рисков. Сумма баллов (S) влияет на рейтинг заемщика следующим образом: S = 1 или 1,05 — заемщик может быть отнесен к первому классу кредитоспособности; 1,05 </w:t>
      </w:r>
      <w:proofErr w:type="gramStart"/>
      <w:r w:rsidRPr="00AD5BF3">
        <w:rPr>
          <w:rFonts w:ascii="Times New Roman" w:hAnsi="Times New Roman" w:cs="Times New Roman"/>
          <w:sz w:val="28"/>
          <w:szCs w:val="28"/>
        </w:rPr>
        <w:t>&lt; S</w:t>
      </w:r>
      <w:proofErr w:type="gramEnd"/>
      <w:r w:rsidRPr="00AD5BF3">
        <w:rPr>
          <w:rFonts w:ascii="Times New Roman" w:hAnsi="Times New Roman" w:cs="Times New Roman"/>
          <w:sz w:val="28"/>
          <w:szCs w:val="28"/>
        </w:rPr>
        <w:t xml:space="preserve"> &lt; 2,42 соответствует второму классу; S ≥ 2,42 соответствует третьему классу. Далее, определенный таким образом предварительный рейтинг корректируется с учетом других показателей третьей группы и качественной оценки заемщика.</w:t>
      </w:r>
    </w:p>
    <w:p w:rsidR="005A3EC9" w:rsidRDefault="005A3EC9" w:rsidP="00AD5BF3">
      <w:pPr>
        <w:spacing w:line="360" w:lineRule="auto"/>
        <w:ind w:firstLine="851"/>
        <w:jc w:val="both"/>
        <w:rPr>
          <w:rFonts w:ascii="Times New Roman" w:hAnsi="Times New Roman" w:cs="Times New Roman"/>
          <w:sz w:val="28"/>
          <w:szCs w:val="28"/>
        </w:rPr>
      </w:pPr>
    </w:p>
    <w:p w:rsidR="005A3EC9" w:rsidRPr="00C86780" w:rsidRDefault="005A3EC9" w:rsidP="00C86780">
      <w:pPr>
        <w:pStyle w:val="1"/>
        <w:rPr>
          <w:b/>
        </w:rPr>
      </w:pPr>
      <w:bookmarkStart w:id="4" w:name="_Toc453754713"/>
      <w:r w:rsidRPr="00C86780">
        <w:rPr>
          <w:b/>
        </w:rPr>
        <w:t>Список литературы</w:t>
      </w:r>
      <w:bookmarkEnd w:id="4"/>
    </w:p>
    <w:p w:rsidR="005A3EC9" w:rsidRDefault="005A3EC9" w:rsidP="005A3EC9">
      <w:pPr>
        <w:pStyle w:val="a4"/>
        <w:numPr>
          <w:ilvl w:val="0"/>
          <w:numId w:val="4"/>
        </w:numPr>
        <w:spacing w:line="360" w:lineRule="auto"/>
        <w:jc w:val="both"/>
        <w:rPr>
          <w:rFonts w:ascii="Times New Roman" w:hAnsi="Times New Roman" w:cs="Times New Roman"/>
          <w:sz w:val="28"/>
          <w:szCs w:val="28"/>
        </w:rPr>
      </w:pPr>
      <w:r w:rsidRPr="005A3EC9">
        <w:rPr>
          <w:rFonts w:ascii="Times New Roman" w:hAnsi="Times New Roman" w:cs="Times New Roman"/>
          <w:sz w:val="28"/>
          <w:szCs w:val="28"/>
        </w:rPr>
        <w:t xml:space="preserve">Банковское дело / под ред. О.И. Лаврушина; 8-е изд., стер. - М.: </w:t>
      </w:r>
      <w:proofErr w:type="spellStart"/>
      <w:r w:rsidRPr="005A3EC9">
        <w:rPr>
          <w:rFonts w:ascii="Times New Roman" w:hAnsi="Times New Roman" w:cs="Times New Roman"/>
          <w:sz w:val="28"/>
          <w:szCs w:val="28"/>
        </w:rPr>
        <w:t>Кнорус</w:t>
      </w:r>
      <w:proofErr w:type="spellEnd"/>
      <w:r w:rsidRPr="005A3EC9">
        <w:rPr>
          <w:rFonts w:ascii="Times New Roman" w:hAnsi="Times New Roman" w:cs="Times New Roman"/>
          <w:sz w:val="28"/>
          <w:szCs w:val="28"/>
        </w:rPr>
        <w:t>, 2009.</w:t>
      </w:r>
      <w:r>
        <w:rPr>
          <w:rFonts w:ascii="Times New Roman" w:hAnsi="Times New Roman" w:cs="Times New Roman"/>
          <w:sz w:val="28"/>
          <w:szCs w:val="28"/>
        </w:rPr>
        <w:t xml:space="preserve"> стр.768;</w:t>
      </w:r>
    </w:p>
    <w:p w:rsidR="005A3EC9" w:rsidRDefault="005A3EC9" w:rsidP="005A3EC9">
      <w:pPr>
        <w:pStyle w:val="a4"/>
        <w:numPr>
          <w:ilvl w:val="0"/>
          <w:numId w:val="4"/>
        </w:numPr>
        <w:spacing w:line="360" w:lineRule="auto"/>
        <w:jc w:val="both"/>
        <w:rPr>
          <w:rFonts w:ascii="Times New Roman" w:hAnsi="Times New Roman" w:cs="Times New Roman"/>
          <w:sz w:val="28"/>
          <w:szCs w:val="28"/>
        </w:rPr>
      </w:pPr>
      <w:r w:rsidRPr="005A3EC9">
        <w:rPr>
          <w:rFonts w:ascii="Times New Roman" w:hAnsi="Times New Roman" w:cs="Times New Roman"/>
          <w:sz w:val="28"/>
          <w:szCs w:val="28"/>
        </w:rPr>
        <w:t xml:space="preserve">Банковское дело. Учебник для академического </w:t>
      </w:r>
      <w:proofErr w:type="spellStart"/>
      <w:r w:rsidRPr="005A3EC9">
        <w:rPr>
          <w:rFonts w:ascii="Times New Roman" w:hAnsi="Times New Roman" w:cs="Times New Roman"/>
          <w:sz w:val="28"/>
          <w:szCs w:val="28"/>
        </w:rPr>
        <w:t>бакалавриата</w:t>
      </w:r>
      <w:proofErr w:type="spellEnd"/>
      <w:r w:rsidRPr="005A3EC9">
        <w:rPr>
          <w:rFonts w:ascii="Times New Roman" w:hAnsi="Times New Roman" w:cs="Times New Roman"/>
          <w:sz w:val="28"/>
          <w:szCs w:val="28"/>
        </w:rPr>
        <w:t>. Костерина Т.М. 2015. н/у стр. 697</w:t>
      </w:r>
      <w:r>
        <w:rPr>
          <w:rFonts w:ascii="Times New Roman" w:hAnsi="Times New Roman" w:cs="Times New Roman"/>
          <w:sz w:val="28"/>
          <w:szCs w:val="28"/>
        </w:rPr>
        <w:t>;</w:t>
      </w:r>
    </w:p>
    <w:p w:rsidR="005A3EC9" w:rsidRPr="005A3EC9" w:rsidRDefault="005A3EC9" w:rsidP="005A3EC9">
      <w:pPr>
        <w:pStyle w:val="a4"/>
        <w:numPr>
          <w:ilvl w:val="0"/>
          <w:numId w:val="4"/>
        </w:numPr>
        <w:spacing w:line="360" w:lineRule="auto"/>
        <w:jc w:val="both"/>
        <w:rPr>
          <w:rFonts w:ascii="Times New Roman" w:hAnsi="Times New Roman" w:cs="Times New Roman"/>
          <w:sz w:val="28"/>
          <w:szCs w:val="28"/>
        </w:rPr>
      </w:pPr>
      <w:proofErr w:type="spellStart"/>
      <w:r w:rsidRPr="005A3EC9">
        <w:rPr>
          <w:rFonts w:ascii="Times New Roman" w:hAnsi="Times New Roman" w:cs="Times New Roman"/>
          <w:sz w:val="28"/>
          <w:szCs w:val="28"/>
        </w:rPr>
        <w:t>Гамза</w:t>
      </w:r>
      <w:proofErr w:type="spellEnd"/>
      <w:r w:rsidRPr="005A3EC9">
        <w:rPr>
          <w:rFonts w:ascii="Times New Roman" w:hAnsi="Times New Roman" w:cs="Times New Roman"/>
          <w:sz w:val="28"/>
          <w:szCs w:val="28"/>
        </w:rPr>
        <w:t xml:space="preserve"> В. А., Ткачук И. Б., </w:t>
      </w:r>
      <w:proofErr w:type="spellStart"/>
      <w:r w:rsidRPr="005A3EC9">
        <w:rPr>
          <w:rFonts w:ascii="Times New Roman" w:hAnsi="Times New Roman" w:cs="Times New Roman"/>
          <w:sz w:val="28"/>
          <w:szCs w:val="28"/>
        </w:rPr>
        <w:t>Жилкин</w:t>
      </w:r>
      <w:proofErr w:type="spellEnd"/>
      <w:r w:rsidRPr="005A3EC9">
        <w:rPr>
          <w:rFonts w:ascii="Times New Roman" w:hAnsi="Times New Roman" w:cs="Times New Roman"/>
          <w:sz w:val="28"/>
          <w:szCs w:val="28"/>
        </w:rPr>
        <w:t xml:space="preserve"> И. М. Безопасность банковской деятельности. Учебник; </w:t>
      </w:r>
      <w:proofErr w:type="spellStart"/>
      <w:r w:rsidRPr="005A3EC9">
        <w:rPr>
          <w:rFonts w:ascii="Times New Roman" w:hAnsi="Times New Roman" w:cs="Times New Roman"/>
          <w:sz w:val="28"/>
          <w:szCs w:val="28"/>
        </w:rPr>
        <w:t>Юрайт</w:t>
      </w:r>
      <w:proofErr w:type="spellEnd"/>
      <w:r w:rsidRPr="005A3EC9">
        <w:rPr>
          <w:rFonts w:ascii="Times New Roman" w:hAnsi="Times New Roman" w:cs="Times New Roman"/>
          <w:sz w:val="28"/>
          <w:szCs w:val="28"/>
        </w:rPr>
        <w:t xml:space="preserve"> - М., 2014. - 528 c.</w:t>
      </w:r>
    </w:p>
    <w:p w:rsidR="005A3EC9" w:rsidRPr="005A3EC9" w:rsidRDefault="005A3EC9" w:rsidP="005A3EC9">
      <w:pPr>
        <w:pStyle w:val="a4"/>
        <w:numPr>
          <w:ilvl w:val="0"/>
          <w:numId w:val="4"/>
        </w:numPr>
        <w:spacing w:line="360" w:lineRule="auto"/>
        <w:jc w:val="both"/>
        <w:rPr>
          <w:rFonts w:ascii="Times New Roman" w:hAnsi="Times New Roman" w:cs="Times New Roman"/>
          <w:sz w:val="28"/>
          <w:szCs w:val="28"/>
        </w:rPr>
      </w:pPr>
      <w:r w:rsidRPr="005A3EC9">
        <w:rPr>
          <w:rFonts w:ascii="Times New Roman" w:hAnsi="Times New Roman" w:cs="Times New Roman"/>
          <w:sz w:val="28"/>
          <w:szCs w:val="28"/>
        </w:rPr>
        <w:t>www.nn-kredit.ru</w:t>
      </w:r>
    </w:p>
    <w:p w:rsidR="005A3EC9" w:rsidRDefault="00483B14" w:rsidP="005A3EC9">
      <w:pPr>
        <w:pStyle w:val="a4"/>
        <w:numPr>
          <w:ilvl w:val="0"/>
          <w:numId w:val="4"/>
        </w:numPr>
        <w:spacing w:line="360" w:lineRule="auto"/>
        <w:jc w:val="both"/>
        <w:rPr>
          <w:rFonts w:ascii="Times New Roman" w:hAnsi="Times New Roman" w:cs="Times New Roman"/>
          <w:sz w:val="28"/>
          <w:szCs w:val="28"/>
        </w:rPr>
      </w:pPr>
      <w:hyperlink r:id="rId12" w:history="1">
        <w:r w:rsidR="005A3EC9" w:rsidRPr="00A10B42">
          <w:rPr>
            <w:rStyle w:val="a5"/>
            <w:rFonts w:ascii="Times New Roman" w:hAnsi="Times New Roman" w:cs="Times New Roman"/>
            <w:sz w:val="28"/>
            <w:szCs w:val="28"/>
          </w:rPr>
          <w:t>www.bankir.ru</w:t>
        </w:r>
      </w:hyperlink>
    </w:p>
    <w:p w:rsidR="005A3EC9" w:rsidRDefault="005A3EC9">
      <w:pPr>
        <w:rPr>
          <w:rFonts w:ascii="Times New Roman" w:hAnsi="Times New Roman" w:cs="Times New Roman"/>
          <w:sz w:val="28"/>
          <w:szCs w:val="28"/>
        </w:rPr>
      </w:pPr>
      <w:r>
        <w:rPr>
          <w:rFonts w:ascii="Times New Roman" w:hAnsi="Times New Roman" w:cs="Times New Roman"/>
          <w:sz w:val="28"/>
          <w:szCs w:val="28"/>
        </w:rPr>
        <w:br w:type="page"/>
      </w:r>
    </w:p>
    <w:p w:rsidR="005A3EC9" w:rsidRPr="00C86780" w:rsidRDefault="005A3EC9" w:rsidP="00C86780">
      <w:pPr>
        <w:pStyle w:val="1"/>
        <w:rPr>
          <w:rFonts w:eastAsia="Times New Roman"/>
          <w:b/>
          <w:lang w:eastAsia="ru-RU"/>
        </w:rPr>
      </w:pPr>
      <w:bookmarkStart w:id="5" w:name="_Toc453754714"/>
      <w:r w:rsidRPr="00C86780">
        <w:rPr>
          <w:rFonts w:eastAsia="Times New Roman"/>
          <w:b/>
          <w:lang w:eastAsia="ru-RU"/>
        </w:rPr>
        <w:lastRenderedPageBreak/>
        <w:t>Приложение 1. Формулы расчета коэффициентов и их нормативы</w:t>
      </w:r>
      <w:bookmarkEnd w:id="5"/>
    </w:p>
    <w:tbl>
      <w:tblPr>
        <w:tblW w:w="10005" w:type="dxa"/>
        <w:tblCellSpacing w:w="22" w:type="dxa"/>
        <w:tblBorders>
          <w:top w:val="outset" w:sz="6" w:space="0" w:color="C0C0C0"/>
          <w:left w:val="outset" w:sz="6" w:space="0" w:color="C0C0C0"/>
          <w:bottom w:val="outset" w:sz="6" w:space="0" w:color="C0C0C0"/>
          <w:right w:val="outset" w:sz="6" w:space="0" w:color="C0C0C0"/>
        </w:tblBorders>
        <w:shd w:val="clear" w:color="auto" w:fill="FFFFFF"/>
        <w:tblCellMar>
          <w:left w:w="0" w:type="dxa"/>
          <w:right w:w="0" w:type="dxa"/>
        </w:tblCellMar>
        <w:tblLook w:val="04A0" w:firstRow="1" w:lastRow="0" w:firstColumn="1" w:lastColumn="0" w:noHBand="0" w:noVBand="1"/>
      </w:tblPr>
      <w:tblGrid>
        <w:gridCol w:w="671"/>
        <w:gridCol w:w="111"/>
        <w:gridCol w:w="2192"/>
        <w:gridCol w:w="2732"/>
        <w:gridCol w:w="2429"/>
        <w:gridCol w:w="326"/>
        <w:gridCol w:w="1544"/>
      </w:tblGrid>
      <w:tr w:rsidR="005A3EC9" w:rsidRPr="005A3EC9" w:rsidTr="005A3EC9">
        <w:trPr>
          <w:tblCellSpacing w:w="22" w:type="dxa"/>
        </w:trPr>
        <w:tc>
          <w:tcPr>
            <w:tcW w:w="78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b/>
                <w:bCs/>
                <w:sz w:val="24"/>
                <w:szCs w:val="24"/>
                <w:lang w:eastAsia="ru-RU"/>
              </w:rPr>
              <w:t>№</w:t>
            </w:r>
          </w:p>
        </w:tc>
        <w:tc>
          <w:tcPr>
            <w:tcW w:w="198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b/>
                <w:bCs/>
                <w:sz w:val="24"/>
                <w:szCs w:val="24"/>
                <w:lang w:eastAsia="ru-RU"/>
              </w:rPr>
              <w:t>Коэффициент</w:t>
            </w:r>
          </w:p>
        </w:tc>
        <w:tc>
          <w:tcPr>
            <w:tcW w:w="277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b/>
                <w:bCs/>
                <w:sz w:val="24"/>
                <w:szCs w:val="24"/>
                <w:lang w:eastAsia="ru-RU"/>
              </w:rPr>
              <w:t>Формула</w:t>
            </w:r>
          </w:p>
        </w:tc>
        <w:tc>
          <w:tcPr>
            <w:tcW w:w="282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b/>
                <w:bCs/>
                <w:sz w:val="24"/>
                <w:szCs w:val="24"/>
                <w:lang w:eastAsia="ru-RU"/>
              </w:rPr>
              <w:t>Содержание</w:t>
            </w:r>
          </w:p>
        </w:tc>
        <w:tc>
          <w:tcPr>
            <w:tcW w:w="135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b/>
                <w:bCs/>
                <w:sz w:val="24"/>
                <w:szCs w:val="24"/>
                <w:lang w:eastAsia="ru-RU"/>
              </w:rPr>
              <w:t>Норматив</w:t>
            </w:r>
          </w:p>
        </w:tc>
      </w:tr>
      <w:tr w:rsidR="005A3EC9" w:rsidRPr="005A3EC9" w:rsidTr="005A3EC9">
        <w:trPr>
          <w:tblCellSpacing w:w="22" w:type="dxa"/>
        </w:trPr>
        <w:tc>
          <w:tcPr>
            <w:tcW w:w="9885" w:type="dxa"/>
            <w:gridSpan w:val="7"/>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b/>
                <w:bCs/>
                <w:sz w:val="24"/>
                <w:szCs w:val="24"/>
                <w:lang w:eastAsia="ru-RU"/>
              </w:rPr>
              <w:t>Основные показатели финансовой деятельности предприятия</w:t>
            </w:r>
          </w:p>
        </w:tc>
      </w:tr>
      <w:tr w:rsidR="005A3EC9" w:rsidRPr="005A3EC9" w:rsidTr="005A3EC9">
        <w:trPr>
          <w:tblCellSpacing w:w="22" w:type="dxa"/>
        </w:trPr>
        <w:tc>
          <w:tcPr>
            <w:tcW w:w="64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1.1.</w:t>
            </w:r>
          </w:p>
        </w:tc>
        <w:tc>
          <w:tcPr>
            <w:tcW w:w="211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Коэффициент абсолютной ликвидности</w:t>
            </w:r>
          </w:p>
        </w:tc>
        <w:tc>
          <w:tcPr>
            <w:tcW w:w="277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0"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Активы быстрореализуемые</w:t>
            </w:r>
          </w:p>
          <w:p w:rsidR="005A3EC9" w:rsidRPr="005A3EC9" w:rsidRDefault="005A3EC9" w:rsidP="005A3EC9">
            <w:pPr>
              <w:spacing w:before="278" w:after="278"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u w:val="single"/>
                <w:lang w:eastAsia="ru-RU"/>
              </w:rPr>
              <w:t>(стр. 260+250)</w:t>
            </w:r>
          </w:p>
          <w:p w:rsidR="005A3EC9" w:rsidRPr="005A3EC9" w:rsidRDefault="005A3EC9" w:rsidP="005A3EC9">
            <w:pPr>
              <w:spacing w:before="278" w:after="278"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Краткосрочные пассивы</w:t>
            </w:r>
          </w:p>
          <w:p w:rsidR="005A3EC9" w:rsidRPr="005A3EC9" w:rsidRDefault="005A3EC9" w:rsidP="005A3EC9">
            <w:pPr>
              <w:spacing w:before="278" w:after="278"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(обязательства)</w:t>
            </w:r>
          </w:p>
          <w:p w:rsidR="005A3EC9" w:rsidRPr="005A3EC9" w:rsidRDefault="005A3EC9" w:rsidP="005A3EC9">
            <w:pPr>
              <w:spacing w:before="278"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u w:val="single"/>
                <w:lang w:eastAsia="ru-RU"/>
              </w:rPr>
              <w:t>(стр. 690-(640+650)</w:t>
            </w:r>
          </w:p>
        </w:tc>
        <w:tc>
          <w:tcPr>
            <w:tcW w:w="282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Наличность + легко реализуемые ЦБ. Характеризует возможность немедленного погашения краткосрочной задолженности</w:t>
            </w:r>
          </w:p>
        </w:tc>
        <w:tc>
          <w:tcPr>
            <w:tcW w:w="135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≥0,2</w:t>
            </w:r>
          </w:p>
        </w:tc>
      </w:tr>
      <w:tr w:rsidR="005A3EC9" w:rsidRPr="005A3EC9" w:rsidTr="005A3EC9">
        <w:trPr>
          <w:tblCellSpacing w:w="22" w:type="dxa"/>
        </w:trPr>
        <w:tc>
          <w:tcPr>
            <w:tcW w:w="64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1.2.</w:t>
            </w:r>
          </w:p>
        </w:tc>
        <w:tc>
          <w:tcPr>
            <w:tcW w:w="211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Коэффициент промежуточного покрытия</w:t>
            </w:r>
          </w:p>
        </w:tc>
        <w:tc>
          <w:tcPr>
            <w:tcW w:w="277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0"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 xml:space="preserve">Активы б/р + </w:t>
            </w:r>
            <w:proofErr w:type="spellStart"/>
            <w:r w:rsidRPr="005A3EC9">
              <w:rPr>
                <w:rFonts w:ascii="Georgia" w:eastAsia="Times New Roman" w:hAnsi="Georgia" w:cs="Times New Roman"/>
                <w:sz w:val="24"/>
                <w:szCs w:val="24"/>
                <w:lang w:eastAsia="ru-RU"/>
              </w:rPr>
              <w:t>деб</w:t>
            </w:r>
            <w:proofErr w:type="spellEnd"/>
            <w:r w:rsidRPr="005A3EC9">
              <w:rPr>
                <w:rFonts w:ascii="Georgia" w:eastAsia="Times New Roman" w:hAnsi="Georgia" w:cs="Times New Roman"/>
                <w:sz w:val="24"/>
                <w:szCs w:val="24"/>
                <w:lang w:eastAsia="ru-RU"/>
              </w:rPr>
              <w:t>. задолженность</w:t>
            </w:r>
          </w:p>
          <w:p w:rsidR="005A3EC9" w:rsidRPr="005A3EC9" w:rsidRDefault="005A3EC9" w:rsidP="005A3EC9">
            <w:pPr>
              <w:spacing w:before="278" w:after="278"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u w:val="single"/>
                <w:lang w:eastAsia="ru-RU"/>
              </w:rPr>
              <w:t>(стр. 260+250+240)</w:t>
            </w:r>
          </w:p>
          <w:p w:rsidR="005A3EC9" w:rsidRPr="005A3EC9" w:rsidRDefault="005A3EC9" w:rsidP="005A3EC9">
            <w:pPr>
              <w:spacing w:before="278" w:after="278"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Краткосрочные пассивы</w:t>
            </w:r>
          </w:p>
          <w:p w:rsidR="005A3EC9" w:rsidRPr="005A3EC9" w:rsidRDefault="005A3EC9" w:rsidP="005A3EC9">
            <w:pPr>
              <w:spacing w:before="278"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(обязательства)</w:t>
            </w:r>
          </w:p>
        </w:tc>
        <w:tc>
          <w:tcPr>
            <w:tcW w:w="282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Срочная возможность возвратить краткосрочные долги</w:t>
            </w:r>
          </w:p>
        </w:tc>
        <w:tc>
          <w:tcPr>
            <w:tcW w:w="135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278"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0,8-1,0</w:t>
            </w:r>
          </w:p>
          <w:p w:rsidR="005A3EC9" w:rsidRPr="005A3EC9" w:rsidRDefault="005A3EC9" w:rsidP="005A3EC9">
            <w:pPr>
              <w:spacing w:before="278"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и &gt;1,0</w:t>
            </w:r>
          </w:p>
        </w:tc>
      </w:tr>
      <w:tr w:rsidR="005A3EC9" w:rsidRPr="005A3EC9" w:rsidTr="005A3EC9">
        <w:trPr>
          <w:tblCellSpacing w:w="22" w:type="dxa"/>
        </w:trPr>
        <w:tc>
          <w:tcPr>
            <w:tcW w:w="64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1.3.</w:t>
            </w:r>
          </w:p>
        </w:tc>
        <w:tc>
          <w:tcPr>
            <w:tcW w:w="211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Коэффициент покрытия (текущей ликвидности)</w:t>
            </w:r>
          </w:p>
        </w:tc>
        <w:tc>
          <w:tcPr>
            <w:tcW w:w="277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0"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Оборотные активы (Р. IIА)</w:t>
            </w:r>
          </w:p>
          <w:p w:rsidR="005A3EC9" w:rsidRPr="005A3EC9" w:rsidRDefault="005A3EC9" w:rsidP="005A3EC9">
            <w:pPr>
              <w:spacing w:before="278" w:after="278"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u w:val="single"/>
                <w:lang w:eastAsia="ru-RU"/>
              </w:rPr>
              <w:t>(стр. 290)</w:t>
            </w:r>
          </w:p>
          <w:p w:rsidR="005A3EC9" w:rsidRPr="005A3EC9" w:rsidRDefault="005A3EC9" w:rsidP="005A3EC9">
            <w:pPr>
              <w:spacing w:before="278"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Краткосрочные пассивы</w:t>
            </w:r>
          </w:p>
        </w:tc>
        <w:tc>
          <w:tcPr>
            <w:tcW w:w="282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Общий критерий оценки ликвидности отражает связь между текущими активами и пассивами. Долгосрочность оборотных средств для погашения краткосрочных обязательств</w:t>
            </w:r>
          </w:p>
        </w:tc>
        <w:tc>
          <w:tcPr>
            <w:tcW w:w="135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278" w:line="240" w:lineRule="auto"/>
              <w:jc w:val="center"/>
              <w:rPr>
                <w:rFonts w:ascii="Georgia" w:eastAsia="Times New Roman" w:hAnsi="Georgia" w:cs="Times New Roman"/>
                <w:sz w:val="24"/>
                <w:szCs w:val="24"/>
                <w:lang w:eastAsia="ru-RU"/>
              </w:rPr>
            </w:pPr>
            <w:proofErr w:type="spellStart"/>
            <w:r w:rsidRPr="005A3EC9">
              <w:rPr>
                <w:rFonts w:ascii="Georgia" w:eastAsia="Times New Roman" w:hAnsi="Georgia" w:cs="Times New Roman"/>
                <w:sz w:val="24"/>
                <w:szCs w:val="24"/>
                <w:lang w:eastAsia="ru-RU"/>
              </w:rPr>
              <w:t>min</w:t>
            </w:r>
            <w:proofErr w:type="spellEnd"/>
            <w:r w:rsidRPr="005A3EC9">
              <w:rPr>
                <w:rFonts w:ascii="Georgia" w:eastAsia="Times New Roman" w:hAnsi="Georgia" w:cs="Times New Roman"/>
                <w:sz w:val="24"/>
                <w:szCs w:val="24"/>
                <w:lang w:eastAsia="ru-RU"/>
              </w:rPr>
              <w:t>=1</w:t>
            </w:r>
          </w:p>
          <w:p w:rsidR="005A3EC9" w:rsidRPr="005A3EC9" w:rsidRDefault="005A3EC9" w:rsidP="005A3EC9">
            <w:pPr>
              <w:spacing w:before="278" w:after="278"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норма 1,7-2,5</w:t>
            </w:r>
          </w:p>
          <w:p w:rsidR="005A3EC9" w:rsidRPr="005A3EC9" w:rsidRDefault="005A3EC9" w:rsidP="005A3EC9">
            <w:pPr>
              <w:spacing w:before="278" w:after="278"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Критерий</w:t>
            </w:r>
          </w:p>
          <w:p w:rsidR="005A3EC9" w:rsidRPr="005A3EC9" w:rsidRDefault="005A3EC9" w:rsidP="005A3EC9">
            <w:pPr>
              <w:spacing w:before="278" w:after="278" w:line="240" w:lineRule="auto"/>
              <w:jc w:val="center"/>
              <w:rPr>
                <w:rFonts w:ascii="Georgia" w:eastAsia="Times New Roman" w:hAnsi="Georgia" w:cs="Times New Roman"/>
                <w:sz w:val="24"/>
                <w:szCs w:val="24"/>
                <w:lang w:eastAsia="ru-RU"/>
              </w:rPr>
            </w:pPr>
            <w:proofErr w:type="spellStart"/>
            <w:proofErr w:type="gramStart"/>
            <w:r w:rsidRPr="005A3EC9">
              <w:rPr>
                <w:rFonts w:ascii="Georgia" w:eastAsia="Times New Roman" w:hAnsi="Georgia" w:cs="Times New Roman"/>
                <w:sz w:val="24"/>
                <w:szCs w:val="24"/>
                <w:lang w:eastAsia="ru-RU"/>
              </w:rPr>
              <w:t>неудовлет-ворительной</w:t>
            </w:r>
            <w:proofErr w:type="spellEnd"/>
            <w:proofErr w:type="gramEnd"/>
          </w:p>
          <w:p w:rsidR="005A3EC9" w:rsidRPr="005A3EC9" w:rsidRDefault="005A3EC9" w:rsidP="005A3EC9">
            <w:pPr>
              <w:spacing w:before="278"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структуры баланса &lt;2</w:t>
            </w:r>
          </w:p>
        </w:tc>
      </w:tr>
      <w:tr w:rsidR="005A3EC9" w:rsidRPr="005A3EC9" w:rsidTr="005A3EC9">
        <w:trPr>
          <w:tblCellSpacing w:w="22" w:type="dxa"/>
        </w:trPr>
        <w:tc>
          <w:tcPr>
            <w:tcW w:w="64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1.4.</w:t>
            </w:r>
          </w:p>
        </w:tc>
        <w:tc>
          <w:tcPr>
            <w:tcW w:w="211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Чистый оборотный капитал</w:t>
            </w:r>
          </w:p>
        </w:tc>
        <w:tc>
          <w:tcPr>
            <w:tcW w:w="277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Оборотные активы – краткосрочные обязательства</w:t>
            </w:r>
          </w:p>
        </w:tc>
        <w:tc>
          <w:tcPr>
            <w:tcW w:w="282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Показатель финансовой устойчивости и возможностей развития в будущем. Величина, остающаяся после погашения всех краткосрочных обязательств</w:t>
            </w:r>
          </w:p>
        </w:tc>
        <w:tc>
          <w:tcPr>
            <w:tcW w:w="135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&gt; 0</w:t>
            </w:r>
          </w:p>
        </w:tc>
      </w:tr>
      <w:tr w:rsidR="005A3EC9" w:rsidRPr="005A3EC9" w:rsidTr="005A3EC9">
        <w:trPr>
          <w:tblCellSpacing w:w="22" w:type="dxa"/>
        </w:trPr>
        <w:tc>
          <w:tcPr>
            <w:tcW w:w="64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1.5.</w:t>
            </w:r>
          </w:p>
        </w:tc>
        <w:tc>
          <w:tcPr>
            <w:tcW w:w="211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Коэффициент обеспеченности собственными средствами</w:t>
            </w:r>
          </w:p>
        </w:tc>
        <w:tc>
          <w:tcPr>
            <w:tcW w:w="277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0"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 xml:space="preserve">Собственный капитал – </w:t>
            </w:r>
            <w:proofErr w:type="spellStart"/>
            <w:r w:rsidRPr="005A3EC9">
              <w:rPr>
                <w:rFonts w:ascii="Georgia" w:eastAsia="Times New Roman" w:hAnsi="Georgia" w:cs="Times New Roman"/>
                <w:sz w:val="24"/>
                <w:szCs w:val="24"/>
                <w:lang w:eastAsia="ru-RU"/>
              </w:rPr>
              <w:t>внеоборотные</w:t>
            </w:r>
            <w:r w:rsidRPr="005A3EC9">
              <w:rPr>
                <w:rFonts w:ascii="Georgia" w:eastAsia="Times New Roman" w:hAnsi="Georgia" w:cs="Times New Roman"/>
                <w:sz w:val="24"/>
                <w:szCs w:val="24"/>
                <w:u w:val="single"/>
                <w:lang w:eastAsia="ru-RU"/>
              </w:rPr>
              <w:t>Активы</w:t>
            </w:r>
            <w:proofErr w:type="spellEnd"/>
            <w:r w:rsidRPr="005A3EC9">
              <w:rPr>
                <w:rFonts w:ascii="Georgia" w:eastAsia="Times New Roman" w:hAnsi="Georgia" w:cs="Times New Roman"/>
                <w:sz w:val="24"/>
                <w:szCs w:val="24"/>
                <w:u w:val="single"/>
                <w:lang w:eastAsia="ru-RU"/>
              </w:rPr>
              <w:t xml:space="preserve"> (III P.П – IР.А)</w:t>
            </w:r>
          </w:p>
          <w:p w:rsidR="005A3EC9" w:rsidRPr="005A3EC9" w:rsidRDefault="005A3EC9" w:rsidP="005A3EC9">
            <w:pPr>
              <w:spacing w:before="278"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Оборотные активы</w:t>
            </w:r>
          </w:p>
        </w:tc>
        <w:tc>
          <w:tcPr>
            <w:tcW w:w="282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Доля собственных оборотных средств</w:t>
            </w:r>
          </w:p>
        </w:tc>
        <w:tc>
          <w:tcPr>
            <w:tcW w:w="135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&gt; 0,1</w:t>
            </w:r>
          </w:p>
        </w:tc>
      </w:tr>
      <w:tr w:rsidR="005A3EC9" w:rsidRPr="005A3EC9" w:rsidTr="005A3EC9">
        <w:trPr>
          <w:tblCellSpacing w:w="22" w:type="dxa"/>
        </w:trPr>
        <w:tc>
          <w:tcPr>
            <w:tcW w:w="9885" w:type="dxa"/>
            <w:gridSpan w:val="7"/>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278"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b/>
                <w:bCs/>
                <w:sz w:val="24"/>
                <w:szCs w:val="24"/>
                <w:lang w:eastAsia="ru-RU"/>
              </w:rPr>
              <w:lastRenderedPageBreak/>
              <w:t>2. Показатели платежеспособности (финансовой устойчивости).</w:t>
            </w:r>
          </w:p>
          <w:p w:rsidR="005A3EC9" w:rsidRPr="005A3EC9" w:rsidRDefault="005A3EC9" w:rsidP="005A3EC9">
            <w:pPr>
              <w:spacing w:before="278"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b/>
                <w:bCs/>
                <w:sz w:val="24"/>
                <w:szCs w:val="24"/>
                <w:lang w:eastAsia="ru-RU"/>
              </w:rPr>
              <w:t>Отражают способность предприятия погашать долгосрочную задолженность</w:t>
            </w:r>
          </w:p>
        </w:tc>
      </w:tr>
      <w:tr w:rsidR="005A3EC9" w:rsidRPr="005A3EC9" w:rsidTr="005A3EC9">
        <w:trPr>
          <w:tblCellSpacing w:w="22" w:type="dxa"/>
        </w:trPr>
        <w:tc>
          <w:tcPr>
            <w:tcW w:w="78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2.1.</w:t>
            </w:r>
          </w:p>
        </w:tc>
        <w:tc>
          <w:tcPr>
            <w:tcW w:w="198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Коэффициент общего покрытия</w:t>
            </w:r>
          </w:p>
        </w:tc>
        <w:tc>
          <w:tcPr>
            <w:tcW w:w="277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0"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u w:val="single"/>
                <w:lang w:eastAsia="ru-RU"/>
              </w:rPr>
              <w:t>Оборотные активы</w:t>
            </w:r>
          </w:p>
          <w:p w:rsidR="005A3EC9" w:rsidRPr="005A3EC9" w:rsidRDefault="005A3EC9" w:rsidP="005A3EC9">
            <w:pPr>
              <w:spacing w:before="278"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Итог баланса (стр. 699)</w:t>
            </w:r>
          </w:p>
        </w:tc>
        <w:tc>
          <w:tcPr>
            <w:tcW w:w="282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Показывает, какая часть пассива может быть покрыта при продаже активов по балансовой стоимости. Возможность удовлетворения всех обязательств без уменьшения собственного капитала</w:t>
            </w:r>
          </w:p>
        </w:tc>
        <w:tc>
          <w:tcPr>
            <w:tcW w:w="135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0,5</w:t>
            </w:r>
          </w:p>
        </w:tc>
      </w:tr>
      <w:tr w:rsidR="005A3EC9" w:rsidRPr="005A3EC9" w:rsidTr="005A3EC9">
        <w:trPr>
          <w:tblCellSpacing w:w="22" w:type="dxa"/>
        </w:trPr>
        <w:tc>
          <w:tcPr>
            <w:tcW w:w="78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2.2.</w:t>
            </w:r>
          </w:p>
        </w:tc>
        <w:tc>
          <w:tcPr>
            <w:tcW w:w="198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Коэффициент финансовой независимости</w:t>
            </w:r>
          </w:p>
        </w:tc>
        <w:tc>
          <w:tcPr>
            <w:tcW w:w="277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0"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Собственный капитал</w:t>
            </w:r>
          </w:p>
          <w:p w:rsidR="005A3EC9" w:rsidRPr="005A3EC9" w:rsidRDefault="005A3EC9" w:rsidP="005A3EC9">
            <w:pPr>
              <w:spacing w:before="278" w:after="278"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u w:val="single"/>
                <w:lang w:eastAsia="ru-RU"/>
              </w:rPr>
              <w:t>СК – убытки (стр. 490 Р. III – (стр. 465+475 Р III).</w:t>
            </w:r>
          </w:p>
          <w:p w:rsidR="005A3EC9" w:rsidRPr="005A3EC9" w:rsidRDefault="005A3EC9" w:rsidP="005A3EC9">
            <w:pPr>
              <w:spacing w:before="278" w:after="278"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Итог баланса – убытки</w:t>
            </w:r>
          </w:p>
          <w:p w:rsidR="005A3EC9" w:rsidRPr="005A3EC9" w:rsidRDefault="005A3EC9" w:rsidP="005A3EC9">
            <w:pPr>
              <w:spacing w:before="278"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(стр. 699 – 390)</w:t>
            </w:r>
          </w:p>
        </w:tc>
        <w:tc>
          <w:tcPr>
            <w:tcW w:w="282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Показатель доли собственных средств в балансе отражает степень финансового риска</w:t>
            </w:r>
          </w:p>
        </w:tc>
        <w:tc>
          <w:tcPr>
            <w:tcW w:w="135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0,5</w:t>
            </w:r>
          </w:p>
        </w:tc>
      </w:tr>
      <w:tr w:rsidR="005A3EC9" w:rsidRPr="005A3EC9" w:rsidTr="005A3EC9">
        <w:trPr>
          <w:tblCellSpacing w:w="22" w:type="dxa"/>
        </w:trPr>
        <w:tc>
          <w:tcPr>
            <w:tcW w:w="78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2.3.</w:t>
            </w:r>
          </w:p>
        </w:tc>
        <w:tc>
          <w:tcPr>
            <w:tcW w:w="198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Коэффициент финансовой зависимости</w:t>
            </w:r>
          </w:p>
        </w:tc>
        <w:tc>
          <w:tcPr>
            <w:tcW w:w="277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0"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u w:val="single"/>
                <w:lang w:eastAsia="ru-RU"/>
              </w:rPr>
              <w:t>Заемный капитал</w:t>
            </w:r>
          </w:p>
          <w:p w:rsidR="005A3EC9" w:rsidRPr="005A3EC9" w:rsidRDefault="005A3EC9" w:rsidP="005A3EC9">
            <w:pPr>
              <w:spacing w:before="278"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Итог баланса (стр. 699)</w:t>
            </w:r>
          </w:p>
        </w:tc>
        <w:tc>
          <w:tcPr>
            <w:tcW w:w="282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0"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Чем выше коэффициент, тем больше риск банкротства компании. Отражает возможность возникновения</w:t>
            </w:r>
          </w:p>
          <w:p w:rsidR="005A3EC9" w:rsidRPr="005A3EC9" w:rsidRDefault="005A3EC9" w:rsidP="005A3EC9">
            <w:pPr>
              <w:spacing w:before="278"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дефицита денежных средств</w:t>
            </w:r>
          </w:p>
        </w:tc>
        <w:tc>
          <w:tcPr>
            <w:tcW w:w="135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≤1</w:t>
            </w:r>
          </w:p>
        </w:tc>
      </w:tr>
      <w:tr w:rsidR="005A3EC9" w:rsidRPr="005A3EC9" w:rsidTr="005A3EC9">
        <w:trPr>
          <w:tblCellSpacing w:w="22" w:type="dxa"/>
        </w:trPr>
        <w:tc>
          <w:tcPr>
            <w:tcW w:w="78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2.4</w:t>
            </w:r>
          </w:p>
        </w:tc>
        <w:tc>
          <w:tcPr>
            <w:tcW w:w="198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Финансовый рычаг (</w:t>
            </w:r>
            <w:proofErr w:type="spellStart"/>
            <w:r w:rsidRPr="005A3EC9">
              <w:rPr>
                <w:rFonts w:ascii="Georgia" w:eastAsia="Times New Roman" w:hAnsi="Georgia" w:cs="Times New Roman"/>
                <w:sz w:val="24"/>
                <w:szCs w:val="24"/>
                <w:lang w:eastAsia="ru-RU"/>
              </w:rPr>
              <w:t>leverage</w:t>
            </w:r>
            <w:proofErr w:type="spellEnd"/>
            <w:r w:rsidRPr="005A3EC9">
              <w:rPr>
                <w:rFonts w:ascii="Georgia" w:eastAsia="Times New Roman" w:hAnsi="Georgia" w:cs="Times New Roman"/>
                <w:sz w:val="24"/>
                <w:szCs w:val="24"/>
                <w:lang w:eastAsia="ru-RU"/>
              </w:rPr>
              <w:t>) – Коэффициент привлечения</w:t>
            </w:r>
          </w:p>
        </w:tc>
        <w:tc>
          <w:tcPr>
            <w:tcW w:w="277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0"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u w:val="single"/>
                <w:lang w:eastAsia="ru-RU"/>
              </w:rPr>
              <w:t>Заемные средства (ЗК)</w:t>
            </w:r>
          </w:p>
          <w:p w:rsidR="005A3EC9" w:rsidRPr="005A3EC9" w:rsidRDefault="005A3EC9" w:rsidP="005A3EC9">
            <w:pPr>
              <w:spacing w:before="278"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Собственные средства</w:t>
            </w:r>
          </w:p>
        </w:tc>
        <w:tc>
          <w:tcPr>
            <w:tcW w:w="282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Показатель, позволяющий определить финансовую устойчивость</w:t>
            </w:r>
          </w:p>
        </w:tc>
        <w:tc>
          <w:tcPr>
            <w:tcW w:w="135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1</w:t>
            </w:r>
          </w:p>
        </w:tc>
      </w:tr>
      <w:tr w:rsidR="005A3EC9" w:rsidRPr="005A3EC9" w:rsidTr="005A3EC9">
        <w:trPr>
          <w:tblCellSpacing w:w="22" w:type="dxa"/>
        </w:trPr>
        <w:tc>
          <w:tcPr>
            <w:tcW w:w="9885" w:type="dxa"/>
            <w:gridSpan w:val="7"/>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b/>
                <w:bCs/>
                <w:sz w:val="24"/>
                <w:szCs w:val="24"/>
                <w:lang w:eastAsia="ru-RU"/>
              </w:rPr>
              <w:t>3. Коэффициенты деловой активности</w:t>
            </w:r>
          </w:p>
        </w:tc>
      </w:tr>
      <w:tr w:rsidR="005A3EC9" w:rsidRPr="005A3EC9" w:rsidTr="005A3EC9">
        <w:trPr>
          <w:tblCellSpacing w:w="22" w:type="dxa"/>
        </w:trPr>
        <w:tc>
          <w:tcPr>
            <w:tcW w:w="78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3.1.</w:t>
            </w:r>
          </w:p>
        </w:tc>
        <w:tc>
          <w:tcPr>
            <w:tcW w:w="198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Коэффициент оборачиваемости оборотных средств</w:t>
            </w:r>
          </w:p>
        </w:tc>
        <w:tc>
          <w:tcPr>
            <w:tcW w:w="277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В (выручка) / капитал оборотный – средний остаток оборотных средств</w:t>
            </w:r>
          </w:p>
        </w:tc>
        <w:tc>
          <w:tcPr>
            <w:tcW w:w="246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after="0" w:line="240" w:lineRule="auto"/>
              <w:rPr>
                <w:rFonts w:ascii="Georgia" w:eastAsia="Times New Roman" w:hAnsi="Georgia" w:cs="Times New Roman"/>
                <w:sz w:val="24"/>
                <w:szCs w:val="24"/>
                <w:lang w:eastAsia="ru-RU"/>
              </w:rPr>
            </w:pPr>
          </w:p>
        </w:tc>
        <w:tc>
          <w:tcPr>
            <w:tcW w:w="169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after="0" w:line="240" w:lineRule="auto"/>
              <w:rPr>
                <w:rFonts w:ascii="Times New Roman" w:eastAsia="Times New Roman" w:hAnsi="Times New Roman" w:cs="Times New Roman"/>
                <w:sz w:val="20"/>
                <w:szCs w:val="20"/>
                <w:lang w:eastAsia="ru-RU"/>
              </w:rPr>
            </w:pPr>
          </w:p>
        </w:tc>
      </w:tr>
      <w:tr w:rsidR="005A3EC9" w:rsidRPr="005A3EC9" w:rsidTr="005A3EC9">
        <w:trPr>
          <w:tblCellSpacing w:w="22" w:type="dxa"/>
        </w:trPr>
        <w:tc>
          <w:tcPr>
            <w:tcW w:w="78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3.2</w:t>
            </w:r>
          </w:p>
        </w:tc>
        <w:tc>
          <w:tcPr>
            <w:tcW w:w="198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Коэффициент оборачиваемости дебиторской задолженности</w:t>
            </w:r>
          </w:p>
        </w:tc>
        <w:tc>
          <w:tcPr>
            <w:tcW w:w="277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0"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u w:val="single"/>
                <w:lang w:eastAsia="ru-RU"/>
              </w:rPr>
              <w:t>Выручка от реализации</w:t>
            </w:r>
          </w:p>
          <w:p w:rsidR="005A3EC9" w:rsidRPr="005A3EC9" w:rsidRDefault="005A3EC9" w:rsidP="005A3EC9">
            <w:pPr>
              <w:spacing w:before="278"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Средняя за период дебиторская задолженность</w:t>
            </w:r>
          </w:p>
        </w:tc>
        <w:tc>
          <w:tcPr>
            <w:tcW w:w="246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0"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 xml:space="preserve">Рост этого коэффициента означает сокращение продаж в кредит, снижение – наоборот. Снижение </w:t>
            </w:r>
            <w:r w:rsidRPr="005A3EC9">
              <w:rPr>
                <w:rFonts w:ascii="Georgia" w:eastAsia="Times New Roman" w:hAnsi="Georgia" w:cs="Times New Roman"/>
                <w:sz w:val="24"/>
                <w:szCs w:val="24"/>
                <w:lang w:eastAsia="ru-RU"/>
              </w:rPr>
              <w:lastRenderedPageBreak/>
              <w:t>показателя – угроза ликвидности.</w:t>
            </w:r>
          </w:p>
          <w:p w:rsidR="005A3EC9" w:rsidRPr="005A3EC9" w:rsidRDefault="005A3EC9" w:rsidP="005A3EC9">
            <w:pPr>
              <w:spacing w:before="278"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Сравнить с коэффициентом оборачиваемости кредиторской задолженности</w:t>
            </w:r>
          </w:p>
        </w:tc>
        <w:tc>
          <w:tcPr>
            <w:tcW w:w="169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proofErr w:type="gramStart"/>
            <w:r w:rsidRPr="005A3EC9">
              <w:rPr>
                <w:rFonts w:ascii="Georgia" w:eastAsia="Times New Roman" w:hAnsi="Georgia" w:cs="Times New Roman"/>
                <w:sz w:val="24"/>
                <w:szCs w:val="24"/>
                <w:lang w:eastAsia="ru-RU"/>
              </w:rPr>
              <w:lastRenderedPageBreak/>
              <w:t>Средне-отраслевой</w:t>
            </w:r>
            <w:proofErr w:type="gramEnd"/>
            <w:r w:rsidRPr="005A3EC9">
              <w:rPr>
                <w:rFonts w:ascii="Georgia" w:eastAsia="Times New Roman" w:hAnsi="Georgia" w:cs="Times New Roman"/>
                <w:sz w:val="24"/>
                <w:szCs w:val="24"/>
                <w:lang w:eastAsia="ru-RU"/>
              </w:rPr>
              <w:t xml:space="preserve"> коэффициент</w:t>
            </w:r>
          </w:p>
        </w:tc>
      </w:tr>
      <w:tr w:rsidR="005A3EC9" w:rsidRPr="005A3EC9" w:rsidTr="005A3EC9">
        <w:trPr>
          <w:tblCellSpacing w:w="22" w:type="dxa"/>
        </w:trPr>
        <w:tc>
          <w:tcPr>
            <w:tcW w:w="78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3.3.</w:t>
            </w:r>
          </w:p>
        </w:tc>
        <w:tc>
          <w:tcPr>
            <w:tcW w:w="198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Коэффициент оборачиваемости дебиторской задолженности</w:t>
            </w:r>
          </w:p>
        </w:tc>
        <w:tc>
          <w:tcPr>
            <w:tcW w:w="277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0"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u w:val="single"/>
                <w:lang w:eastAsia="ru-RU"/>
              </w:rPr>
              <w:t>365</w:t>
            </w:r>
          </w:p>
          <w:p w:rsidR="005A3EC9" w:rsidRPr="005A3EC9" w:rsidRDefault="005A3EC9" w:rsidP="005A3EC9">
            <w:pPr>
              <w:spacing w:before="278"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Средний срок оборота кредиторской задолженности (период погашения ДЗ)</w:t>
            </w:r>
          </w:p>
        </w:tc>
        <w:tc>
          <w:tcPr>
            <w:tcW w:w="246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Чем больше период задолженности, тем выше риск погашения. Следует установить долю сомнительной ДЗ в структуре задолженности</w:t>
            </w:r>
          </w:p>
        </w:tc>
        <w:tc>
          <w:tcPr>
            <w:tcW w:w="169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after="0" w:line="240" w:lineRule="auto"/>
              <w:rPr>
                <w:rFonts w:ascii="Georgia" w:eastAsia="Times New Roman" w:hAnsi="Georgia" w:cs="Times New Roman"/>
                <w:sz w:val="24"/>
                <w:szCs w:val="24"/>
                <w:lang w:eastAsia="ru-RU"/>
              </w:rPr>
            </w:pPr>
          </w:p>
        </w:tc>
      </w:tr>
      <w:tr w:rsidR="005A3EC9" w:rsidRPr="005A3EC9" w:rsidTr="005A3EC9">
        <w:trPr>
          <w:tblCellSpacing w:w="22" w:type="dxa"/>
        </w:trPr>
        <w:tc>
          <w:tcPr>
            <w:tcW w:w="78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3.4.</w:t>
            </w:r>
          </w:p>
        </w:tc>
        <w:tc>
          <w:tcPr>
            <w:tcW w:w="198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Коэффициент соотношения дебиторской и кредиторской задолженности</w:t>
            </w:r>
          </w:p>
        </w:tc>
        <w:tc>
          <w:tcPr>
            <w:tcW w:w="277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0"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Дебиторская задолженность</w:t>
            </w:r>
          </w:p>
          <w:p w:rsidR="005A3EC9" w:rsidRPr="005A3EC9" w:rsidRDefault="005A3EC9" w:rsidP="005A3EC9">
            <w:pPr>
              <w:spacing w:before="278" w:after="278"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u w:val="single"/>
                <w:lang w:eastAsia="ru-RU"/>
              </w:rPr>
              <w:t>(Стр. 220+230)</w:t>
            </w:r>
          </w:p>
          <w:p w:rsidR="005A3EC9" w:rsidRPr="005A3EC9" w:rsidRDefault="005A3EC9" w:rsidP="005A3EC9">
            <w:pPr>
              <w:spacing w:before="278" w:after="278"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Кредиторская задолженность</w:t>
            </w:r>
          </w:p>
          <w:p w:rsidR="005A3EC9" w:rsidRPr="005A3EC9" w:rsidRDefault="005A3EC9" w:rsidP="005A3EC9">
            <w:pPr>
              <w:spacing w:before="278"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(Стр. 620)</w:t>
            </w:r>
          </w:p>
        </w:tc>
        <w:tc>
          <w:tcPr>
            <w:tcW w:w="246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На практике небольшой перевес кредиторской задолженности в настоящее время предпочтительнее</w:t>
            </w:r>
          </w:p>
        </w:tc>
        <w:tc>
          <w:tcPr>
            <w:tcW w:w="169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Теоретически на практике целесообразно небольшое превышение задолженности</w:t>
            </w:r>
          </w:p>
        </w:tc>
      </w:tr>
      <w:tr w:rsidR="005A3EC9" w:rsidRPr="005A3EC9" w:rsidTr="005A3EC9">
        <w:trPr>
          <w:tblCellSpacing w:w="22" w:type="dxa"/>
        </w:trPr>
        <w:tc>
          <w:tcPr>
            <w:tcW w:w="78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3.5.</w:t>
            </w:r>
          </w:p>
        </w:tc>
        <w:tc>
          <w:tcPr>
            <w:tcW w:w="198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Коэффициент оборачиваемости материально-производственных запасов</w:t>
            </w:r>
          </w:p>
        </w:tc>
        <w:tc>
          <w:tcPr>
            <w:tcW w:w="277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0"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u w:val="single"/>
                <w:lang w:eastAsia="ru-RU"/>
              </w:rPr>
              <w:t>365</w:t>
            </w:r>
          </w:p>
          <w:p w:rsidR="005A3EC9" w:rsidRPr="005A3EC9" w:rsidRDefault="005A3EC9" w:rsidP="005A3EC9">
            <w:pPr>
              <w:spacing w:before="278" w:after="278"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Себестоимость реализации продукции/ среднегодовая стоимость МПЗ</w:t>
            </w:r>
          </w:p>
          <w:p w:rsidR="005A3EC9" w:rsidRPr="005A3EC9" w:rsidRDefault="005A3EC9" w:rsidP="005A3EC9">
            <w:pPr>
              <w:spacing w:before="278" w:after="278"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По данным учета затрат на производство /</w:t>
            </w:r>
          </w:p>
          <w:p w:rsidR="005A3EC9" w:rsidRPr="005A3EC9" w:rsidRDefault="005A3EC9" w:rsidP="005A3EC9">
            <w:pPr>
              <w:spacing w:before="278"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 xml:space="preserve">[( стр. 210 </w:t>
            </w:r>
            <w:proofErr w:type="spellStart"/>
            <w:r w:rsidRPr="005A3EC9">
              <w:rPr>
                <w:rFonts w:ascii="Georgia" w:eastAsia="Times New Roman" w:hAnsi="Georgia" w:cs="Times New Roman"/>
                <w:sz w:val="24"/>
                <w:szCs w:val="24"/>
                <w:lang w:eastAsia="ru-RU"/>
              </w:rPr>
              <w:t>н.б</w:t>
            </w:r>
            <w:proofErr w:type="spellEnd"/>
            <w:r w:rsidRPr="005A3EC9">
              <w:rPr>
                <w:rFonts w:ascii="Georgia" w:eastAsia="Times New Roman" w:hAnsi="Georgia" w:cs="Times New Roman"/>
                <w:sz w:val="24"/>
                <w:szCs w:val="24"/>
                <w:lang w:eastAsia="ru-RU"/>
              </w:rPr>
              <w:t xml:space="preserve">. + стр. 210 </w:t>
            </w:r>
            <w:proofErr w:type="spellStart"/>
            <w:r w:rsidRPr="005A3EC9">
              <w:rPr>
                <w:rFonts w:ascii="Georgia" w:eastAsia="Times New Roman" w:hAnsi="Georgia" w:cs="Times New Roman"/>
                <w:sz w:val="24"/>
                <w:szCs w:val="24"/>
                <w:lang w:eastAsia="ru-RU"/>
              </w:rPr>
              <w:t>к.б</w:t>
            </w:r>
            <w:proofErr w:type="spellEnd"/>
            <w:r w:rsidRPr="005A3EC9">
              <w:rPr>
                <w:rFonts w:ascii="Georgia" w:eastAsia="Times New Roman" w:hAnsi="Georgia" w:cs="Times New Roman"/>
                <w:sz w:val="24"/>
                <w:szCs w:val="24"/>
                <w:lang w:eastAsia="ru-RU"/>
              </w:rPr>
              <w:t>.):]</w:t>
            </w:r>
          </w:p>
        </w:tc>
        <w:tc>
          <w:tcPr>
            <w:tcW w:w="246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Отражает скорость реализации запасов. Наименее ликвидные статьи актива</w:t>
            </w:r>
          </w:p>
        </w:tc>
        <w:tc>
          <w:tcPr>
            <w:tcW w:w="169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after="0" w:line="240" w:lineRule="auto"/>
              <w:rPr>
                <w:rFonts w:ascii="Georgia" w:eastAsia="Times New Roman" w:hAnsi="Georgia" w:cs="Times New Roman"/>
                <w:sz w:val="24"/>
                <w:szCs w:val="24"/>
                <w:lang w:eastAsia="ru-RU"/>
              </w:rPr>
            </w:pPr>
          </w:p>
        </w:tc>
      </w:tr>
      <w:tr w:rsidR="005A3EC9" w:rsidRPr="005A3EC9" w:rsidTr="005A3EC9">
        <w:trPr>
          <w:tblCellSpacing w:w="22" w:type="dxa"/>
        </w:trPr>
        <w:tc>
          <w:tcPr>
            <w:tcW w:w="78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3.6.</w:t>
            </w:r>
          </w:p>
        </w:tc>
        <w:tc>
          <w:tcPr>
            <w:tcW w:w="198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Коэффициент оборачиваемости основных средств</w:t>
            </w:r>
          </w:p>
        </w:tc>
        <w:tc>
          <w:tcPr>
            <w:tcW w:w="277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278"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u w:val="single"/>
                <w:lang w:eastAsia="ru-RU"/>
              </w:rPr>
              <w:t>В (выручка)</w:t>
            </w:r>
          </w:p>
          <w:p w:rsidR="005A3EC9" w:rsidRPr="005A3EC9" w:rsidRDefault="005A3EC9" w:rsidP="005A3EC9">
            <w:pPr>
              <w:spacing w:before="278"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Основные средства</w:t>
            </w:r>
          </w:p>
        </w:tc>
        <w:tc>
          <w:tcPr>
            <w:tcW w:w="246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after="0" w:line="240" w:lineRule="auto"/>
              <w:rPr>
                <w:rFonts w:ascii="Georgia" w:eastAsia="Times New Roman" w:hAnsi="Georgia" w:cs="Times New Roman"/>
                <w:sz w:val="24"/>
                <w:szCs w:val="24"/>
                <w:lang w:eastAsia="ru-RU"/>
              </w:rPr>
            </w:pPr>
          </w:p>
        </w:tc>
        <w:tc>
          <w:tcPr>
            <w:tcW w:w="169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after="0" w:line="240" w:lineRule="auto"/>
              <w:rPr>
                <w:rFonts w:ascii="Times New Roman" w:eastAsia="Times New Roman" w:hAnsi="Times New Roman" w:cs="Times New Roman"/>
                <w:sz w:val="20"/>
                <w:szCs w:val="20"/>
                <w:lang w:eastAsia="ru-RU"/>
              </w:rPr>
            </w:pPr>
          </w:p>
        </w:tc>
      </w:tr>
      <w:tr w:rsidR="005A3EC9" w:rsidRPr="005A3EC9" w:rsidTr="005A3EC9">
        <w:trPr>
          <w:tblCellSpacing w:w="22" w:type="dxa"/>
        </w:trPr>
        <w:tc>
          <w:tcPr>
            <w:tcW w:w="78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3.7.</w:t>
            </w:r>
          </w:p>
        </w:tc>
        <w:tc>
          <w:tcPr>
            <w:tcW w:w="198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Коэффициент оборачиваемости собственного капитала</w:t>
            </w:r>
          </w:p>
        </w:tc>
        <w:tc>
          <w:tcPr>
            <w:tcW w:w="277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278"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u w:val="single"/>
                <w:lang w:eastAsia="ru-RU"/>
              </w:rPr>
              <w:t>В (выручка)</w:t>
            </w:r>
          </w:p>
          <w:p w:rsidR="005A3EC9" w:rsidRPr="005A3EC9" w:rsidRDefault="005A3EC9" w:rsidP="005A3EC9">
            <w:pPr>
              <w:spacing w:before="278"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СК (собственный капитал)</w:t>
            </w:r>
          </w:p>
        </w:tc>
        <w:tc>
          <w:tcPr>
            <w:tcW w:w="246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after="0" w:line="240" w:lineRule="auto"/>
              <w:rPr>
                <w:rFonts w:ascii="Georgia" w:eastAsia="Times New Roman" w:hAnsi="Georgia" w:cs="Times New Roman"/>
                <w:sz w:val="24"/>
                <w:szCs w:val="24"/>
                <w:lang w:eastAsia="ru-RU"/>
              </w:rPr>
            </w:pPr>
          </w:p>
        </w:tc>
        <w:tc>
          <w:tcPr>
            <w:tcW w:w="169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after="0" w:line="240" w:lineRule="auto"/>
              <w:rPr>
                <w:rFonts w:ascii="Times New Roman" w:eastAsia="Times New Roman" w:hAnsi="Times New Roman" w:cs="Times New Roman"/>
                <w:sz w:val="20"/>
                <w:szCs w:val="20"/>
                <w:lang w:eastAsia="ru-RU"/>
              </w:rPr>
            </w:pPr>
          </w:p>
        </w:tc>
      </w:tr>
      <w:tr w:rsidR="005A3EC9" w:rsidRPr="005A3EC9" w:rsidTr="005A3EC9">
        <w:trPr>
          <w:tblCellSpacing w:w="22" w:type="dxa"/>
        </w:trPr>
        <w:tc>
          <w:tcPr>
            <w:tcW w:w="78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3.8.</w:t>
            </w:r>
          </w:p>
        </w:tc>
        <w:tc>
          <w:tcPr>
            <w:tcW w:w="198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Коэффициент оборачиваемости активов</w:t>
            </w:r>
          </w:p>
        </w:tc>
        <w:tc>
          <w:tcPr>
            <w:tcW w:w="277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278"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u w:val="single"/>
                <w:lang w:eastAsia="ru-RU"/>
              </w:rPr>
              <w:t>В (выручка)</w:t>
            </w:r>
          </w:p>
          <w:p w:rsidR="005A3EC9" w:rsidRPr="005A3EC9" w:rsidRDefault="005A3EC9" w:rsidP="005A3EC9">
            <w:pPr>
              <w:spacing w:before="278"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А (активы)</w:t>
            </w:r>
          </w:p>
        </w:tc>
        <w:tc>
          <w:tcPr>
            <w:tcW w:w="246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after="0" w:line="240" w:lineRule="auto"/>
              <w:rPr>
                <w:rFonts w:ascii="Georgia" w:eastAsia="Times New Roman" w:hAnsi="Georgia" w:cs="Times New Roman"/>
                <w:sz w:val="24"/>
                <w:szCs w:val="24"/>
                <w:lang w:eastAsia="ru-RU"/>
              </w:rPr>
            </w:pPr>
          </w:p>
        </w:tc>
        <w:tc>
          <w:tcPr>
            <w:tcW w:w="169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after="0" w:line="240" w:lineRule="auto"/>
              <w:rPr>
                <w:rFonts w:ascii="Times New Roman" w:eastAsia="Times New Roman" w:hAnsi="Times New Roman" w:cs="Times New Roman"/>
                <w:sz w:val="20"/>
                <w:szCs w:val="20"/>
                <w:lang w:eastAsia="ru-RU"/>
              </w:rPr>
            </w:pPr>
          </w:p>
        </w:tc>
      </w:tr>
      <w:tr w:rsidR="005A3EC9" w:rsidRPr="005A3EC9" w:rsidTr="005A3EC9">
        <w:trPr>
          <w:tblCellSpacing w:w="22" w:type="dxa"/>
        </w:trPr>
        <w:tc>
          <w:tcPr>
            <w:tcW w:w="78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lastRenderedPageBreak/>
              <w:t>1</w:t>
            </w:r>
          </w:p>
        </w:tc>
        <w:tc>
          <w:tcPr>
            <w:tcW w:w="198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Добавленная стоимость (ДС)</w:t>
            </w:r>
          </w:p>
        </w:tc>
        <w:tc>
          <w:tcPr>
            <w:tcW w:w="277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after="0" w:line="240" w:lineRule="auto"/>
              <w:rPr>
                <w:rFonts w:ascii="Georgia" w:eastAsia="Times New Roman" w:hAnsi="Georgia" w:cs="Times New Roman"/>
                <w:sz w:val="24"/>
                <w:szCs w:val="24"/>
                <w:lang w:eastAsia="ru-RU"/>
              </w:rPr>
            </w:pPr>
          </w:p>
        </w:tc>
        <w:tc>
          <w:tcPr>
            <w:tcW w:w="246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after="0" w:line="240" w:lineRule="auto"/>
              <w:rPr>
                <w:rFonts w:ascii="Times New Roman" w:eastAsia="Times New Roman" w:hAnsi="Times New Roman" w:cs="Times New Roman"/>
                <w:sz w:val="20"/>
                <w:szCs w:val="20"/>
                <w:lang w:eastAsia="ru-RU"/>
              </w:rPr>
            </w:pPr>
          </w:p>
        </w:tc>
        <w:tc>
          <w:tcPr>
            <w:tcW w:w="169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after="0" w:line="240" w:lineRule="auto"/>
              <w:rPr>
                <w:rFonts w:ascii="Times New Roman" w:eastAsia="Times New Roman" w:hAnsi="Times New Roman" w:cs="Times New Roman"/>
                <w:sz w:val="20"/>
                <w:szCs w:val="20"/>
                <w:lang w:eastAsia="ru-RU"/>
              </w:rPr>
            </w:pPr>
          </w:p>
        </w:tc>
      </w:tr>
      <w:tr w:rsidR="005A3EC9" w:rsidRPr="005A3EC9" w:rsidTr="005A3EC9">
        <w:trPr>
          <w:tblCellSpacing w:w="22" w:type="dxa"/>
        </w:trPr>
        <w:tc>
          <w:tcPr>
            <w:tcW w:w="78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2</w:t>
            </w:r>
          </w:p>
        </w:tc>
        <w:tc>
          <w:tcPr>
            <w:tcW w:w="198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БРЭИ – брутто – результат эксплуатации инвестиций</w:t>
            </w:r>
          </w:p>
        </w:tc>
        <w:tc>
          <w:tcPr>
            <w:tcW w:w="277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ДС – (заработная плата + начисления)</w:t>
            </w:r>
          </w:p>
        </w:tc>
        <w:tc>
          <w:tcPr>
            <w:tcW w:w="246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Показывает достаточность средств для расчетов за кредиты, выплаты налогов и т.п.</w:t>
            </w:r>
          </w:p>
        </w:tc>
        <w:tc>
          <w:tcPr>
            <w:tcW w:w="169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after="0" w:line="240" w:lineRule="auto"/>
              <w:rPr>
                <w:rFonts w:ascii="Georgia" w:eastAsia="Times New Roman" w:hAnsi="Georgia" w:cs="Times New Roman"/>
                <w:sz w:val="24"/>
                <w:szCs w:val="24"/>
                <w:lang w:eastAsia="ru-RU"/>
              </w:rPr>
            </w:pPr>
          </w:p>
        </w:tc>
      </w:tr>
      <w:tr w:rsidR="005A3EC9" w:rsidRPr="005A3EC9" w:rsidTr="005A3EC9">
        <w:trPr>
          <w:tblCellSpacing w:w="22" w:type="dxa"/>
        </w:trPr>
        <w:tc>
          <w:tcPr>
            <w:tcW w:w="78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3</w:t>
            </w:r>
          </w:p>
        </w:tc>
        <w:tc>
          <w:tcPr>
            <w:tcW w:w="198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НРЭИ – нетто – результат эксплуатации инвестиций</w:t>
            </w:r>
          </w:p>
        </w:tc>
        <w:tc>
          <w:tcPr>
            <w:tcW w:w="277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БРЭИ – А (амортизация)</w:t>
            </w:r>
          </w:p>
        </w:tc>
        <w:tc>
          <w:tcPr>
            <w:tcW w:w="246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Прибыль до налогообложения и выплаты сверхнормативных процентов</w:t>
            </w:r>
          </w:p>
        </w:tc>
        <w:tc>
          <w:tcPr>
            <w:tcW w:w="169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after="0" w:line="240" w:lineRule="auto"/>
              <w:rPr>
                <w:rFonts w:ascii="Georgia" w:eastAsia="Times New Roman" w:hAnsi="Georgia" w:cs="Times New Roman"/>
                <w:sz w:val="24"/>
                <w:szCs w:val="24"/>
                <w:lang w:eastAsia="ru-RU"/>
              </w:rPr>
            </w:pPr>
          </w:p>
        </w:tc>
      </w:tr>
      <w:tr w:rsidR="005A3EC9" w:rsidRPr="005A3EC9" w:rsidTr="005A3EC9">
        <w:trPr>
          <w:tblCellSpacing w:w="22" w:type="dxa"/>
        </w:trPr>
        <w:tc>
          <w:tcPr>
            <w:tcW w:w="78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4</w:t>
            </w:r>
          </w:p>
        </w:tc>
        <w:tc>
          <w:tcPr>
            <w:tcW w:w="198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ЭРА – экономическая рентабельность активов</w:t>
            </w:r>
          </w:p>
        </w:tc>
        <w:tc>
          <w:tcPr>
            <w:tcW w:w="529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(НРЭИ/</w:t>
            </w:r>
            <w:proofErr w:type="gramStart"/>
            <w:r w:rsidRPr="005A3EC9">
              <w:rPr>
                <w:rFonts w:ascii="Georgia" w:eastAsia="Times New Roman" w:hAnsi="Georgia" w:cs="Times New Roman"/>
                <w:sz w:val="24"/>
                <w:szCs w:val="24"/>
                <w:lang w:eastAsia="ru-RU"/>
              </w:rPr>
              <w:t>А)х</w:t>
            </w:r>
            <w:proofErr w:type="gramEnd"/>
            <w:r w:rsidRPr="005A3EC9">
              <w:rPr>
                <w:rFonts w:ascii="Georgia" w:eastAsia="Times New Roman" w:hAnsi="Georgia" w:cs="Times New Roman"/>
                <w:sz w:val="24"/>
                <w:szCs w:val="24"/>
                <w:lang w:eastAsia="ru-RU"/>
              </w:rPr>
              <w:t>100% = (</w:t>
            </w:r>
            <w:proofErr w:type="spellStart"/>
            <w:r w:rsidRPr="005A3EC9">
              <w:rPr>
                <w:rFonts w:ascii="Georgia" w:eastAsia="Times New Roman" w:hAnsi="Georgia" w:cs="Times New Roman"/>
                <w:sz w:val="24"/>
                <w:szCs w:val="24"/>
                <w:lang w:eastAsia="ru-RU"/>
              </w:rPr>
              <w:t>Пбаланс</w:t>
            </w:r>
            <w:proofErr w:type="spellEnd"/>
            <w:r w:rsidRPr="005A3EC9">
              <w:rPr>
                <w:rFonts w:ascii="Georgia" w:eastAsia="Times New Roman" w:hAnsi="Georgia" w:cs="Times New Roman"/>
                <w:sz w:val="24"/>
                <w:szCs w:val="24"/>
                <w:lang w:eastAsia="ru-RU"/>
              </w:rPr>
              <w:t xml:space="preserve"> – % за кредит </w:t>
            </w:r>
            <w:proofErr w:type="spellStart"/>
            <w:r w:rsidRPr="005A3EC9">
              <w:rPr>
                <w:rFonts w:ascii="Georgia" w:eastAsia="Times New Roman" w:hAnsi="Georgia" w:cs="Times New Roman"/>
                <w:sz w:val="24"/>
                <w:szCs w:val="24"/>
                <w:lang w:eastAsia="ru-RU"/>
              </w:rPr>
              <w:t>вкл.в</w:t>
            </w:r>
            <w:proofErr w:type="spellEnd"/>
            <w:r w:rsidRPr="005A3EC9">
              <w:rPr>
                <w:rFonts w:ascii="Georgia" w:eastAsia="Times New Roman" w:hAnsi="Georgia" w:cs="Times New Roman"/>
                <w:sz w:val="24"/>
                <w:szCs w:val="24"/>
                <w:lang w:eastAsia="ru-RU"/>
              </w:rPr>
              <w:t xml:space="preserve"> себестоимость) / А</w:t>
            </w:r>
          </w:p>
        </w:tc>
        <w:tc>
          <w:tcPr>
            <w:tcW w:w="169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after="0" w:line="240" w:lineRule="auto"/>
              <w:rPr>
                <w:rFonts w:ascii="Georgia" w:eastAsia="Times New Roman" w:hAnsi="Georgia" w:cs="Times New Roman"/>
                <w:sz w:val="24"/>
                <w:szCs w:val="24"/>
                <w:lang w:eastAsia="ru-RU"/>
              </w:rPr>
            </w:pPr>
          </w:p>
        </w:tc>
      </w:tr>
      <w:tr w:rsidR="005A3EC9" w:rsidRPr="005A3EC9" w:rsidTr="005A3EC9">
        <w:trPr>
          <w:tblCellSpacing w:w="22" w:type="dxa"/>
        </w:trPr>
        <w:tc>
          <w:tcPr>
            <w:tcW w:w="78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4.1.</w:t>
            </w:r>
          </w:p>
        </w:tc>
        <w:tc>
          <w:tcPr>
            <w:tcW w:w="198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ЭРА – экономическая рентабельность активов</w:t>
            </w:r>
          </w:p>
        </w:tc>
        <w:tc>
          <w:tcPr>
            <w:tcW w:w="529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278"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noProof/>
                <w:sz w:val="24"/>
                <w:szCs w:val="24"/>
                <w:lang w:eastAsia="ru-RU"/>
              </w:rPr>
              <w:drawing>
                <wp:inline distT="0" distB="0" distL="0" distR="0">
                  <wp:extent cx="2247900" cy="647700"/>
                  <wp:effectExtent l="0" t="0" r="0" b="0"/>
                  <wp:docPr id="9" name="Рисунок 9" descr="http://works.doklad.ru/images/P0c3_Jb9ZgA/4dfc0f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orks.doklad.ru/images/P0c3_Jb9ZgA/4dfc0f1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47900" cy="647700"/>
                          </a:xfrm>
                          <a:prstGeom prst="rect">
                            <a:avLst/>
                          </a:prstGeom>
                          <a:noFill/>
                          <a:ln>
                            <a:noFill/>
                          </a:ln>
                        </pic:spPr>
                      </pic:pic>
                    </a:graphicData>
                  </a:graphic>
                </wp:inline>
              </w:drawing>
            </w:r>
          </w:p>
          <w:p w:rsidR="005A3EC9" w:rsidRPr="005A3EC9" w:rsidRDefault="005A3EC9" w:rsidP="005A3EC9">
            <w:pPr>
              <w:spacing w:before="278"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 xml:space="preserve">(ком. </w:t>
            </w:r>
            <w:proofErr w:type="gramStart"/>
            <w:r w:rsidRPr="005A3EC9">
              <w:rPr>
                <w:rFonts w:ascii="Georgia" w:eastAsia="Times New Roman" w:hAnsi="Georgia" w:cs="Times New Roman"/>
                <w:sz w:val="24"/>
                <w:szCs w:val="24"/>
                <w:lang w:eastAsia="ru-RU"/>
              </w:rPr>
              <w:t>маржа)   </w:t>
            </w:r>
            <w:proofErr w:type="gramEnd"/>
            <w:r w:rsidRPr="005A3EC9">
              <w:rPr>
                <w:rFonts w:ascii="Georgia" w:eastAsia="Times New Roman" w:hAnsi="Georgia" w:cs="Times New Roman"/>
                <w:sz w:val="24"/>
                <w:szCs w:val="24"/>
                <w:lang w:eastAsia="ru-RU"/>
              </w:rPr>
              <w:t>(</w:t>
            </w:r>
            <w:proofErr w:type="spellStart"/>
            <w:r w:rsidRPr="005A3EC9">
              <w:rPr>
                <w:rFonts w:ascii="Georgia" w:eastAsia="Times New Roman" w:hAnsi="Georgia" w:cs="Times New Roman"/>
                <w:sz w:val="24"/>
                <w:szCs w:val="24"/>
                <w:lang w:eastAsia="ru-RU"/>
              </w:rPr>
              <w:t>коэф</w:t>
            </w:r>
            <w:proofErr w:type="spellEnd"/>
            <w:r w:rsidRPr="005A3EC9">
              <w:rPr>
                <w:rFonts w:ascii="Georgia" w:eastAsia="Times New Roman" w:hAnsi="Georgia" w:cs="Times New Roman"/>
                <w:sz w:val="24"/>
                <w:szCs w:val="24"/>
                <w:lang w:eastAsia="ru-RU"/>
              </w:rPr>
              <w:t>. трансформации)</w:t>
            </w:r>
          </w:p>
        </w:tc>
        <w:tc>
          <w:tcPr>
            <w:tcW w:w="169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after="0" w:line="240" w:lineRule="auto"/>
              <w:rPr>
                <w:rFonts w:ascii="Georgia" w:eastAsia="Times New Roman" w:hAnsi="Georgia" w:cs="Times New Roman"/>
                <w:sz w:val="24"/>
                <w:szCs w:val="24"/>
                <w:lang w:eastAsia="ru-RU"/>
              </w:rPr>
            </w:pPr>
          </w:p>
        </w:tc>
      </w:tr>
      <w:tr w:rsidR="005A3EC9" w:rsidRPr="005A3EC9" w:rsidTr="005A3EC9">
        <w:trPr>
          <w:tblCellSpacing w:w="22" w:type="dxa"/>
        </w:trPr>
        <w:tc>
          <w:tcPr>
            <w:tcW w:w="78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4.2.</w:t>
            </w:r>
          </w:p>
        </w:tc>
        <w:tc>
          <w:tcPr>
            <w:tcW w:w="198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ЧРА – чистая рентабельность активов – ROA</w:t>
            </w:r>
          </w:p>
        </w:tc>
        <w:tc>
          <w:tcPr>
            <w:tcW w:w="277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278"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u w:val="single"/>
                <w:lang w:eastAsia="ru-RU"/>
              </w:rPr>
              <w:t>Чистая прибыль</w:t>
            </w:r>
          </w:p>
          <w:p w:rsidR="005A3EC9" w:rsidRPr="005A3EC9" w:rsidRDefault="005A3EC9" w:rsidP="005A3EC9">
            <w:pPr>
              <w:spacing w:before="278"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А</w:t>
            </w:r>
          </w:p>
        </w:tc>
        <w:tc>
          <w:tcPr>
            <w:tcW w:w="246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Эффективность использования активов</w:t>
            </w:r>
          </w:p>
        </w:tc>
        <w:tc>
          <w:tcPr>
            <w:tcW w:w="169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after="0" w:line="240" w:lineRule="auto"/>
              <w:rPr>
                <w:rFonts w:ascii="Georgia" w:eastAsia="Times New Roman" w:hAnsi="Georgia" w:cs="Times New Roman"/>
                <w:sz w:val="24"/>
                <w:szCs w:val="24"/>
                <w:lang w:eastAsia="ru-RU"/>
              </w:rPr>
            </w:pPr>
          </w:p>
        </w:tc>
      </w:tr>
      <w:tr w:rsidR="005A3EC9" w:rsidRPr="005A3EC9" w:rsidTr="005A3EC9">
        <w:trPr>
          <w:tblCellSpacing w:w="22" w:type="dxa"/>
        </w:trPr>
        <w:tc>
          <w:tcPr>
            <w:tcW w:w="78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4.2.1</w:t>
            </w:r>
          </w:p>
        </w:tc>
        <w:tc>
          <w:tcPr>
            <w:tcW w:w="198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ЧРА</w:t>
            </w:r>
          </w:p>
        </w:tc>
        <w:tc>
          <w:tcPr>
            <w:tcW w:w="529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278"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noProof/>
                <w:sz w:val="24"/>
                <w:szCs w:val="24"/>
                <w:lang w:eastAsia="ru-RU"/>
              </w:rPr>
              <w:drawing>
                <wp:inline distT="0" distB="0" distL="0" distR="0">
                  <wp:extent cx="2076450" cy="314325"/>
                  <wp:effectExtent l="0" t="0" r="0" b="9525"/>
                  <wp:docPr id="8" name="Рисунок 8" descr="http://works.doklad.ru/images/P0c3_Jb9ZgA/m256e8c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orks.doklad.ru/images/P0c3_Jb9ZgA/m256e8c1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76450" cy="314325"/>
                          </a:xfrm>
                          <a:prstGeom prst="rect">
                            <a:avLst/>
                          </a:prstGeom>
                          <a:noFill/>
                          <a:ln>
                            <a:noFill/>
                          </a:ln>
                        </pic:spPr>
                      </pic:pic>
                    </a:graphicData>
                  </a:graphic>
                </wp:inline>
              </w:drawing>
            </w:r>
          </w:p>
          <w:p w:rsidR="005A3EC9" w:rsidRPr="005A3EC9" w:rsidRDefault="005A3EC9" w:rsidP="005A3EC9">
            <w:pPr>
              <w:spacing w:before="278"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Формула Дюпона</w:t>
            </w:r>
          </w:p>
        </w:tc>
        <w:tc>
          <w:tcPr>
            <w:tcW w:w="169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after="0" w:line="240" w:lineRule="auto"/>
              <w:rPr>
                <w:rFonts w:ascii="Georgia" w:eastAsia="Times New Roman" w:hAnsi="Georgia" w:cs="Times New Roman"/>
                <w:sz w:val="24"/>
                <w:szCs w:val="24"/>
                <w:lang w:eastAsia="ru-RU"/>
              </w:rPr>
            </w:pPr>
          </w:p>
        </w:tc>
      </w:tr>
      <w:tr w:rsidR="005A3EC9" w:rsidRPr="005A3EC9" w:rsidTr="005A3EC9">
        <w:trPr>
          <w:tblCellSpacing w:w="22" w:type="dxa"/>
        </w:trPr>
        <w:tc>
          <w:tcPr>
            <w:tcW w:w="78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4.2.2</w:t>
            </w:r>
          </w:p>
        </w:tc>
        <w:tc>
          <w:tcPr>
            <w:tcW w:w="198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ЧРАК – чистая рентабельность акционерного капитала – ROE</w:t>
            </w:r>
          </w:p>
        </w:tc>
        <w:tc>
          <w:tcPr>
            <w:tcW w:w="529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noProof/>
                <w:sz w:val="24"/>
                <w:szCs w:val="24"/>
                <w:lang w:eastAsia="ru-RU"/>
              </w:rPr>
              <w:drawing>
                <wp:inline distT="0" distB="0" distL="0" distR="0">
                  <wp:extent cx="1323975" cy="523875"/>
                  <wp:effectExtent l="0" t="0" r="9525" b="9525"/>
                  <wp:docPr id="7" name="Рисунок 7" descr="http://works.doklad.ru/images/P0c3_Jb9ZgA/d2400d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orks.doklad.ru/images/P0c3_Jb9ZgA/d2400d9.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23975" cy="523875"/>
                          </a:xfrm>
                          <a:prstGeom prst="rect">
                            <a:avLst/>
                          </a:prstGeom>
                          <a:noFill/>
                          <a:ln>
                            <a:noFill/>
                          </a:ln>
                        </pic:spPr>
                      </pic:pic>
                    </a:graphicData>
                  </a:graphic>
                </wp:inline>
              </w:drawing>
            </w:r>
          </w:p>
        </w:tc>
        <w:tc>
          <w:tcPr>
            <w:tcW w:w="169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after="0" w:line="240" w:lineRule="auto"/>
              <w:rPr>
                <w:rFonts w:ascii="Georgia" w:eastAsia="Times New Roman" w:hAnsi="Georgia" w:cs="Times New Roman"/>
                <w:sz w:val="24"/>
                <w:szCs w:val="24"/>
                <w:lang w:eastAsia="ru-RU"/>
              </w:rPr>
            </w:pPr>
          </w:p>
        </w:tc>
      </w:tr>
      <w:tr w:rsidR="005A3EC9" w:rsidRPr="005A3EC9" w:rsidTr="005A3EC9">
        <w:trPr>
          <w:tblCellSpacing w:w="22" w:type="dxa"/>
        </w:trPr>
        <w:tc>
          <w:tcPr>
            <w:tcW w:w="78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4.3</w:t>
            </w:r>
          </w:p>
        </w:tc>
        <w:tc>
          <w:tcPr>
            <w:tcW w:w="198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Коэффициент защищенности кредитов</w:t>
            </w:r>
          </w:p>
        </w:tc>
        <w:tc>
          <w:tcPr>
            <w:tcW w:w="277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0"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4/П+% за кредит + налог /</w:t>
            </w:r>
          </w:p>
          <w:p w:rsidR="005A3EC9" w:rsidRPr="005A3EC9" w:rsidRDefault="005A3EC9" w:rsidP="005A3EC9">
            <w:pPr>
              <w:spacing w:before="278"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расходы по выплате процентов</w:t>
            </w:r>
          </w:p>
        </w:tc>
        <w:tc>
          <w:tcPr>
            <w:tcW w:w="246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&gt;1</w:t>
            </w:r>
          </w:p>
        </w:tc>
        <w:tc>
          <w:tcPr>
            <w:tcW w:w="169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after="0" w:line="240" w:lineRule="auto"/>
              <w:rPr>
                <w:rFonts w:ascii="Georgia" w:eastAsia="Times New Roman" w:hAnsi="Georgia" w:cs="Times New Roman"/>
                <w:sz w:val="24"/>
                <w:szCs w:val="24"/>
                <w:lang w:eastAsia="ru-RU"/>
              </w:rPr>
            </w:pPr>
          </w:p>
        </w:tc>
      </w:tr>
      <w:tr w:rsidR="005A3EC9" w:rsidRPr="005A3EC9" w:rsidTr="005A3EC9">
        <w:trPr>
          <w:tblCellSpacing w:w="22" w:type="dxa"/>
        </w:trPr>
        <w:tc>
          <w:tcPr>
            <w:tcW w:w="780"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4.4.</w:t>
            </w:r>
          </w:p>
        </w:tc>
        <w:tc>
          <w:tcPr>
            <w:tcW w:w="198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jc w:val="center"/>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Коэффициент рыночной активности</w:t>
            </w:r>
          </w:p>
        </w:tc>
        <w:tc>
          <w:tcPr>
            <w:tcW w:w="277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before="100" w:beforeAutospacing="1" w:after="100" w:afterAutospacing="1" w:line="240" w:lineRule="auto"/>
              <w:rPr>
                <w:rFonts w:ascii="Georgia" w:eastAsia="Times New Roman" w:hAnsi="Georgia" w:cs="Times New Roman"/>
                <w:sz w:val="24"/>
                <w:szCs w:val="24"/>
                <w:lang w:eastAsia="ru-RU"/>
              </w:rPr>
            </w:pPr>
            <w:r w:rsidRPr="005A3EC9">
              <w:rPr>
                <w:rFonts w:ascii="Georgia" w:eastAsia="Times New Roman" w:hAnsi="Georgia" w:cs="Times New Roman"/>
                <w:sz w:val="24"/>
                <w:szCs w:val="24"/>
                <w:lang w:eastAsia="ru-RU"/>
              </w:rPr>
              <w:t>Прибыль на акцию, балансовая стоимость актива и др.</w:t>
            </w:r>
          </w:p>
        </w:tc>
        <w:tc>
          <w:tcPr>
            <w:tcW w:w="2460"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after="0" w:line="240" w:lineRule="auto"/>
              <w:rPr>
                <w:rFonts w:ascii="Georgia" w:eastAsia="Times New Roman" w:hAnsi="Georgia" w:cs="Times New Roman"/>
                <w:sz w:val="24"/>
                <w:szCs w:val="24"/>
                <w:lang w:eastAsia="ru-RU"/>
              </w:rPr>
            </w:pPr>
          </w:p>
        </w:tc>
        <w:tc>
          <w:tcPr>
            <w:tcW w:w="1695" w:type="dxa"/>
            <w:gridSpan w:val="2"/>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5A3EC9" w:rsidRPr="005A3EC9" w:rsidRDefault="005A3EC9" w:rsidP="005A3EC9">
            <w:pPr>
              <w:spacing w:after="0" w:line="240" w:lineRule="auto"/>
              <w:rPr>
                <w:rFonts w:ascii="Times New Roman" w:eastAsia="Times New Roman" w:hAnsi="Times New Roman" w:cs="Times New Roman"/>
                <w:sz w:val="20"/>
                <w:szCs w:val="20"/>
                <w:lang w:eastAsia="ru-RU"/>
              </w:rPr>
            </w:pPr>
          </w:p>
        </w:tc>
      </w:tr>
    </w:tbl>
    <w:p w:rsidR="005A3EC9" w:rsidRPr="005A3EC9" w:rsidRDefault="005A3EC9" w:rsidP="005A3EC9">
      <w:pPr>
        <w:pStyle w:val="a4"/>
        <w:spacing w:line="360" w:lineRule="auto"/>
        <w:ind w:left="1211"/>
        <w:jc w:val="both"/>
        <w:rPr>
          <w:rFonts w:ascii="Times New Roman" w:hAnsi="Times New Roman" w:cs="Times New Roman"/>
          <w:sz w:val="28"/>
          <w:szCs w:val="28"/>
        </w:rPr>
      </w:pPr>
    </w:p>
    <w:sectPr w:rsidR="005A3EC9" w:rsidRPr="005A3EC9" w:rsidSect="003B02FE">
      <w:footerReference w:type="default" r:id="rId16"/>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B14" w:rsidRDefault="00483B14" w:rsidP="00C86780">
      <w:pPr>
        <w:spacing w:after="0" w:line="240" w:lineRule="auto"/>
      </w:pPr>
      <w:r>
        <w:separator/>
      </w:r>
    </w:p>
  </w:endnote>
  <w:endnote w:type="continuationSeparator" w:id="0">
    <w:p w:rsidR="00483B14" w:rsidRDefault="00483B14" w:rsidP="00C867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7239271"/>
      <w:docPartObj>
        <w:docPartGallery w:val="Page Numbers (Bottom of Page)"/>
        <w:docPartUnique/>
      </w:docPartObj>
    </w:sdtPr>
    <w:sdtEndPr/>
    <w:sdtContent>
      <w:p w:rsidR="00C86780" w:rsidRDefault="00C86780">
        <w:pPr>
          <w:pStyle w:val="aa"/>
          <w:jc w:val="center"/>
        </w:pPr>
        <w:r>
          <w:fldChar w:fldCharType="begin"/>
        </w:r>
        <w:r>
          <w:instrText>PAGE   \* MERGEFORMAT</w:instrText>
        </w:r>
        <w:r>
          <w:fldChar w:fldCharType="separate"/>
        </w:r>
        <w:r w:rsidR="00CC690E">
          <w:rPr>
            <w:noProof/>
          </w:rPr>
          <w:t>20</w:t>
        </w:r>
        <w:r>
          <w:fldChar w:fldCharType="end"/>
        </w:r>
      </w:p>
    </w:sdtContent>
  </w:sdt>
  <w:p w:rsidR="00C86780" w:rsidRDefault="00C8678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B14" w:rsidRDefault="00483B14" w:rsidP="00C86780">
      <w:pPr>
        <w:spacing w:after="0" w:line="240" w:lineRule="auto"/>
      </w:pPr>
      <w:r>
        <w:separator/>
      </w:r>
    </w:p>
  </w:footnote>
  <w:footnote w:type="continuationSeparator" w:id="0">
    <w:p w:rsidR="00483B14" w:rsidRDefault="00483B14" w:rsidP="00C867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862D40"/>
    <w:multiLevelType w:val="multilevel"/>
    <w:tmpl w:val="52727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85670B0"/>
    <w:multiLevelType w:val="hybridMultilevel"/>
    <w:tmpl w:val="429A7878"/>
    <w:lvl w:ilvl="0" w:tplc="CA36F98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76492705"/>
    <w:multiLevelType w:val="hybridMultilevel"/>
    <w:tmpl w:val="9CA4E4C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7885573E"/>
    <w:multiLevelType w:val="hybridMultilevel"/>
    <w:tmpl w:val="D21C1E08"/>
    <w:lvl w:ilvl="0" w:tplc="8B862D8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5035"/>
    <w:rsid w:val="00110068"/>
    <w:rsid w:val="00291B68"/>
    <w:rsid w:val="003B02FE"/>
    <w:rsid w:val="003D714D"/>
    <w:rsid w:val="00483B14"/>
    <w:rsid w:val="005A3EC9"/>
    <w:rsid w:val="0078794A"/>
    <w:rsid w:val="00A00B42"/>
    <w:rsid w:val="00A05035"/>
    <w:rsid w:val="00A07F37"/>
    <w:rsid w:val="00AD5BF3"/>
    <w:rsid w:val="00C86780"/>
    <w:rsid w:val="00CC69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84848B-BDEB-45C3-9B93-F5144AA45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714D"/>
  </w:style>
  <w:style w:type="paragraph" w:styleId="1">
    <w:name w:val="heading 1"/>
    <w:basedOn w:val="a"/>
    <w:next w:val="a"/>
    <w:link w:val="10"/>
    <w:uiPriority w:val="9"/>
    <w:qFormat/>
    <w:rsid w:val="00C86780"/>
    <w:pPr>
      <w:keepNext/>
      <w:keepLines/>
      <w:spacing w:before="240" w:after="0"/>
      <w:outlineLvl w:val="0"/>
    </w:pPr>
    <w:rPr>
      <w:rFonts w:ascii="Times New Roman" w:eastAsiaTheme="majorEastAsia" w:hAnsi="Times New Roman" w:cstheme="majorBidi"/>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B02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3B02FE"/>
    <w:pPr>
      <w:ind w:left="720"/>
      <w:contextualSpacing/>
    </w:pPr>
  </w:style>
  <w:style w:type="character" w:styleId="a5">
    <w:name w:val="Hyperlink"/>
    <w:basedOn w:val="a0"/>
    <w:uiPriority w:val="99"/>
    <w:unhideWhenUsed/>
    <w:rsid w:val="005A3EC9"/>
    <w:rPr>
      <w:color w:val="0563C1" w:themeColor="hyperlink"/>
      <w:u w:val="single"/>
    </w:rPr>
  </w:style>
  <w:style w:type="character" w:styleId="a6">
    <w:name w:val="Strong"/>
    <w:basedOn w:val="a0"/>
    <w:uiPriority w:val="22"/>
    <w:qFormat/>
    <w:rsid w:val="005A3EC9"/>
    <w:rPr>
      <w:b/>
      <w:bCs/>
    </w:rPr>
  </w:style>
  <w:style w:type="character" w:customStyle="1" w:styleId="10">
    <w:name w:val="Заголовок 1 Знак"/>
    <w:basedOn w:val="a0"/>
    <w:link w:val="1"/>
    <w:uiPriority w:val="9"/>
    <w:rsid w:val="00C86780"/>
    <w:rPr>
      <w:rFonts w:ascii="Times New Roman" w:eastAsiaTheme="majorEastAsia" w:hAnsi="Times New Roman" w:cstheme="majorBidi"/>
      <w:sz w:val="28"/>
      <w:szCs w:val="32"/>
    </w:rPr>
  </w:style>
  <w:style w:type="paragraph" w:styleId="a7">
    <w:name w:val="TOC Heading"/>
    <w:basedOn w:val="1"/>
    <w:next w:val="a"/>
    <w:uiPriority w:val="39"/>
    <w:unhideWhenUsed/>
    <w:qFormat/>
    <w:rsid w:val="00C86780"/>
    <w:pPr>
      <w:outlineLvl w:val="9"/>
    </w:pPr>
    <w:rPr>
      <w:rFonts w:asciiTheme="majorHAnsi" w:hAnsiTheme="majorHAnsi"/>
      <w:color w:val="2E74B5" w:themeColor="accent1" w:themeShade="BF"/>
      <w:sz w:val="32"/>
      <w:lang w:eastAsia="ru-RU"/>
    </w:rPr>
  </w:style>
  <w:style w:type="paragraph" w:styleId="11">
    <w:name w:val="toc 1"/>
    <w:basedOn w:val="a"/>
    <w:next w:val="a"/>
    <w:autoRedefine/>
    <w:uiPriority w:val="39"/>
    <w:unhideWhenUsed/>
    <w:rsid w:val="00C86780"/>
    <w:pPr>
      <w:spacing w:after="100"/>
    </w:pPr>
  </w:style>
  <w:style w:type="paragraph" w:styleId="a8">
    <w:name w:val="header"/>
    <w:basedOn w:val="a"/>
    <w:link w:val="a9"/>
    <w:uiPriority w:val="99"/>
    <w:unhideWhenUsed/>
    <w:rsid w:val="00C8678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86780"/>
  </w:style>
  <w:style w:type="paragraph" w:styleId="aa">
    <w:name w:val="footer"/>
    <w:basedOn w:val="a"/>
    <w:link w:val="ab"/>
    <w:uiPriority w:val="99"/>
    <w:unhideWhenUsed/>
    <w:rsid w:val="00C8678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86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220746">
      <w:bodyDiv w:val="1"/>
      <w:marLeft w:val="0"/>
      <w:marRight w:val="0"/>
      <w:marTop w:val="0"/>
      <w:marBottom w:val="0"/>
      <w:divBdr>
        <w:top w:val="none" w:sz="0" w:space="0" w:color="auto"/>
        <w:left w:val="none" w:sz="0" w:space="0" w:color="auto"/>
        <w:bottom w:val="none" w:sz="0" w:space="0" w:color="auto"/>
        <w:right w:val="none" w:sz="0" w:space="0" w:color="auto"/>
      </w:divBdr>
    </w:div>
    <w:div w:id="702750078">
      <w:bodyDiv w:val="1"/>
      <w:marLeft w:val="0"/>
      <w:marRight w:val="0"/>
      <w:marTop w:val="0"/>
      <w:marBottom w:val="0"/>
      <w:divBdr>
        <w:top w:val="none" w:sz="0" w:space="0" w:color="auto"/>
        <w:left w:val="none" w:sz="0" w:space="0" w:color="auto"/>
        <w:bottom w:val="none" w:sz="0" w:space="0" w:color="auto"/>
        <w:right w:val="none" w:sz="0" w:space="0" w:color="auto"/>
      </w:divBdr>
    </w:div>
    <w:div w:id="863716791">
      <w:bodyDiv w:val="1"/>
      <w:marLeft w:val="0"/>
      <w:marRight w:val="0"/>
      <w:marTop w:val="0"/>
      <w:marBottom w:val="0"/>
      <w:divBdr>
        <w:top w:val="none" w:sz="0" w:space="0" w:color="auto"/>
        <w:left w:val="none" w:sz="0" w:space="0" w:color="auto"/>
        <w:bottom w:val="none" w:sz="0" w:space="0" w:color="auto"/>
        <w:right w:val="none" w:sz="0" w:space="0" w:color="auto"/>
      </w:divBdr>
    </w:div>
    <w:div w:id="908273905">
      <w:bodyDiv w:val="1"/>
      <w:marLeft w:val="0"/>
      <w:marRight w:val="0"/>
      <w:marTop w:val="0"/>
      <w:marBottom w:val="0"/>
      <w:divBdr>
        <w:top w:val="none" w:sz="0" w:space="0" w:color="auto"/>
        <w:left w:val="none" w:sz="0" w:space="0" w:color="auto"/>
        <w:bottom w:val="none" w:sz="0" w:space="0" w:color="auto"/>
        <w:right w:val="none" w:sz="0" w:space="0" w:color="auto"/>
      </w:divBdr>
    </w:div>
    <w:div w:id="1214196443">
      <w:bodyDiv w:val="1"/>
      <w:marLeft w:val="0"/>
      <w:marRight w:val="0"/>
      <w:marTop w:val="0"/>
      <w:marBottom w:val="0"/>
      <w:divBdr>
        <w:top w:val="none" w:sz="0" w:space="0" w:color="auto"/>
        <w:left w:val="none" w:sz="0" w:space="0" w:color="auto"/>
        <w:bottom w:val="none" w:sz="0" w:space="0" w:color="auto"/>
        <w:right w:val="none" w:sz="0" w:space="0" w:color="auto"/>
      </w:divBdr>
    </w:div>
    <w:div w:id="1792478853">
      <w:bodyDiv w:val="1"/>
      <w:marLeft w:val="0"/>
      <w:marRight w:val="0"/>
      <w:marTop w:val="0"/>
      <w:marBottom w:val="0"/>
      <w:divBdr>
        <w:top w:val="none" w:sz="0" w:space="0" w:color="auto"/>
        <w:left w:val="none" w:sz="0" w:space="0" w:color="auto"/>
        <w:bottom w:val="none" w:sz="0" w:space="0" w:color="auto"/>
        <w:right w:val="none" w:sz="0" w:space="0" w:color="auto"/>
      </w:divBdr>
    </w:div>
    <w:div w:id="1905068789">
      <w:bodyDiv w:val="1"/>
      <w:marLeft w:val="0"/>
      <w:marRight w:val="0"/>
      <w:marTop w:val="0"/>
      <w:marBottom w:val="0"/>
      <w:divBdr>
        <w:top w:val="none" w:sz="0" w:space="0" w:color="auto"/>
        <w:left w:val="none" w:sz="0" w:space="0" w:color="auto"/>
        <w:bottom w:val="none" w:sz="0" w:space="0" w:color="auto"/>
        <w:right w:val="none" w:sz="0" w:space="0" w:color="auto"/>
      </w:divBdr>
    </w:div>
    <w:div w:id="1965109798">
      <w:bodyDiv w:val="1"/>
      <w:marLeft w:val="0"/>
      <w:marRight w:val="0"/>
      <w:marTop w:val="0"/>
      <w:marBottom w:val="0"/>
      <w:divBdr>
        <w:top w:val="none" w:sz="0" w:space="0" w:color="auto"/>
        <w:left w:val="none" w:sz="0" w:space="0" w:color="auto"/>
        <w:bottom w:val="none" w:sz="0" w:space="0" w:color="auto"/>
        <w:right w:val="none" w:sz="0" w:space="0" w:color="auto"/>
      </w:divBdr>
    </w:div>
    <w:div w:id="206748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ankir.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04BC2-771C-4803-A2DF-2EF2CFFC0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22</Pages>
  <Words>4428</Words>
  <Characters>25245</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3</cp:revision>
  <dcterms:created xsi:type="dcterms:W3CDTF">2016-06-15T07:34:00Z</dcterms:created>
  <dcterms:modified xsi:type="dcterms:W3CDTF">2016-06-15T10:41:00Z</dcterms:modified>
</cp:coreProperties>
</file>