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B53" w:rsidRDefault="00BC7368" w:rsidP="00273D68">
      <w:pPr>
        <w:widowControl w:val="0"/>
        <w:jc w:val="center"/>
      </w:pPr>
      <w:r>
        <w:t>Содержание</w:t>
      </w:r>
    </w:p>
    <w:sdt>
      <w:sdtPr>
        <w:id w:val="28385802"/>
      </w:sdtPr>
      <w:sdtContent>
        <w:p w:rsidR="007A0039" w:rsidRDefault="007A0039" w:rsidP="0062386F">
          <w:pPr>
            <w:widowControl w:val="0"/>
            <w:ind w:firstLine="0"/>
          </w:pPr>
        </w:p>
        <w:p w:rsidR="0062386F" w:rsidRDefault="005345A1" w:rsidP="0062386F">
          <w:pPr>
            <w:pStyle w:val="21"/>
            <w:ind w:left="0"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7A0039">
            <w:instrText xml:space="preserve"> TOC \o "1-3" \h \z \u </w:instrText>
          </w:r>
          <w:r>
            <w:fldChar w:fldCharType="separate"/>
          </w:r>
          <w:hyperlink w:anchor="_Toc448264283" w:history="1">
            <w:r w:rsidR="0062386F" w:rsidRPr="00F81674">
              <w:rPr>
                <w:rStyle w:val="ab"/>
                <w:noProof/>
              </w:rPr>
              <w:t>Введение</w:t>
            </w:r>
            <w:r w:rsidR="0062386F">
              <w:rPr>
                <w:noProof/>
                <w:webHidden/>
              </w:rPr>
              <w:tab/>
            </w:r>
            <w:r w:rsidR="0062386F">
              <w:rPr>
                <w:noProof/>
                <w:webHidden/>
              </w:rPr>
              <w:fldChar w:fldCharType="begin"/>
            </w:r>
            <w:r w:rsidR="0062386F">
              <w:rPr>
                <w:noProof/>
                <w:webHidden/>
              </w:rPr>
              <w:instrText xml:space="preserve"> PAGEREF _Toc448264283 \h </w:instrText>
            </w:r>
            <w:r w:rsidR="0062386F">
              <w:rPr>
                <w:noProof/>
                <w:webHidden/>
              </w:rPr>
            </w:r>
            <w:r w:rsidR="0062386F">
              <w:rPr>
                <w:noProof/>
                <w:webHidden/>
              </w:rPr>
              <w:fldChar w:fldCharType="separate"/>
            </w:r>
            <w:r w:rsidR="00C2227A">
              <w:rPr>
                <w:noProof/>
                <w:webHidden/>
              </w:rPr>
              <w:t>3</w:t>
            </w:r>
            <w:r w:rsidR="0062386F">
              <w:rPr>
                <w:noProof/>
                <w:webHidden/>
              </w:rPr>
              <w:fldChar w:fldCharType="end"/>
            </w:r>
          </w:hyperlink>
        </w:p>
        <w:p w:rsidR="0062386F" w:rsidRDefault="0062386F" w:rsidP="0062386F">
          <w:pPr>
            <w:pStyle w:val="21"/>
            <w:ind w:left="0"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8264284" w:history="1">
            <w:r w:rsidRPr="00F81674">
              <w:rPr>
                <w:rStyle w:val="ab"/>
                <w:noProof/>
              </w:rPr>
              <w:t>1. Денежно-кредитная система Аргентины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_Toc448264284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227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386F" w:rsidRDefault="0062386F" w:rsidP="0062386F">
          <w:pPr>
            <w:pStyle w:val="21"/>
            <w:ind w:left="0"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8264285" w:history="1">
            <w:r w:rsidRPr="00F81674">
              <w:rPr>
                <w:rStyle w:val="ab"/>
                <w:noProof/>
              </w:rPr>
              <w:t>2. Характеристика современной банковской системы РФ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_Toc448264285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227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386F" w:rsidRDefault="0062386F" w:rsidP="0062386F">
          <w:pPr>
            <w:pStyle w:val="21"/>
            <w:ind w:left="0"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8264286" w:history="1">
            <w:r w:rsidRPr="00F81674">
              <w:rPr>
                <w:rStyle w:val="ab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_Toc448264286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227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386F" w:rsidRDefault="0062386F" w:rsidP="0062386F">
          <w:pPr>
            <w:pStyle w:val="21"/>
            <w:ind w:left="0"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8264287" w:history="1">
            <w:r w:rsidRPr="00F81674">
              <w:rPr>
                <w:rStyle w:val="ab"/>
                <w:noProof/>
              </w:rPr>
              <w:t>Список использованных источников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_Toc448264287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227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039" w:rsidRDefault="005345A1" w:rsidP="0062386F">
          <w:pPr>
            <w:widowControl w:val="0"/>
            <w:ind w:firstLine="0"/>
          </w:pPr>
          <w:r>
            <w:fldChar w:fldCharType="end"/>
          </w:r>
        </w:p>
      </w:sdtContent>
    </w:sdt>
    <w:p w:rsidR="004917E6" w:rsidRDefault="004917E6" w:rsidP="00273D68">
      <w:pPr>
        <w:pStyle w:val="a6"/>
        <w:widowControl w:val="0"/>
      </w:pPr>
    </w:p>
    <w:p w:rsidR="0062386F" w:rsidRDefault="0062386F">
      <w:pPr>
        <w:spacing w:line="240" w:lineRule="auto"/>
        <w:ind w:firstLine="0"/>
        <w:jc w:val="left"/>
        <w:rPr>
          <w:szCs w:val="28"/>
        </w:rPr>
      </w:pPr>
      <w:r>
        <w:br w:type="page"/>
      </w:r>
    </w:p>
    <w:p w:rsidR="00F548E4" w:rsidRDefault="0062386F" w:rsidP="0062386F">
      <w:pPr>
        <w:pStyle w:val="2"/>
      </w:pPr>
      <w:bookmarkStart w:id="0" w:name="_Toc448264283"/>
      <w:r>
        <w:lastRenderedPageBreak/>
        <w:t>Введение</w:t>
      </w:r>
      <w:bookmarkEnd w:id="0"/>
    </w:p>
    <w:p w:rsidR="0062386F" w:rsidRDefault="0062386F" w:rsidP="0062386F"/>
    <w:p w:rsidR="0062386F" w:rsidRDefault="0062386F" w:rsidP="0062386F">
      <w:pPr>
        <w:rPr>
          <w:shd w:val="clear" w:color="auto" w:fill="FFFFFF"/>
        </w:rPr>
      </w:pPr>
      <w:r>
        <w:rPr>
          <w:shd w:val="clear" w:color="auto" w:fill="FFFFFF"/>
        </w:rPr>
        <w:t xml:space="preserve">В условиях относительно </w:t>
      </w:r>
      <w:r w:rsidRPr="0062386F">
        <w:t>благоприятной экономической</w:t>
      </w:r>
      <w:r>
        <w:t xml:space="preserve"> </w:t>
      </w:r>
      <w:r w:rsidRPr="0062386F">
        <w:t>конъюнкт</w:t>
      </w:r>
      <w:r w:rsidRPr="0062386F">
        <w:t>у</w:t>
      </w:r>
      <w:r w:rsidRPr="0062386F">
        <w:t>ры</w:t>
      </w:r>
      <w:r>
        <w:t xml:space="preserve"> </w:t>
      </w:r>
      <w:r w:rsidRPr="0062386F">
        <w:t>и, тем более в условиях финансового кризиса, значение и роль денежно-кредитной политики, как составной части экономической политики госуда</w:t>
      </w:r>
      <w:r w:rsidRPr="0062386F">
        <w:t>р</w:t>
      </w:r>
      <w:r w:rsidRPr="0062386F">
        <w:t>ства неуклонно возрастает. Проведение взвешенной денежно-кредитной п</w:t>
      </w:r>
      <w:r w:rsidRPr="0062386F">
        <w:t>о</w:t>
      </w:r>
      <w:r w:rsidRPr="0062386F">
        <w:t>литики способно обеспечить создание оптимальных условий для эффекти</w:t>
      </w:r>
      <w:r w:rsidRPr="0062386F">
        <w:t>в</w:t>
      </w:r>
      <w:r w:rsidRPr="0062386F">
        <w:t>ного взаимодействия банковского сектора и субъектов экономики, содейс</w:t>
      </w:r>
      <w:r w:rsidRPr="0062386F">
        <w:t>т</w:t>
      </w:r>
      <w:r w:rsidRPr="0062386F">
        <w:t>вовать</w:t>
      </w:r>
      <w:r>
        <w:rPr>
          <w:shd w:val="clear" w:color="auto" w:fill="FFFFFF"/>
        </w:rPr>
        <w:t xml:space="preserve"> решению комплекса социально-экономических задач, стоящих перед любой страной.</w:t>
      </w:r>
    </w:p>
    <w:p w:rsidR="0062386F" w:rsidRDefault="0062386F" w:rsidP="0062386F">
      <w:r>
        <w:t xml:space="preserve">Цель работы – рассмотреть теоретические аспекты </w:t>
      </w:r>
      <w:r w:rsidRPr="00C55508">
        <w:t>функционирования денежно-кредитной системы в рыночной экономике</w:t>
      </w:r>
      <w:r>
        <w:t>.</w:t>
      </w:r>
    </w:p>
    <w:p w:rsidR="0062386F" w:rsidRDefault="0062386F" w:rsidP="0062386F">
      <w:r>
        <w:t>Задачи исследования:</w:t>
      </w:r>
    </w:p>
    <w:p w:rsidR="0062386F" w:rsidRDefault="0062386F" w:rsidP="0062386F">
      <w:r>
        <w:t>- рассмотреть д</w:t>
      </w:r>
      <w:r w:rsidRPr="00E70135">
        <w:t>енежно-кредитн</w:t>
      </w:r>
      <w:r>
        <w:t xml:space="preserve">ую </w:t>
      </w:r>
      <w:r w:rsidRPr="00E70135">
        <w:t>систем</w:t>
      </w:r>
      <w:r>
        <w:t>у</w:t>
      </w:r>
      <w:r w:rsidRPr="00E70135">
        <w:t xml:space="preserve"> Аргентины</w:t>
      </w:r>
      <w:r>
        <w:t>;</w:t>
      </w:r>
    </w:p>
    <w:p w:rsidR="0062386F" w:rsidRDefault="0062386F" w:rsidP="0062386F">
      <w:r>
        <w:t>- дать х</w:t>
      </w:r>
      <w:r w:rsidRPr="00E70135">
        <w:t>арактеристик</w:t>
      </w:r>
      <w:r>
        <w:t>у</w:t>
      </w:r>
      <w:r w:rsidRPr="00E70135">
        <w:t xml:space="preserve"> современной банковской системы РФ</w:t>
      </w:r>
      <w:r>
        <w:t>.</w:t>
      </w:r>
    </w:p>
    <w:p w:rsidR="0062386F" w:rsidRPr="0062386F" w:rsidRDefault="0062386F" w:rsidP="0062386F"/>
    <w:p w:rsidR="000C1EC1" w:rsidRDefault="00F548E4" w:rsidP="00273D68">
      <w:pPr>
        <w:widowControl w:val="0"/>
      </w:pPr>
      <w:r>
        <w:br w:type="page"/>
      </w:r>
    </w:p>
    <w:p w:rsidR="00772F1F" w:rsidRPr="00E70135" w:rsidRDefault="00772F1F" w:rsidP="00273D68">
      <w:pPr>
        <w:pStyle w:val="2"/>
        <w:widowControl w:val="0"/>
      </w:pPr>
      <w:bookmarkStart w:id="1" w:name="_Toc448264284"/>
      <w:r>
        <w:lastRenderedPageBreak/>
        <w:t xml:space="preserve">1. </w:t>
      </w:r>
      <w:r w:rsidRPr="00E70135">
        <w:t>Денежно-кредитная система Аргентины</w:t>
      </w:r>
      <w:bookmarkEnd w:id="1"/>
    </w:p>
    <w:p w:rsidR="00772F1F" w:rsidRDefault="00772F1F" w:rsidP="00273D68">
      <w:pPr>
        <w:widowControl w:val="0"/>
      </w:pPr>
    </w:p>
    <w:p w:rsidR="00B7575F" w:rsidRDefault="00B7575F" w:rsidP="00273D68">
      <w:pPr>
        <w:widowControl w:val="0"/>
      </w:pPr>
      <w:r>
        <w:t>Аргентина, наряду с Бразилией и Мексикой, является одной из вед</w:t>
      </w:r>
      <w:r>
        <w:t>у</w:t>
      </w:r>
      <w:r>
        <w:t>щих стран Латинской Америки по уровню социально-экономического разв</w:t>
      </w:r>
      <w:r>
        <w:t>и</w:t>
      </w:r>
      <w:r>
        <w:t>тия. Она располагает разнообразной минерально-сырьевой базой и в знач</w:t>
      </w:r>
      <w:r>
        <w:t>и</w:t>
      </w:r>
      <w:r>
        <w:t>тельной степени обеспечивает себя нефтью и газом</w:t>
      </w:r>
      <w:r>
        <w:rPr>
          <w:rStyle w:val="af1"/>
        </w:rPr>
        <w:footnoteReference w:id="1"/>
      </w:r>
      <w:r>
        <w:t>.</w:t>
      </w:r>
    </w:p>
    <w:p w:rsidR="007A0039" w:rsidRDefault="007A0039" w:rsidP="00273D68">
      <w:pPr>
        <w:widowControl w:val="0"/>
      </w:pPr>
      <w:r>
        <w:t>Во второй половине XX в. коммерческие банки в Латинской Америке стали заниматься операциями, приносящими быстрый и гарантированный доход. Они принимали вклады, выдавали краткосрочные ссуды, проводили расчетные операции в частном секторе. Жесточайший ф</w:t>
      </w:r>
      <w:r>
        <w:t>и</w:t>
      </w:r>
      <w:r>
        <w:t>нансовый кризис в 1980-х гг. буквально подкосил государственные банки. Их доступ к бюдже</w:t>
      </w:r>
      <w:r>
        <w:t>т</w:t>
      </w:r>
      <w:r>
        <w:t>ным средствам был ограничен, многие кредиты оказались просроченными, а заемщики - неплатежеспособными. В результате в некоторых латиноамер</w:t>
      </w:r>
      <w:r>
        <w:t>и</w:t>
      </w:r>
      <w:r>
        <w:t>канских странах был взят курс на слияние, приватизацию или ликвидацию государственных банков. Так, в Аргентине в 1993 г. был упразднен Наци</w:t>
      </w:r>
      <w:r>
        <w:t>о</w:t>
      </w:r>
      <w:r>
        <w:t>нальный банк развития. В свою очередь, Национальный банк Аргентины был переориентирован на работу с малым и средним бизнесом</w:t>
      </w:r>
      <w:r>
        <w:rPr>
          <w:rStyle w:val="af1"/>
        </w:rPr>
        <w:footnoteReference w:id="2"/>
      </w:r>
      <w:r>
        <w:t>.</w:t>
      </w:r>
    </w:p>
    <w:p w:rsidR="007A0039" w:rsidRDefault="007A0039" w:rsidP="00273D68">
      <w:pPr>
        <w:widowControl w:val="0"/>
      </w:pPr>
      <w:r>
        <w:t xml:space="preserve">Современная банковская система Аргентины сформировалась </w:t>
      </w:r>
      <w:proofErr w:type="gramStart"/>
      <w:r>
        <w:t>в начале</w:t>
      </w:r>
      <w:proofErr w:type="gramEnd"/>
      <w:r>
        <w:t xml:space="preserve"> 90гг., в период, связанный со значительным притоком в страну иностранных инвестиций. Позитивную роль при этом сыграла отмена ограничений на до</w:t>
      </w:r>
      <w:r>
        <w:t>с</w:t>
      </w:r>
      <w:r>
        <w:t xml:space="preserve">туп </w:t>
      </w:r>
      <w:r w:rsidRPr="00DA5293">
        <w:t>иностранного капитала в национальную банковскую систему. Разрази</w:t>
      </w:r>
      <w:r w:rsidRPr="00DA5293">
        <w:t>в</w:t>
      </w:r>
      <w:r w:rsidRPr="00DA5293">
        <w:t>шийся в конце 2001г. в Аргентине крупномасштабный</w:t>
      </w:r>
      <w:r>
        <w:t xml:space="preserve"> </w:t>
      </w:r>
      <w:r w:rsidRPr="00DA5293">
        <w:t>экономический кризис сильно пошатнул всю банковскую систему страны. Общий капитал комме</w:t>
      </w:r>
      <w:r w:rsidRPr="00DA5293">
        <w:t>р</w:t>
      </w:r>
      <w:r w:rsidRPr="00DA5293">
        <w:t>ческих банков Аргентины,</w:t>
      </w:r>
      <w:r>
        <w:t xml:space="preserve"> </w:t>
      </w:r>
      <w:r w:rsidRPr="00DA5293">
        <w:t>составлявший в 2000г. 16,5 млрд</w:t>
      </w:r>
      <w:proofErr w:type="gramStart"/>
      <w:r w:rsidRPr="00DA5293">
        <w:t>.д</w:t>
      </w:r>
      <w:proofErr w:type="gramEnd"/>
      <w:r w:rsidRPr="00DA5293">
        <w:t>олл., к 2003г. уменьшился до 9,3 млрд.долл. Перечень институтов госрегулирования</w:t>
      </w:r>
      <w:r>
        <w:t xml:space="preserve"> кр</w:t>
      </w:r>
      <w:r>
        <w:t>е</w:t>
      </w:r>
      <w:r>
        <w:t>дитно-денежной политики был значительно сужен в связи с введением в янв. 2002г. Закона о чрезвычайном экономическом положении (действует до н</w:t>
      </w:r>
      <w:r>
        <w:t>а</w:t>
      </w:r>
      <w:r>
        <w:lastRenderedPageBreak/>
        <w:t>стоящего времени).</w:t>
      </w:r>
    </w:p>
    <w:p w:rsidR="007A0039" w:rsidRDefault="007A0039" w:rsidP="00273D68">
      <w:pPr>
        <w:widowControl w:val="0"/>
      </w:pPr>
      <w:r>
        <w:t xml:space="preserve">Банковская система </w:t>
      </w:r>
      <w:r w:rsidRPr="00DA5293">
        <w:t>Аргентины включает в себя: ЦБ (</w:t>
      </w:r>
      <w:proofErr w:type="spellStart"/>
      <w:r w:rsidR="005345A1">
        <w:fldChar w:fldCharType="begin"/>
      </w:r>
      <w:r w:rsidR="001D7365">
        <w:instrText>HYPERLINK "http://www.bcra.gov.ar/"</w:instrText>
      </w:r>
      <w:r w:rsidR="005345A1">
        <w:fldChar w:fldCharType="separate"/>
      </w:r>
      <w:r w:rsidRPr="00DA5293">
        <w:t>Banco</w:t>
      </w:r>
      <w:proofErr w:type="spellEnd"/>
      <w:r w:rsidRPr="00DA5293">
        <w:t xml:space="preserve"> </w:t>
      </w:r>
      <w:proofErr w:type="spellStart"/>
      <w:r w:rsidRPr="00DA5293">
        <w:t>Central</w:t>
      </w:r>
      <w:proofErr w:type="spellEnd"/>
      <w:r w:rsidRPr="00DA5293">
        <w:t xml:space="preserve"> </w:t>
      </w:r>
      <w:proofErr w:type="spellStart"/>
      <w:r w:rsidRPr="00DA5293">
        <w:t>de</w:t>
      </w:r>
      <w:proofErr w:type="spellEnd"/>
      <w:r w:rsidRPr="00DA5293">
        <w:t xml:space="preserve"> </w:t>
      </w:r>
      <w:proofErr w:type="spellStart"/>
      <w:r w:rsidRPr="00DA5293">
        <w:t>la</w:t>
      </w:r>
      <w:proofErr w:type="spellEnd"/>
      <w:r w:rsidRPr="00DA5293">
        <w:t xml:space="preserve"> </w:t>
      </w:r>
      <w:proofErr w:type="spellStart"/>
      <w:r w:rsidRPr="00DA5293">
        <w:t>Republrca</w:t>
      </w:r>
      <w:proofErr w:type="spellEnd"/>
      <w:r w:rsidRPr="00DA5293">
        <w:t xml:space="preserve"> </w:t>
      </w:r>
      <w:proofErr w:type="spellStart"/>
      <w:r w:rsidRPr="00DA5293">
        <w:t>Argentina</w:t>
      </w:r>
      <w:proofErr w:type="spellEnd"/>
      <w:r w:rsidR="005345A1">
        <w:fldChar w:fldCharType="end"/>
      </w:r>
      <w:r w:rsidRPr="00DA5293">
        <w:t>), государственные и частные коммерческие банки, включая</w:t>
      </w:r>
      <w:r>
        <w:t xml:space="preserve"> иностранные банки, банки развития, официальные провинциальные и муниципальные банки.</w:t>
      </w:r>
      <w:r w:rsidR="00C2227A">
        <w:t xml:space="preserve"> </w:t>
      </w:r>
      <w:r>
        <w:t>ЦБА проводит мониторинг операций на финанс</w:t>
      </w:r>
      <w:r>
        <w:t>о</w:t>
      </w:r>
      <w:r>
        <w:t>вом рынке и следит за осуществлением положений Закона о финансовых у</w:t>
      </w:r>
      <w:r>
        <w:t>ч</w:t>
      </w:r>
      <w:r>
        <w:t xml:space="preserve">реждениях </w:t>
      </w:r>
      <w:r w:rsidR="00C2227A">
        <w:t>N 21.526 от 14 февраля 1977 г.</w:t>
      </w:r>
      <w:r>
        <w:t>, выступает финансовым агентом правительства, управляет золотым, валютным запасом, зарубежными акт</w:t>
      </w:r>
      <w:r>
        <w:t>и</w:t>
      </w:r>
      <w:r>
        <w:t>вами, содействует развитию и укреплению рынка капитала, а также осущес</w:t>
      </w:r>
      <w:r>
        <w:t>т</w:t>
      </w:r>
      <w:r>
        <w:t>вляет валютную полит</w:t>
      </w:r>
      <w:r>
        <w:t>и</w:t>
      </w:r>
      <w:r>
        <w:t>ку</w:t>
      </w:r>
      <w:r>
        <w:rPr>
          <w:rStyle w:val="af1"/>
        </w:rPr>
        <w:footnoteReference w:id="3"/>
      </w:r>
      <w:r>
        <w:t>.</w:t>
      </w:r>
    </w:p>
    <w:p w:rsidR="007A0039" w:rsidRDefault="007A0039" w:rsidP="00273D68">
      <w:pPr>
        <w:widowControl w:val="0"/>
      </w:pPr>
      <w:r>
        <w:t xml:space="preserve">При проведении денежно-кредитной и валютной политики Банк может покупать и продавать депозитарные расписки, валюту на </w:t>
      </w:r>
      <w:proofErr w:type="gramStart"/>
      <w:r>
        <w:t>форвардных</w:t>
      </w:r>
      <w:proofErr w:type="gramEnd"/>
      <w:r>
        <w:t xml:space="preserve"> и </w:t>
      </w:r>
      <w:proofErr w:type="spellStart"/>
      <w:r>
        <w:t>спот-рынках</w:t>
      </w:r>
      <w:proofErr w:type="spellEnd"/>
      <w:r>
        <w:t>, выпускать облигации.</w:t>
      </w:r>
      <w:r w:rsidR="00C2227A">
        <w:t xml:space="preserve"> </w:t>
      </w:r>
      <w:r>
        <w:t>Перед началом каждого финансового года ЦБА оглашает свою кредитно-денежную программу с указанием уровня ожидаемой инфляции и прогн</w:t>
      </w:r>
      <w:r>
        <w:t>о</w:t>
      </w:r>
      <w:r>
        <w:t>зом колебания цен.</w:t>
      </w:r>
    </w:p>
    <w:p w:rsidR="007A0039" w:rsidRDefault="007A0039" w:rsidP="00273D68">
      <w:pPr>
        <w:widowControl w:val="0"/>
      </w:pPr>
      <w:r>
        <w:t>Единственной формой финансирования государственных структур, разрешенной для ЦБА, является финансирование Федерального казначейс</w:t>
      </w:r>
      <w:r>
        <w:t>т</w:t>
      </w:r>
      <w:r>
        <w:t>ва, но не за счет прямых кредитов, а на основе покупки государственных ценных бумаг, котирующихся на внутреннем фондовом рынке. Их приобр</w:t>
      </w:r>
      <w:r>
        <w:t>е</w:t>
      </w:r>
      <w:r>
        <w:t>тение осуществляется только по рыночным ценам. Согласно действующим нормативам, ЦБА может увеличивать имеющуюся у него массу государс</w:t>
      </w:r>
      <w:r>
        <w:t>т</w:t>
      </w:r>
      <w:r>
        <w:t>венных ценных бумаг не более чем на 10% в год от номинальной стоимости указанных бумаг, оставшихся в Банке на конец предшествующего года. Т</w:t>
      </w:r>
      <w:r>
        <w:t>а</w:t>
      </w:r>
      <w:r>
        <w:t>ким образом, пределы такого финансирования фактически ограничены и, кроме того, не позволяют правительству навязывать ЦБА льготный для гос</w:t>
      </w:r>
      <w:r>
        <w:t>у</w:t>
      </w:r>
      <w:r>
        <w:t>дарства курс покупки его ценных бумаг.</w:t>
      </w:r>
    </w:p>
    <w:p w:rsidR="007A0039" w:rsidRDefault="007A0039" w:rsidP="00273D68">
      <w:pPr>
        <w:widowControl w:val="0"/>
      </w:pPr>
      <w:r>
        <w:t>В соответствии с установленным порядком лицензирования, регулир</w:t>
      </w:r>
      <w:r>
        <w:t>о</w:t>
      </w:r>
      <w:r>
        <w:t xml:space="preserve">вания и контроля в банковской сфере ни одна национальная или иностранная </w:t>
      </w:r>
      <w:r>
        <w:lastRenderedPageBreak/>
        <w:t xml:space="preserve">банковская организация не может функционировать без соответствующей лицензии или разрешения, </w:t>
      </w:r>
      <w:proofErr w:type="gramStart"/>
      <w:r>
        <w:t>выдаваемых</w:t>
      </w:r>
      <w:proofErr w:type="gramEnd"/>
      <w:r>
        <w:t xml:space="preserve"> ЦБА.</w:t>
      </w:r>
    </w:p>
    <w:p w:rsidR="007A0039" w:rsidRDefault="007A0039" w:rsidP="00273D68">
      <w:pPr>
        <w:widowControl w:val="0"/>
      </w:pPr>
      <w:r>
        <w:t>С целью увеличения фондов для финансирования экспорта сре</w:t>
      </w:r>
      <w:proofErr w:type="gramStart"/>
      <w:r>
        <w:t>дств пр</w:t>
      </w:r>
      <w:proofErr w:type="gramEnd"/>
      <w:r>
        <w:t>оизводства малыми и средними аргентинскими компаниями Национал</w:t>
      </w:r>
      <w:r>
        <w:t>ь</w:t>
      </w:r>
      <w:r>
        <w:t>ный банк Аргентины размещает долговые обязательства на международном рынке.</w:t>
      </w:r>
      <w:r w:rsidR="00C2227A">
        <w:t xml:space="preserve"> </w:t>
      </w:r>
      <w:r>
        <w:t>Национальный ипотечный банк создан с целью финансирования ж</w:t>
      </w:r>
      <w:r>
        <w:t>и</w:t>
      </w:r>
      <w:r>
        <w:t>лищного строительства и предоставления ипотечного кредитования и в о</w:t>
      </w:r>
      <w:r>
        <w:t>с</w:t>
      </w:r>
      <w:r>
        <w:t>новном предоставляет свои услуги национальным строительным компаниям и частным лицам - резидентам страны.</w:t>
      </w:r>
    </w:p>
    <w:p w:rsidR="007A0039" w:rsidRDefault="007A0039" w:rsidP="00273D68">
      <w:pPr>
        <w:widowControl w:val="0"/>
      </w:pPr>
      <w:r>
        <w:t>Система страхования банковских депозитов была создана в соответс</w:t>
      </w:r>
      <w:r>
        <w:t>т</w:t>
      </w:r>
      <w:r>
        <w:t>вии с Законом от 5 апреля 1995 г. Декретом от 21 сентября 1996 г. N 177/96 в развитие указанного Закона было определено, что все финансовые организ</w:t>
      </w:r>
      <w:r>
        <w:t>а</w:t>
      </w:r>
      <w:r>
        <w:t>ции, деятельность которых разрешена на национальной территории, обязаны создавать страховые фонды. В эти фонды необходимо осуществлять обяз</w:t>
      </w:r>
      <w:r>
        <w:t>а</w:t>
      </w:r>
      <w:r>
        <w:t>тельные ежемесячные отчисления в размерах, устанавливаемых ЦБА.</w:t>
      </w:r>
    </w:p>
    <w:p w:rsidR="007A0039" w:rsidRDefault="007A0039" w:rsidP="00273D68">
      <w:pPr>
        <w:widowControl w:val="0"/>
      </w:pPr>
      <w:r>
        <w:t>Механизм санации и ликвидации финансовых организаций закреплен в Законе о финансовых учреждениях. В ст. 34 этого Закона говорится о том, что финансовая организация, которая не выполняет распоряжения или соо</w:t>
      </w:r>
      <w:r>
        <w:t>т</w:t>
      </w:r>
      <w:r>
        <w:t>ветствующие установки ЦБА, должна представить объяснения в сроки, уст</w:t>
      </w:r>
      <w:r>
        <w:t>а</w:t>
      </w:r>
      <w:r>
        <w:t>новленные Банком.</w:t>
      </w:r>
    </w:p>
    <w:p w:rsidR="007A0039" w:rsidRDefault="007A0039" w:rsidP="00273D68">
      <w:pPr>
        <w:widowControl w:val="0"/>
      </w:pPr>
      <w:r>
        <w:t xml:space="preserve">В 2005 г. в Аргентине были установлены некоторые ограничения по доступу валюты на местный обменный рынок. Данные меры направлены на усиление </w:t>
      </w:r>
      <w:proofErr w:type="gramStart"/>
      <w:r>
        <w:t>контроля за</w:t>
      </w:r>
      <w:proofErr w:type="gramEnd"/>
      <w:r>
        <w:t xml:space="preserve"> движением валютных средств на местном обменном рынке, ограничение доступа спекулятивного капитала и поддержание курса аргентинского песо.</w:t>
      </w:r>
    </w:p>
    <w:p w:rsidR="007A0039" w:rsidRDefault="007A0039" w:rsidP="00273D68">
      <w:pPr>
        <w:widowControl w:val="0"/>
      </w:pPr>
      <w:r>
        <w:t>31 августа 2005 г. Президентом Аргентины был издан Декрет N 1047/2005 о внесении изменений в регулирование финансового рынка. Цель принятия Декрета - развитие финансового рынка с помощью привлечения среднесрочных и долгосрочных вкладов. Одновременно принятые изменения упрощают доступ к кредитованию различных заинтересованных лиц, гла</w:t>
      </w:r>
      <w:r>
        <w:t>в</w:t>
      </w:r>
      <w:r>
        <w:lastRenderedPageBreak/>
        <w:t>ным образом, малых и средних предприятий</w:t>
      </w:r>
      <w:r>
        <w:rPr>
          <w:rStyle w:val="af1"/>
        </w:rPr>
        <w:footnoteReference w:id="4"/>
      </w:r>
      <w:r>
        <w:t>.</w:t>
      </w:r>
    </w:p>
    <w:p w:rsidR="007A0039" w:rsidRDefault="007A0039" w:rsidP="00273D68">
      <w:pPr>
        <w:widowControl w:val="0"/>
      </w:pPr>
      <w:r>
        <w:t>В соответствии с данным Декретом уполномоченные финансовые о</w:t>
      </w:r>
      <w:r>
        <w:t>р</w:t>
      </w:r>
      <w:r>
        <w:t>ганизации должны размещать денежные вклады путем выпуска депозитных сертификатов, с указанием фиксированной даты их погашения. Срочные д</w:t>
      </w:r>
      <w:r>
        <w:t>е</w:t>
      </w:r>
      <w:r>
        <w:t>позитные сертификаты могут передаваться путем индоссамента, который должен быть простым и ничем не обусловленным. Индоссаменты на предъ</w:t>
      </w:r>
      <w:r>
        <w:t>я</w:t>
      </w:r>
      <w:r>
        <w:t>вителя или бланковые не имеют силы.</w:t>
      </w:r>
    </w:p>
    <w:p w:rsidR="007A0039" w:rsidRDefault="007A0039" w:rsidP="00273D68">
      <w:pPr>
        <w:widowControl w:val="0"/>
      </w:pPr>
      <w:r>
        <w:t>Указанные сертификаты с фиксированной датой, выдаваемые на срок 365 дней или по решению ЦБА на более длительный срок, могут свободно котироваться на бирже и рынке ценных бумаг с тем, чтобы гарантировалось соотношение предложений по принципу "цена - время".</w:t>
      </w:r>
    </w:p>
    <w:p w:rsidR="007A0039" w:rsidRDefault="007A0039" w:rsidP="00273D68">
      <w:pPr>
        <w:widowControl w:val="0"/>
      </w:pPr>
      <w:r>
        <w:t>В Аргентине существуют биржевые агенты-посредники - юридические или физические лица, которые являются участниками рынка ценных бумаг, открытого электронного рынка (через Интернет) или общих инвестиционных фондов. Биржевые агенты в обязательном порядке должны быть внесены в соответствующий реестр. Только агенты-посредники имеют право осущест</w:t>
      </w:r>
      <w:r>
        <w:t>в</w:t>
      </w:r>
      <w:r>
        <w:t>лять профессиональную деятельность на рынке ценных бумаг, оказывая ра</w:t>
      </w:r>
      <w:r>
        <w:t>з</w:t>
      </w:r>
      <w:r>
        <w:t>нообразные услуги. За свою работу они получают договорную комиссию. В случае если участники рынка ценных бумаг не нуждаются в услугах агента-посредника, то они могут действовать напрямую через общий инвестицио</w:t>
      </w:r>
      <w:r>
        <w:t>н</w:t>
      </w:r>
      <w:r>
        <w:t>ный фонд.</w:t>
      </w:r>
    </w:p>
    <w:p w:rsidR="00772F1F" w:rsidRDefault="007A0039" w:rsidP="00273D68">
      <w:pPr>
        <w:widowControl w:val="0"/>
      </w:pPr>
      <w:r>
        <w:t>Таким образом, финансовая и банковская системы Аргентины являю</w:t>
      </w:r>
      <w:r>
        <w:t>т</w:t>
      </w:r>
      <w:r>
        <w:t>ся достаточно развитыми. Особое место в них занимает Центральный банк. Он наделен широкими стратегическими полномочиями, а также выполняет функции регулятора в инвестиционном и банковском секторе. При этом ЦБА пользуется достаточной автономией в отношениях с национальным прав</w:t>
      </w:r>
      <w:r>
        <w:t>и</w:t>
      </w:r>
      <w:r>
        <w:t>тельством. Кроме того, законодательство Аргентины предусматривает дост</w:t>
      </w:r>
      <w:r>
        <w:t>а</w:t>
      </w:r>
      <w:r>
        <w:t>точно лояльные условия для зарубежного капитала.</w:t>
      </w:r>
    </w:p>
    <w:p w:rsidR="00772F1F" w:rsidRPr="00E70135" w:rsidRDefault="00772F1F" w:rsidP="00273D68">
      <w:pPr>
        <w:pStyle w:val="2"/>
        <w:widowControl w:val="0"/>
      </w:pPr>
      <w:bookmarkStart w:id="2" w:name="_Toc448264285"/>
      <w:r>
        <w:lastRenderedPageBreak/>
        <w:t xml:space="preserve">2. </w:t>
      </w:r>
      <w:r w:rsidRPr="00E70135">
        <w:t>Характеристика современной банковской системы РФ</w:t>
      </w:r>
      <w:bookmarkEnd w:id="2"/>
    </w:p>
    <w:p w:rsidR="002F1302" w:rsidRDefault="002F1302" w:rsidP="00273D68">
      <w:pPr>
        <w:widowControl w:val="0"/>
      </w:pPr>
    </w:p>
    <w:p w:rsidR="007A0039" w:rsidRDefault="007A0039" w:rsidP="00273D68">
      <w:pPr>
        <w:widowControl w:val="0"/>
      </w:pPr>
      <w:r w:rsidRPr="007A0039">
        <w:t>Российская банковская система имеет двухуровневую модель постро</w:t>
      </w:r>
      <w:r w:rsidRPr="007A0039">
        <w:t>е</w:t>
      </w:r>
      <w:r w:rsidRPr="007A0039">
        <w:t>ния, где верхний, или первый, уровень занимает Банк России, целями де</w:t>
      </w:r>
      <w:r w:rsidRPr="007A0039">
        <w:t>я</w:t>
      </w:r>
      <w:r w:rsidRPr="007A0039">
        <w:t>тельности которого являются защита и обеспечение устойчивости рубля, ра</w:t>
      </w:r>
      <w:r w:rsidRPr="007A0039">
        <w:t>з</w:t>
      </w:r>
      <w:r w:rsidRPr="007A0039">
        <w:t>витие и укрепление банковской системы Российской Федерации</w:t>
      </w:r>
      <w:r>
        <w:t>, обеспеч</w:t>
      </w:r>
      <w:r>
        <w:t>е</w:t>
      </w:r>
      <w:r>
        <w:t>ние стабильности и развития национальной платежной системы</w:t>
      </w:r>
      <w:r>
        <w:rPr>
          <w:rStyle w:val="af1"/>
        </w:rPr>
        <w:footnoteReference w:id="5"/>
      </w:r>
      <w:r>
        <w:t>.</w:t>
      </w:r>
    </w:p>
    <w:p w:rsidR="007E4950" w:rsidRDefault="007E4950" w:rsidP="00273D68">
      <w:pPr>
        <w:widowControl w:val="0"/>
      </w:pPr>
      <w:r>
        <w:t>Нижний, или второй, уровень занимают кредитные организации и агентство по страхованию вкладов.</w:t>
      </w:r>
    </w:p>
    <w:p w:rsidR="00716C3D" w:rsidRDefault="00716C3D" w:rsidP="00273D68">
      <w:pPr>
        <w:widowControl w:val="0"/>
      </w:pPr>
      <w:r>
        <w:t xml:space="preserve">Банк, в соответствии со </w:t>
      </w:r>
      <w:r>
        <w:rPr>
          <w:color w:val="0000FF"/>
        </w:rPr>
        <w:t>ст. 1</w:t>
      </w:r>
      <w:r>
        <w:t xml:space="preserve"> Закона о банках и банковской </w:t>
      </w:r>
      <w:r w:rsidRPr="00716C3D">
        <w:t>деятельн</w:t>
      </w:r>
      <w:r w:rsidRPr="00716C3D">
        <w:t>о</w:t>
      </w:r>
      <w:r w:rsidRPr="00716C3D">
        <w:t>сти, - это кредитная организация, которая имеет исключительное право ос</w:t>
      </w:r>
      <w:r w:rsidRPr="00716C3D">
        <w:t>у</w:t>
      </w:r>
      <w:r w:rsidRPr="00716C3D">
        <w:t xml:space="preserve">ществлять в </w:t>
      </w:r>
      <w:proofErr w:type="gramStart"/>
      <w:r w:rsidRPr="00716C3D">
        <w:t>совокупности</w:t>
      </w:r>
      <w:proofErr w:type="gramEnd"/>
      <w:r w:rsidRPr="00716C3D">
        <w:t xml:space="preserve"> следующие банковские операции: привлечение во вклады денежных средств физических и юридических лиц, размещение ук</w:t>
      </w:r>
      <w:r w:rsidRPr="00716C3D">
        <w:t>а</w:t>
      </w:r>
      <w:r w:rsidRPr="00716C3D">
        <w:t>занных средств от своего имени и за свой счет на условиях возвратности, платности, срочности, открытие и ведение банковских счетов физических и юридических лиц</w:t>
      </w:r>
      <w:r>
        <w:rPr>
          <w:rStyle w:val="af1"/>
        </w:rPr>
        <w:footnoteReference w:id="6"/>
      </w:r>
      <w:r w:rsidRPr="00716C3D">
        <w:t>. Небанковская кредитная организация - это кредитная о</w:t>
      </w:r>
      <w:r w:rsidRPr="00716C3D">
        <w:t>р</w:t>
      </w:r>
      <w:r w:rsidRPr="00716C3D">
        <w:t>ганизация, которая имеет право осуществлять отдельные банковские опер</w:t>
      </w:r>
      <w:r w:rsidRPr="00716C3D">
        <w:t>а</w:t>
      </w:r>
      <w:r w:rsidRPr="00716C3D">
        <w:t xml:space="preserve">ции, предусмотренные </w:t>
      </w:r>
      <w:hyperlink r:id="rId8" w:history="1">
        <w:r w:rsidRPr="00716C3D">
          <w:t>Законом</w:t>
        </w:r>
      </w:hyperlink>
      <w:r w:rsidRPr="00716C3D">
        <w:t xml:space="preserve"> о банках и банковской деятельности. Допу</w:t>
      </w:r>
      <w:r w:rsidRPr="00716C3D">
        <w:t>с</w:t>
      </w:r>
      <w:r w:rsidRPr="00716C3D">
        <w:t>тимые сочетания банковских операций</w:t>
      </w:r>
      <w:r>
        <w:t xml:space="preserve"> для небанковских кредитных орган</w:t>
      </w:r>
      <w:r>
        <w:t>и</w:t>
      </w:r>
      <w:r>
        <w:t>заций могут быть предписаны законом или установлены Банком России.</w:t>
      </w:r>
    </w:p>
    <w:p w:rsidR="00BB5A33" w:rsidRDefault="00BB5A33" w:rsidP="00273D68">
      <w:pPr>
        <w:widowControl w:val="0"/>
      </w:pPr>
      <w:r>
        <w:t xml:space="preserve">Примерно с середины 2014 г. российская банковская система, на долю которой приходится свыше 90% всех финансовых активов страны, оказалась в ряду секторов экономики, оказавшихся наиболее уязвимыми к негативному воздействию внешних шоков и затухающей макроэкономической динамики. Высокая чувствительность банковской деятельности к кризисным сценариям объясняется, хотя и не в полной мере, ее зависимостью от поведенческой психологии клиентов, которая, особенно в условиях проявления признаков </w:t>
      </w:r>
      <w:r>
        <w:lastRenderedPageBreak/>
        <w:t>финансовой нестабильности, а тем более панических настроений, приобрет</w:t>
      </w:r>
      <w:r>
        <w:t>а</w:t>
      </w:r>
      <w:r>
        <w:t>ет черты иррациональности. Наряду с этим большую роль в возникновении стрессовых ситуаций, как показывает мировая практика, играют факты н</w:t>
      </w:r>
      <w:r>
        <w:t>е</w:t>
      </w:r>
      <w:r>
        <w:t>добросовестного поведения самих банков и неадекватные действия регулят</w:t>
      </w:r>
      <w:r>
        <w:t>о</w:t>
      </w:r>
      <w:r>
        <w:t>ров. Угроза трансформации стрессовой ситуации в полномасштабный кризис вынуждает государство прибегать к финансовой поддержке банков, а через них и их клиентов – кредиторов, вкладчиков и даже заемщиков.</w:t>
      </w:r>
    </w:p>
    <w:p w:rsidR="00BB5A33" w:rsidRDefault="00BB5A33" w:rsidP="00273D68">
      <w:pPr>
        <w:widowControl w:val="0"/>
        <w:ind w:firstLine="0"/>
        <w:jc w:val="center"/>
      </w:pPr>
      <w:r>
        <w:rPr>
          <w:noProof/>
        </w:rPr>
        <w:drawing>
          <wp:inline distT="0" distB="0" distL="0" distR="0">
            <wp:extent cx="5766099" cy="2684057"/>
            <wp:effectExtent l="19050" t="0" r="605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3234" t="50173" r="31632" b="236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099" cy="2684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A33" w:rsidRDefault="00BB5A33" w:rsidP="00273D68">
      <w:pPr>
        <w:widowControl w:val="0"/>
        <w:jc w:val="center"/>
      </w:pPr>
      <w:r>
        <w:t>Рисунок 1 - Основные причины и факторы стрессовой ситуации в ро</w:t>
      </w:r>
      <w:r>
        <w:t>с</w:t>
      </w:r>
      <w:r>
        <w:t xml:space="preserve">сийской банковской системе в 2014-2015 </w:t>
      </w:r>
      <w:proofErr w:type="spellStart"/>
      <w:r>
        <w:t>гг</w:t>
      </w:r>
      <w:proofErr w:type="spellEnd"/>
      <w:r>
        <w:rPr>
          <w:rStyle w:val="af1"/>
        </w:rPr>
        <w:footnoteReference w:id="7"/>
      </w:r>
      <w:r>
        <w:t>.</w:t>
      </w:r>
    </w:p>
    <w:p w:rsidR="00BB5A33" w:rsidRDefault="00BB5A33" w:rsidP="00273D68">
      <w:pPr>
        <w:widowControl w:val="0"/>
        <w:jc w:val="center"/>
      </w:pPr>
    </w:p>
    <w:p w:rsidR="00F87BF5" w:rsidRDefault="00F87BF5" w:rsidP="00273D68">
      <w:pPr>
        <w:widowControl w:val="0"/>
      </w:pPr>
      <w:r>
        <w:t>Развитие российской банковской системы в 2014 и первые месяцы 2015 г. протекало в условиях усиления негативного воздействия внешних шоков, дальнейшего снижения инвестиционной и деловой активности в стране. Чи</w:t>
      </w:r>
      <w:r>
        <w:t>с</w:t>
      </w:r>
      <w:r>
        <w:t>тый отток капитала, по методологии Банка России, составил в 2014 г. 152 млрд. долл., что примерно втрое выше среднего уровня предыдущих пяти лет. Применение в отношении ряда российских банков санкций, введение о</w:t>
      </w:r>
      <w:r>
        <w:t>г</w:t>
      </w:r>
      <w:r>
        <w:t>раничений на внешнее фондирование и пересмотр рейтингов основных ро</w:t>
      </w:r>
      <w:r>
        <w:t>с</w:t>
      </w:r>
      <w:r>
        <w:t>сийских эмитентов со стороны ведущих международных рейтинговых аген</w:t>
      </w:r>
      <w:proofErr w:type="gramStart"/>
      <w:r>
        <w:t>тств в ст</w:t>
      </w:r>
      <w:proofErr w:type="gramEnd"/>
      <w:r>
        <w:t xml:space="preserve">орону понижения содействовали обострению дефицита текущей </w:t>
      </w:r>
      <w:r>
        <w:lastRenderedPageBreak/>
        <w:t>ликвидности и ухудшению структуры балансов кредитных организаций. З</w:t>
      </w:r>
      <w:r>
        <w:t>а</w:t>
      </w:r>
      <w:r>
        <w:t>медлились темпы наращивания собственных средств, продолжилась тенде</w:t>
      </w:r>
      <w:r>
        <w:t>н</w:t>
      </w:r>
      <w:r>
        <w:t>ция к снижению качества кредитных портфелей и коэффициента достаточн</w:t>
      </w:r>
      <w:r>
        <w:t>о</w:t>
      </w:r>
      <w:r>
        <w:t>сти капитала.</w:t>
      </w:r>
    </w:p>
    <w:p w:rsidR="00F87BF5" w:rsidRDefault="00FB1B6F" w:rsidP="00273D68">
      <w:pPr>
        <w:widowControl w:val="0"/>
        <w:jc w:val="center"/>
      </w:pPr>
      <w:r>
        <w:rPr>
          <w:noProof/>
        </w:rPr>
        <w:drawing>
          <wp:inline distT="0" distB="0" distL="0" distR="0">
            <wp:extent cx="3177821" cy="2284927"/>
            <wp:effectExtent l="19050" t="0" r="3529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8341" t="24419" r="33081" b="54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508" cy="2291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BF5" w:rsidRDefault="00F87BF5" w:rsidP="00273D68">
      <w:pPr>
        <w:widowControl w:val="0"/>
        <w:jc w:val="center"/>
      </w:pPr>
      <w:r>
        <w:t>Рисунок 2 - Валютные активы и пассивы в совокупных активах и па</w:t>
      </w:r>
      <w:r>
        <w:t>с</w:t>
      </w:r>
      <w:r>
        <w:t>сивах банковского сектора</w:t>
      </w:r>
    </w:p>
    <w:p w:rsidR="00F87BF5" w:rsidRDefault="00F87BF5" w:rsidP="00273D68">
      <w:pPr>
        <w:widowControl w:val="0"/>
      </w:pPr>
    </w:p>
    <w:p w:rsidR="00273D68" w:rsidRDefault="00273D68" w:rsidP="00273D68">
      <w:pPr>
        <w:widowControl w:val="0"/>
      </w:pPr>
      <w:r>
        <w:t>Усиление спроса на иностранную валюту привело к заметному пов</w:t>
      </w:r>
      <w:r>
        <w:t>ы</w:t>
      </w:r>
      <w:r>
        <w:t>шению в 2014 г. удельного веса валютных активов и пассивов на балансах российских банков. Особенно это коснулось ТОП-20 банков, в которых те</w:t>
      </w:r>
      <w:r>
        <w:t>м</w:t>
      </w:r>
      <w:r>
        <w:t>пы прироста остатков на валютных счетах опережали, хотя и незначительно, аналогичный показатель в среднем по всей банковской системе. По состо</w:t>
      </w:r>
      <w:r>
        <w:t>я</w:t>
      </w:r>
      <w:r>
        <w:t xml:space="preserve">нию на начало февраля 2015 г., </w:t>
      </w:r>
      <w:proofErr w:type="spellStart"/>
      <w:r>
        <w:t>валютизация</w:t>
      </w:r>
      <w:proofErr w:type="spellEnd"/>
      <w:r>
        <w:t xml:space="preserve"> достигла 34,7% всех активов (36,8% в ТОП-20) и 33,6% всех пассивов (35,9% в ТОП-20). Таким образом, с начала 2014 г. темпы прироста </w:t>
      </w:r>
      <w:proofErr w:type="spellStart"/>
      <w:r>
        <w:t>валютизации</w:t>
      </w:r>
      <w:proofErr w:type="spellEnd"/>
      <w:r>
        <w:t xml:space="preserve"> балансов кредитных организ</w:t>
      </w:r>
      <w:r>
        <w:t>а</w:t>
      </w:r>
      <w:r>
        <w:t>ций составили примерно 60%, тогда как за 2013 г. они не превышали 15%</w:t>
      </w:r>
      <w:r>
        <w:rPr>
          <w:rStyle w:val="af1"/>
        </w:rPr>
        <w:footnoteReference w:id="8"/>
      </w:r>
      <w:r>
        <w:t xml:space="preserve">. </w:t>
      </w:r>
    </w:p>
    <w:p w:rsidR="00C2227A" w:rsidRDefault="00273D68" w:rsidP="00273D68">
      <w:pPr>
        <w:widowControl w:val="0"/>
      </w:pPr>
      <w:r>
        <w:t>Кредитование занимает ключевое место в структуре операций росси</w:t>
      </w:r>
      <w:r>
        <w:t>й</w:t>
      </w:r>
      <w:r>
        <w:t xml:space="preserve">ских банков, повышая свой удельный вес в фазе подъема и снижая в периоды спада экономической активности. Начиная с 2013 г. прирост абсолютных объемов темпов кредитования населения показывает выраженную тенденцию </w:t>
      </w:r>
      <w:r>
        <w:lastRenderedPageBreak/>
        <w:t xml:space="preserve">к замедлению. </w:t>
      </w:r>
    </w:p>
    <w:p w:rsidR="00273D68" w:rsidRDefault="00273D68" w:rsidP="00273D68">
      <w:pPr>
        <w:widowControl w:val="0"/>
      </w:pPr>
      <w:r>
        <w:t>Еще со II квартала 2014 г. до начала резкой девальвации рубля явно обозначился тренд на ужесточение условий кредитования всех категорий з</w:t>
      </w:r>
      <w:r>
        <w:t>а</w:t>
      </w:r>
      <w:r>
        <w:t>емщиков.</w:t>
      </w:r>
    </w:p>
    <w:p w:rsidR="00C2227A" w:rsidRDefault="00273D68" w:rsidP="00273D68">
      <w:pPr>
        <w:widowControl w:val="0"/>
      </w:pPr>
      <w:r>
        <w:t>Одним из наиболее тревожных признаков ухудшения условий банко</w:t>
      </w:r>
      <w:r>
        <w:t>в</w:t>
      </w:r>
      <w:r>
        <w:t>ской деятельности является снижение финансового результата и рентабел</w:t>
      </w:r>
      <w:r>
        <w:t>ь</w:t>
      </w:r>
      <w:r>
        <w:t xml:space="preserve">ности проводимых операций, рост числа убыточных кредитных организаций. Тем самым подрываются возможности органического роста на основе </w:t>
      </w:r>
      <w:proofErr w:type="spellStart"/>
      <w:r>
        <w:t>рек</w:t>
      </w:r>
      <w:r>
        <w:t>а</w:t>
      </w:r>
      <w:r>
        <w:t>питализации</w:t>
      </w:r>
      <w:proofErr w:type="spellEnd"/>
      <w:r>
        <w:t xml:space="preserve"> части прибыли, </w:t>
      </w:r>
      <w:proofErr w:type="spellStart"/>
      <w:r>
        <w:t>доформирования</w:t>
      </w:r>
      <w:proofErr w:type="spellEnd"/>
      <w:r>
        <w:t xml:space="preserve"> в случае необходимости р</w:t>
      </w:r>
      <w:r>
        <w:t>е</w:t>
      </w:r>
      <w:r>
        <w:t>зервов на возможные потери по ссудам и ценным бумагам. Убыточность коммерческого банка рано или поздно ставит вопрос не только об его искл</w:t>
      </w:r>
      <w:r>
        <w:t>ю</w:t>
      </w:r>
      <w:r>
        <w:t>чении из системы страхования вкладов гр</w:t>
      </w:r>
      <w:r w:rsidR="00C2227A">
        <w:t>аждан, но и об отзыве лицензии</w:t>
      </w:r>
      <w:r>
        <w:rPr>
          <w:rStyle w:val="af1"/>
        </w:rPr>
        <w:footnoteReference w:id="9"/>
      </w:r>
      <w:r>
        <w:t xml:space="preserve">. </w:t>
      </w:r>
    </w:p>
    <w:p w:rsidR="00273D68" w:rsidRDefault="00273D68" w:rsidP="00273D68">
      <w:pPr>
        <w:widowControl w:val="0"/>
      </w:pPr>
      <w:r>
        <w:t>В IV квартале 2014 г. и первых месяцах 2015 г. в силу целого ряда фа</w:t>
      </w:r>
      <w:r>
        <w:t>к</w:t>
      </w:r>
      <w:r>
        <w:t>торов произошло заметное ухудшение ситуации с пополнением и поддерж</w:t>
      </w:r>
      <w:r>
        <w:t>а</w:t>
      </w:r>
      <w:r>
        <w:t>нием ликвидности в большинстве российских банков. Во-первых, учетная ставка Банка России на уровне 15% закрепляет высокую стоимость заимс</w:t>
      </w:r>
      <w:r>
        <w:t>т</w:t>
      </w:r>
      <w:r>
        <w:t>вований на межбанковском рынке и все больше превращает его в «закрытый клуб». Во- вторых, произошло значительное уменьшение притока сре</w:t>
      </w:r>
      <w:proofErr w:type="gramStart"/>
      <w:r>
        <w:t>дств гр</w:t>
      </w:r>
      <w:proofErr w:type="gramEnd"/>
      <w:r>
        <w:t>аждан, которые для многих банков служили основным источником попо</w:t>
      </w:r>
      <w:r>
        <w:t>л</w:t>
      </w:r>
      <w:r>
        <w:t xml:space="preserve">нения ресурсной базы. Более того, высокие </w:t>
      </w:r>
      <w:proofErr w:type="spellStart"/>
      <w:r>
        <w:t>инфляционно-девальвационные</w:t>
      </w:r>
      <w:proofErr w:type="spellEnd"/>
      <w:r>
        <w:t xml:space="preserve"> ожидания усиливают угрозу оттока вкладов. В-</w:t>
      </w:r>
      <w:r w:rsidRPr="00273D68">
        <w:t xml:space="preserve"> </w:t>
      </w:r>
      <w:r>
        <w:t>третьих, продолжается пр</w:t>
      </w:r>
      <w:r>
        <w:t>о</w:t>
      </w:r>
      <w:r>
        <w:t xml:space="preserve">цесс </w:t>
      </w:r>
      <w:proofErr w:type="spellStart"/>
      <w:r>
        <w:t>перетока</w:t>
      </w:r>
      <w:proofErr w:type="spellEnd"/>
      <w:r>
        <w:t xml:space="preserve"> средств корпоративных клиентов в банки с государственным участием, в том числе за счет недобросовестного поведения со стороны нек</w:t>
      </w:r>
      <w:r>
        <w:t>о</w:t>
      </w:r>
      <w:r>
        <w:t>торых из них. В частности, в декабре 2014 г. Сбербанк на короткий период времени повысил ставки по депозитам юридических лиц до уровня выше 30%. Система рефинансирования Банка России ориентирована главным обр</w:t>
      </w:r>
      <w:r>
        <w:t>а</w:t>
      </w:r>
      <w:r>
        <w:t>зом на поддержку крупных банков.</w:t>
      </w:r>
    </w:p>
    <w:p w:rsidR="0062386F" w:rsidRDefault="0062386F">
      <w:pPr>
        <w:spacing w:line="240" w:lineRule="auto"/>
        <w:ind w:firstLine="0"/>
        <w:jc w:val="left"/>
      </w:pPr>
      <w:r>
        <w:br w:type="page"/>
      </w:r>
    </w:p>
    <w:p w:rsidR="0062386F" w:rsidRDefault="0062386F" w:rsidP="0062386F">
      <w:pPr>
        <w:pStyle w:val="2"/>
      </w:pPr>
      <w:bookmarkStart w:id="3" w:name="_Toc448264286"/>
      <w:r>
        <w:lastRenderedPageBreak/>
        <w:t>Заключение</w:t>
      </w:r>
      <w:bookmarkEnd w:id="3"/>
    </w:p>
    <w:p w:rsidR="0062386F" w:rsidRDefault="0062386F" w:rsidP="0062386F"/>
    <w:p w:rsidR="0062386F" w:rsidRDefault="0062386F" w:rsidP="0062386F">
      <w:r>
        <w:t>На основании проведенного исследования можно сделать следующие выводы:</w:t>
      </w:r>
    </w:p>
    <w:p w:rsidR="0062386F" w:rsidRDefault="0062386F" w:rsidP="0062386F">
      <w:pPr>
        <w:widowControl w:val="0"/>
      </w:pPr>
      <w:r>
        <w:t>1. Финансовая и банковская системы Аргентины являются достаточно развитыми. Особое место в них занимает Центральный банк. Он наделен ш</w:t>
      </w:r>
      <w:r>
        <w:t>и</w:t>
      </w:r>
      <w:r>
        <w:t>рокими стратегическими полномочиями, а также выполняет функции регул</w:t>
      </w:r>
      <w:r>
        <w:t>я</w:t>
      </w:r>
      <w:r>
        <w:t>тора в инвестиционном и банковском секторе. При этом ЦБА пользуется достаточной автономией в отношениях с национальным правительством. Кроме того, законодательство Аргентины предусматривает достаточно л</w:t>
      </w:r>
      <w:r>
        <w:t>о</w:t>
      </w:r>
      <w:r>
        <w:t>яльные условия для зарубежного капитала.</w:t>
      </w:r>
    </w:p>
    <w:p w:rsidR="0062386F" w:rsidRDefault="0062386F" w:rsidP="0062386F">
      <w:pPr>
        <w:widowControl w:val="0"/>
      </w:pPr>
      <w:r>
        <w:t>2. В IV квартале 2014 г. и первых месяцах 2015 г. в силу целого ряда факторов произошло заметное ухудшение ситуации с пополнением и по</w:t>
      </w:r>
      <w:r>
        <w:t>д</w:t>
      </w:r>
      <w:r>
        <w:t>держанием ликвидности в большинстве российских банков. Во-первых, учетная ставка Банка России на уровне 15% закрепляет высокую стоимость заимствований на межбанковском рынке и все больше превращает его в «з</w:t>
      </w:r>
      <w:r>
        <w:t>а</w:t>
      </w:r>
      <w:r>
        <w:t>крытый клуб». Во- вторых, произошло значительное уменьшение притока сре</w:t>
      </w:r>
      <w:proofErr w:type="gramStart"/>
      <w:r>
        <w:t>дств гр</w:t>
      </w:r>
      <w:proofErr w:type="gramEnd"/>
      <w:r>
        <w:t>аждан, которые для многих банков служили основным источником попо</w:t>
      </w:r>
      <w:r>
        <w:t>л</w:t>
      </w:r>
      <w:r>
        <w:t xml:space="preserve">нения ресурсной базы. Более того, высокие </w:t>
      </w:r>
      <w:proofErr w:type="spellStart"/>
      <w:r>
        <w:t>инфляционно-девальвационные</w:t>
      </w:r>
      <w:proofErr w:type="spellEnd"/>
      <w:r>
        <w:t xml:space="preserve"> ожидания усиливают угрозу оттока вкладов. В-</w:t>
      </w:r>
      <w:r w:rsidRPr="00273D68">
        <w:t xml:space="preserve"> </w:t>
      </w:r>
      <w:r>
        <w:t>третьих, продолжается пр</w:t>
      </w:r>
      <w:r>
        <w:t>о</w:t>
      </w:r>
      <w:r>
        <w:t xml:space="preserve">цесс </w:t>
      </w:r>
      <w:proofErr w:type="spellStart"/>
      <w:r>
        <w:t>перетока</w:t>
      </w:r>
      <w:proofErr w:type="spellEnd"/>
      <w:r>
        <w:t xml:space="preserve"> средств корпоративных клиентов в банки с государственным участием, в том числе за счет недобросовестного повед</w:t>
      </w:r>
      <w:r>
        <w:t>е</w:t>
      </w:r>
      <w:r>
        <w:t>ния со стороны нек</w:t>
      </w:r>
      <w:r>
        <w:t>о</w:t>
      </w:r>
      <w:r>
        <w:t>торых из них. В частности, в декабре 2014 г. Сбербанк на короткий период времени повысил ставки по депозитам юридических лиц до уровня выше 30%. Система рефинансирования Банка России ориентирована главным обр</w:t>
      </w:r>
      <w:r>
        <w:t>а</w:t>
      </w:r>
      <w:r>
        <w:t>зом на поддержку крупных банков.</w:t>
      </w:r>
    </w:p>
    <w:p w:rsidR="0062386F" w:rsidRPr="0062386F" w:rsidRDefault="0062386F" w:rsidP="0062386F"/>
    <w:p w:rsidR="002F1302" w:rsidRDefault="002F1302" w:rsidP="00273D68">
      <w:pPr>
        <w:widowControl w:val="0"/>
        <w:spacing w:line="240" w:lineRule="auto"/>
        <w:ind w:firstLine="0"/>
        <w:jc w:val="left"/>
      </w:pPr>
      <w:r>
        <w:br w:type="page"/>
      </w:r>
    </w:p>
    <w:p w:rsidR="00F548E4" w:rsidRDefault="00F548E4" w:rsidP="00273D68">
      <w:pPr>
        <w:pStyle w:val="2"/>
        <w:widowControl w:val="0"/>
      </w:pPr>
      <w:bookmarkStart w:id="4" w:name="_Toc448264287"/>
      <w:r>
        <w:lastRenderedPageBreak/>
        <w:t>Список использованных источников</w:t>
      </w:r>
      <w:bookmarkEnd w:id="4"/>
    </w:p>
    <w:p w:rsidR="00F548E4" w:rsidRDefault="00F548E4" w:rsidP="00273D68">
      <w:pPr>
        <w:pStyle w:val="a6"/>
        <w:widowControl w:val="0"/>
      </w:pPr>
    </w:p>
    <w:p w:rsidR="00B7575F" w:rsidRPr="00B7575F" w:rsidRDefault="00B7575F" w:rsidP="00273D68">
      <w:pPr>
        <w:pStyle w:val="af4"/>
        <w:widowControl w:val="0"/>
        <w:numPr>
          <w:ilvl w:val="0"/>
          <w:numId w:val="17"/>
        </w:numPr>
        <w:ind w:left="0" w:firstLine="680"/>
      </w:pPr>
      <w:r>
        <w:t xml:space="preserve">Обзор экономики Аргентины (по состоянию на 2013 год) </w:t>
      </w:r>
      <w:r w:rsidRPr="00B7575F">
        <w:t>[</w:t>
      </w:r>
      <w:r>
        <w:t>Эле</w:t>
      </w:r>
      <w:r>
        <w:t>к</w:t>
      </w:r>
      <w:r>
        <w:t>тронный ресурс</w:t>
      </w:r>
      <w:r w:rsidRPr="00B7575F">
        <w:t>]</w:t>
      </w:r>
      <w:r>
        <w:t xml:space="preserve">. – Режим доступа: </w:t>
      </w:r>
      <w:r w:rsidRPr="00B7575F">
        <w:t>http://www.ved.gov.ru/exp</w:t>
      </w:r>
      <w:r>
        <w:t>ortcountries/ar/about_ar/eco_ar.</w:t>
      </w:r>
    </w:p>
    <w:p w:rsidR="007A0039" w:rsidRDefault="007A0039" w:rsidP="00273D68">
      <w:pPr>
        <w:pStyle w:val="af4"/>
        <w:widowControl w:val="0"/>
        <w:numPr>
          <w:ilvl w:val="0"/>
          <w:numId w:val="17"/>
        </w:numPr>
        <w:ind w:left="0" w:firstLine="680"/>
      </w:pPr>
      <w:r>
        <w:t>Глушко А.В. Банковские системы стран Латинской Америки: правовые и организационные основы // Реформы и право. 2010. № 1. С. 31 - 48.</w:t>
      </w:r>
    </w:p>
    <w:p w:rsidR="007A0039" w:rsidRDefault="007A0039" w:rsidP="00273D68">
      <w:pPr>
        <w:pStyle w:val="af4"/>
        <w:widowControl w:val="0"/>
        <w:numPr>
          <w:ilvl w:val="0"/>
          <w:numId w:val="17"/>
        </w:numPr>
        <w:ind w:left="0" w:firstLine="680"/>
      </w:pPr>
      <w:proofErr w:type="spellStart"/>
      <w:r>
        <w:t>Гаврин</w:t>
      </w:r>
      <w:proofErr w:type="spellEnd"/>
      <w:r>
        <w:t xml:space="preserve"> Д.А. О банковской системе России // Бизнес, Менеджмент и Право. </w:t>
      </w:r>
      <w:r w:rsidR="00BB5A33">
        <w:t xml:space="preserve">- </w:t>
      </w:r>
      <w:r>
        <w:t xml:space="preserve">2014. </w:t>
      </w:r>
      <w:r w:rsidR="00BB5A33">
        <w:t xml:space="preserve">- </w:t>
      </w:r>
      <w:r>
        <w:t xml:space="preserve">№ 2. </w:t>
      </w:r>
      <w:r w:rsidR="00BB5A33">
        <w:t xml:space="preserve">- </w:t>
      </w:r>
      <w:r>
        <w:t>С. 82 - 91.</w:t>
      </w:r>
    </w:p>
    <w:p w:rsidR="00BB5A33" w:rsidRDefault="00BB5A33" w:rsidP="00273D68">
      <w:pPr>
        <w:pStyle w:val="af4"/>
        <w:widowControl w:val="0"/>
        <w:numPr>
          <w:ilvl w:val="0"/>
          <w:numId w:val="17"/>
        </w:numPr>
        <w:ind w:left="0" w:firstLine="680"/>
      </w:pPr>
      <w:r>
        <w:t xml:space="preserve">О банках и банковской деятельности: </w:t>
      </w:r>
      <w:proofErr w:type="spellStart"/>
      <w:r>
        <w:t>федер</w:t>
      </w:r>
      <w:proofErr w:type="spellEnd"/>
      <w:r>
        <w:t>. закон от 2 дек. 1990 г. № 395-1  (ред. от 29.12.2015) // Российская газета. - 1996. - № 27.</w:t>
      </w:r>
    </w:p>
    <w:p w:rsidR="00BB5A33" w:rsidRDefault="00BB5A33" w:rsidP="00273D68">
      <w:pPr>
        <w:pStyle w:val="af4"/>
        <w:widowControl w:val="0"/>
        <w:numPr>
          <w:ilvl w:val="0"/>
          <w:numId w:val="17"/>
        </w:numPr>
        <w:ind w:left="0" w:firstLine="680"/>
      </w:pPr>
      <w:r>
        <w:t xml:space="preserve">Банковская система России 2015: новые вызовы и решения </w:t>
      </w:r>
      <w:r w:rsidRPr="00B7575F">
        <w:t>[</w:t>
      </w:r>
      <w:r>
        <w:t>Электронный ресурс</w:t>
      </w:r>
      <w:r w:rsidRPr="00B7575F">
        <w:t>]</w:t>
      </w:r>
      <w:r>
        <w:t>. – Режим доступа:</w:t>
      </w:r>
      <w:r w:rsidRPr="00BB5A33">
        <w:t xml:space="preserve"> http://www.asros.ru/public/files/10/9419-tekst_mart_2015_tipogr1.pdf</w:t>
      </w:r>
      <w:r>
        <w:t>.</w:t>
      </w:r>
    </w:p>
    <w:p w:rsidR="00F548E4" w:rsidRPr="00F548E4" w:rsidRDefault="00273D68" w:rsidP="00273D68">
      <w:pPr>
        <w:pStyle w:val="a6"/>
        <w:widowControl w:val="0"/>
        <w:numPr>
          <w:ilvl w:val="0"/>
          <w:numId w:val="17"/>
        </w:numPr>
        <w:ind w:left="0" w:firstLine="680"/>
      </w:pPr>
      <w:r>
        <w:t xml:space="preserve">Отчет о развитии банковского сектора и банковского надзора в 2014 году. – М, 2015 </w:t>
      </w:r>
      <w:r w:rsidRPr="00B7575F">
        <w:t>[</w:t>
      </w:r>
      <w:r>
        <w:t>Электронный ресурс</w:t>
      </w:r>
      <w:r w:rsidRPr="00B7575F">
        <w:t>]</w:t>
      </w:r>
      <w:r>
        <w:t>. – Режим доступа:</w:t>
      </w:r>
      <w:r w:rsidRPr="00BB5A33">
        <w:t xml:space="preserve"> </w:t>
      </w:r>
      <w:r>
        <w:t xml:space="preserve"> </w:t>
      </w:r>
      <w:r w:rsidRPr="00273D68">
        <w:t>http://www.cbr.ru/publ/archive/root_get_blob.aspx?doc_id=9878</w:t>
      </w:r>
      <w:r>
        <w:t>.</w:t>
      </w:r>
    </w:p>
    <w:sectPr w:rsidR="00F548E4" w:rsidRPr="00F548E4" w:rsidSect="009E2F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FCA" w:rsidRDefault="00022FCA">
      <w:r>
        <w:separator/>
      </w:r>
    </w:p>
  </w:endnote>
  <w:endnote w:type="continuationSeparator" w:id="0">
    <w:p w:rsidR="00022FCA" w:rsidRDefault="00022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ADB" w:rsidRDefault="004A0AD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ADB" w:rsidRDefault="004A0AD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ADB" w:rsidRDefault="004A0AD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FCA" w:rsidRDefault="00022FCA">
      <w:r>
        <w:separator/>
      </w:r>
    </w:p>
  </w:footnote>
  <w:footnote w:type="continuationSeparator" w:id="0">
    <w:p w:rsidR="00022FCA" w:rsidRDefault="00022FCA">
      <w:r>
        <w:continuationSeparator/>
      </w:r>
    </w:p>
  </w:footnote>
  <w:footnote w:id="1">
    <w:p w:rsidR="00B7575F" w:rsidRPr="00273D68" w:rsidRDefault="00B7575F" w:rsidP="00273D68">
      <w:pPr>
        <w:pStyle w:val="af0"/>
        <w:spacing w:line="240" w:lineRule="auto"/>
        <w:ind w:firstLine="0"/>
        <w:rPr>
          <w:sz w:val="20"/>
        </w:rPr>
      </w:pPr>
      <w:r w:rsidRPr="00273D68">
        <w:rPr>
          <w:rStyle w:val="af1"/>
          <w:sz w:val="20"/>
        </w:rPr>
        <w:footnoteRef/>
      </w:r>
      <w:r w:rsidRPr="00273D68">
        <w:rPr>
          <w:sz w:val="20"/>
        </w:rPr>
        <w:t xml:space="preserve"> </w:t>
      </w:r>
      <w:r w:rsidR="008771EC" w:rsidRPr="00273D68">
        <w:rPr>
          <w:sz w:val="20"/>
        </w:rPr>
        <w:t>Обзор экономики Аргентины (по состоянию на 2013 год) [Электронный ресурс]. – Режим доступа: http://www.ved.gov.ru/exportcountries/ar/about_ar/eco_ar.</w:t>
      </w:r>
    </w:p>
  </w:footnote>
  <w:footnote w:id="2">
    <w:p w:rsidR="007A0039" w:rsidRPr="00273D68" w:rsidRDefault="007A0039" w:rsidP="00273D68">
      <w:pPr>
        <w:pStyle w:val="af0"/>
        <w:spacing w:line="240" w:lineRule="auto"/>
        <w:ind w:firstLine="0"/>
        <w:rPr>
          <w:sz w:val="20"/>
        </w:rPr>
      </w:pPr>
      <w:r w:rsidRPr="00273D68">
        <w:rPr>
          <w:rStyle w:val="af1"/>
          <w:sz w:val="20"/>
        </w:rPr>
        <w:footnoteRef/>
      </w:r>
      <w:r w:rsidRPr="00273D68">
        <w:rPr>
          <w:sz w:val="20"/>
        </w:rPr>
        <w:t xml:space="preserve"> Глушко А.В. Банковские системы стран Латинской Америки: правовые и организационные основы // Р</w:t>
      </w:r>
      <w:r w:rsidRPr="00273D68">
        <w:rPr>
          <w:sz w:val="20"/>
        </w:rPr>
        <w:t>е</w:t>
      </w:r>
      <w:r w:rsidRPr="00273D68">
        <w:rPr>
          <w:sz w:val="20"/>
        </w:rPr>
        <w:t>формы и право. 2010. № 1. С. 33</w:t>
      </w:r>
    </w:p>
  </w:footnote>
  <w:footnote w:id="3">
    <w:p w:rsidR="007A0039" w:rsidRPr="00273D68" w:rsidRDefault="007A0039" w:rsidP="00273D68">
      <w:pPr>
        <w:pStyle w:val="af0"/>
        <w:spacing w:line="240" w:lineRule="auto"/>
        <w:ind w:firstLine="0"/>
        <w:rPr>
          <w:sz w:val="20"/>
        </w:rPr>
      </w:pPr>
      <w:r w:rsidRPr="00273D68">
        <w:rPr>
          <w:rStyle w:val="af1"/>
          <w:sz w:val="20"/>
        </w:rPr>
        <w:footnoteRef/>
      </w:r>
      <w:r w:rsidRPr="00273D68">
        <w:rPr>
          <w:sz w:val="20"/>
        </w:rPr>
        <w:t xml:space="preserve"> Глушко А.В. Банковские системы стран Латинской Америки: правовые и организационные основы // Р</w:t>
      </w:r>
      <w:r w:rsidRPr="00273D68">
        <w:rPr>
          <w:sz w:val="20"/>
        </w:rPr>
        <w:t>е</w:t>
      </w:r>
      <w:r w:rsidRPr="00273D68">
        <w:rPr>
          <w:sz w:val="20"/>
        </w:rPr>
        <w:t>формы и право. 2010. № 1. С. 34</w:t>
      </w:r>
    </w:p>
  </w:footnote>
  <w:footnote w:id="4">
    <w:p w:rsidR="007A0039" w:rsidRPr="00273D68" w:rsidRDefault="007A0039" w:rsidP="00273D68">
      <w:pPr>
        <w:pStyle w:val="af0"/>
        <w:spacing w:line="240" w:lineRule="auto"/>
        <w:ind w:firstLine="0"/>
        <w:rPr>
          <w:sz w:val="20"/>
        </w:rPr>
      </w:pPr>
      <w:r w:rsidRPr="00273D68">
        <w:rPr>
          <w:rStyle w:val="af1"/>
          <w:sz w:val="20"/>
        </w:rPr>
        <w:footnoteRef/>
      </w:r>
      <w:r w:rsidRPr="00273D68">
        <w:rPr>
          <w:sz w:val="20"/>
        </w:rPr>
        <w:t xml:space="preserve"> Глушко А.В. Банковские системы стран Латинской Америки: правовые и организационные основы // Р</w:t>
      </w:r>
      <w:r w:rsidRPr="00273D68">
        <w:rPr>
          <w:sz w:val="20"/>
        </w:rPr>
        <w:t>е</w:t>
      </w:r>
      <w:r w:rsidRPr="00273D68">
        <w:rPr>
          <w:sz w:val="20"/>
        </w:rPr>
        <w:t>формы и право. 2010. № 1. С. 38</w:t>
      </w:r>
    </w:p>
  </w:footnote>
  <w:footnote w:id="5">
    <w:p w:rsidR="007A0039" w:rsidRPr="00273D68" w:rsidRDefault="007A0039" w:rsidP="00273D68">
      <w:pPr>
        <w:pStyle w:val="af0"/>
        <w:spacing w:line="240" w:lineRule="auto"/>
        <w:ind w:firstLine="0"/>
        <w:rPr>
          <w:sz w:val="20"/>
        </w:rPr>
      </w:pPr>
      <w:r w:rsidRPr="00273D68">
        <w:rPr>
          <w:rStyle w:val="af1"/>
          <w:sz w:val="20"/>
        </w:rPr>
        <w:footnoteRef/>
      </w:r>
      <w:r w:rsidRPr="00273D68">
        <w:rPr>
          <w:sz w:val="20"/>
        </w:rPr>
        <w:t xml:space="preserve"> </w:t>
      </w:r>
      <w:proofErr w:type="spellStart"/>
      <w:r w:rsidRPr="00273D68">
        <w:rPr>
          <w:sz w:val="20"/>
        </w:rPr>
        <w:t>Гаврин</w:t>
      </w:r>
      <w:proofErr w:type="spellEnd"/>
      <w:r w:rsidRPr="00273D68">
        <w:rPr>
          <w:sz w:val="20"/>
        </w:rPr>
        <w:t xml:space="preserve"> Д.А. О банковской системе России // Бизнес, Менеджмент и Право. 2014. № 2. С. 84.</w:t>
      </w:r>
    </w:p>
  </w:footnote>
  <w:footnote w:id="6">
    <w:p w:rsidR="00716C3D" w:rsidRPr="00273D68" w:rsidRDefault="00716C3D" w:rsidP="00273D68">
      <w:pPr>
        <w:pStyle w:val="af0"/>
        <w:spacing w:line="240" w:lineRule="auto"/>
        <w:ind w:firstLine="0"/>
        <w:rPr>
          <w:sz w:val="20"/>
        </w:rPr>
      </w:pPr>
      <w:r w:rsidRPr="00273D68">
        <w:rPr>
          <w:rStyle w:val="af1"/>
          <w:sz w:val="20"/>
        </w:rPr>
        <w:footnoteRef/>
      </w:r>
      <w:r w:rsidRPr="00273D68">
        <w:rPr>
          <w:sz w:val="20"/>
        </w:rPr>
        <w:t xml:space="preserve"> О банках и банковской деятельности: </w:t>
      </w:r>
      <w:proofErr w:type="spellStart"/>
      <w:r w:rsidRPr="00273D68">
        <w:rPr>
          <w:sz w:val="20"/>
        </w:rPr>
        <w:t>федер</w:t>
      </w:r>
      <w:proofErr w:type="spellEnd"/>
      <w:r w:rsidRPr="00273D68">
        <w:rPr>
          <w:sz w:val="20"/>
        </w:rPr>
        <w:t>. закон от 2 дек. 1990 г. № 395-1  (ред. от 29.12.2015) // Росси</w:t>
      </w:r>
      <w:r w:rsidRPr="00273D68">
        <w:rPr>
          <w:sz w:val="20"/>
        </w:rPr>
        <w:t>й</w:t>
      </w:r>
      <w:r w:rsidRPr="00273D68">
        <w:rPr>
          <w:sz w:val="20"/>
        </w:rPr>
        <w:t>ская газета. - 1996. - № 27</w:t>
      </w:r>
    </w:p>
  </w:footnote>
  <w:footnote w:id="7">
    <w:p w:rsidR="00BB5A33" w:rsidRPr="00273D68" w:rsidRDefault="00BB5A33" w:rsidP="00273D68">
      <w:pPr>
        <w:pStyle w:val="af0"/>
        <w:spacing w:line="240" w:lineRule="auto"/>
        <w:ind w:firstLine="0"/>
        <w:rPr>
          <w:sz w:val="20"/>
        </w:rPr>
      </w:pPr>
      <w:r w:rsidRPr="00273D68">
        <w:rPr>
          <w:rStyle w:val="af1"/>
          <w:sz w:val="20"/>
        </w:rPr>
        <w:footnoteRef/>
      </w:r>
      <w:r w:rsidRPr="00273D68">
        <w:rPr>
          <w:sz w:val="20"/>
        </w:rPr>
        <w:t xml:space="preserve"> Банковская система России 2015: новые вызовы и решения [Электронный ресурс]. – Режим доступа: http://www.asros.ru/public/files/10/9419-tekst_mart_2015_tipogr1.pdf.</w:t>
      </w:r>
    </w:p>
  </w:footnote>
  <w:footnote w:id="8">
    <w:p w:rsidR="00273D68" w:rsidRPr="00273D68" w:rsidRDefault="00273D68" w:rsidP="00273D68">
      <w:pPr>
        <w:pStyle w:val="af0"/>
        <w:spacing w:line="240" w:lineRule="auto"/>
        <w:ind w:firstLine="0"/>
        <w:rPr>
          <w:sz w:val="20"/>
        </w:rPr>
      </w:pPr>
      <w:r w:rsidRPr="00273D68">
        <w:rPr>
          <w:rStyle w:val="af1"/>
          <w:sz w:val="20"/>
        </w:rPr>
        <w:footnoteRef/>
      </w:r>
      <w:r w:rsidRPr="00273D68">
        <w:rPr>
          <w:sz w:val="20"/>
        </w:rPr>
        <w:t xml:space="preserve"> Банковская система России 2015: новые вызовы и решения [Электронный ресурс]. – Режим доступа: http://www.asros.ru/public/files/10/9419-tekst_mart_2015_tipogr1.pdf.</w:t>
      </w:r>
    </w:p>
  </w:footnote>
  <w:footnote w:id="9">
    <w:p w:rsidR="00273D68" w:rsidRPr="00273D68" w:rsidRDefault="00273D68" w:rsidP="00273D68">
      <w:pPr>
        <w:pStyle w:val="af0"/>
        <w:spacing w:line="240" w:lineRule="auto"/>
        <w:ind w:firstLine="0"/>
        <w:rPr>
          <w:sz w:val="20"/>
        </w:rPr>
      </w:pPr>
      <w:r w:rsidRPr="00273D68">
        <w:rPr>
          <w:rStyle w:val="af1"/>
          <w:sz w:val="20"/>
        </w:rPr>
        <w:footnoteRef/>
      </w:r>
      <w:r w:rsidRPr="00273D68">
        <w:rPr>
          <w:sz w:val="20"/>
        </w:rPr>
        <w:t xml:space="preserve"> Отчет о развитии банковского сектора и банковского надзора в 2014 году. – М, 2015 [Электронный р</w:t>
      </w:r>
      <w:r w:rsidRPr="00273D68">
        <w:rPr>
          <w:sz w:val="20"/>
        </w:rPr>
        <w:t>е</w:t>
      </w:r>
      <w:r w:rsidRPr="00273D68">
        <w:rPr>
          <w:sz w:val="20"/>
        </w:rPr>
        <w:t>сурс]. – Режим доступа:  http://www.cbr.ru/publ/archive/root_get_blob.aspx?doc_id=9878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06A" w:rsidRDefault="005345A1" w:rsidP="00B65C26">
    <w:pPr>
      <w:pStyle w:val="a4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3406A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3406A" w:rsidRDefault="0003406A" w:rsidP="004E35A4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06A" w:rsidRPr="004A0ADB" w:rsidRDefault="005345A1" w:rsidP="00B65C26">
    <w:pPr>
      <w:pStyle w:val="a4"/>
      <w:framePr w:wrap="around" w:vAnchor="text" w:hAnchor="margin" w:xAlign="right" w:y="1"/>
      <w:rPr>
        <w:rStyle w:val="ad"/>
        <w:sz w:val="24"/>
        <w:szCs w:val="24"/>
      </w:rPr>
    </w:pPr>
    <w:r w:rsidRPr="004A0ADB">
      <w:rPr>
        <w:rStyle w:val="ad"/>
        <w:sz w:val="24"/>
        <w:szCs w:val="24"/>
      </w:rPr>
      <w:fldChar w:fldCharType="begin"/>
    </w:r>
    <w:r w:rsidR="0003406A" w:rsidRPr="004A0ADB">
      <w:rPr>
        <w:rStyle w:val="ad"/>
        <w:sz w:val="24"/>
        <w:szCs w:val="24"/>
      </w:rPr>
      <w:instrText xml:space="preserve">PAGE  </w:instrText>
    </w:r>
    <w:r w:rsidRPr="004A0ADB">
      <w:rPr>
        <w:rStyle w:val="ad"/>
        <w:sz w:val="24"/>
        <w:szCs w:val="24"/>
      </w:rPr>
      <w:fldChar w:fldCharType="separate"/>
    </w:r>
    <w:r w:rsidR="00C2227A">
      <w:rPr>
        <w:rStyle w:val="ad"/>
        <w:noProof/>
        <w:sz w:val="24"/>
        <w:szCs w:val="24"/>
      </w:rPr>
      <w:t>2</w:t>
    </w:r>
    <w:r w:rsidRPr="004A0ADB">
      <w:rPr>
        <w:rStyle w:val="ad"/>
        <w:sz w:val="24"/>
        <w:szCs w:val="24"/>
      </w:rPr>
      <w:fldChar w:fldCharType="end"/>
    </w:r>
  </w:p>
  <w:p w:rsidR="0003406A" w:rsidRDefault="0003406A" w:rsidP="004E35A4">
    <w:pPr>
      <w:pStyle w:val="a4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ADB" w:rsidRDefault="004A0AD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653"/>
    <w:multiLevelType w:val="hybridMultilevel"/>
    <w:tmpl w:val="7FA0845A"/>
    <w:lvl w:ilvl="0" w:tplc="D108A23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25D6115"/>
    <w:multiLevelType w:val="hybridMultilevel"/>
    <w:tmpl w:val="61648DC4"/>
    <w:lvl w:ilvl="0" w:tplc="D108A23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D9B25C9"/>
    <w:multiLevelType w:val="hybridMultilevel"/>
    <w:tmpl w:val="70606DB4"/>
    <w:lvl w:ilvl="0" w:tplc="D108A23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3F1354D"/>
    <w:multiLevelType w:val="hybridMultilevel"/>
    <w:tmpl w:val="16C608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C4AE0"/>
    <w:multiLevelType w:val="hybridMultilevel"/>
    <w:tmpl w:val="7E482F1A"/>
    <w:lvl w:ilvl="0" w:tplc="D108A23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1A41780A"/>
    <w:multiLevelType w:val="hybridMultilevel"/>
    <w:tmpl w:val="ED160FF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1ECE7544"/>
    <w:multiLevelType w:val="hybridMultilevel"/>
    <w:tmpl w:val="030888F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22710FF8"/>
    <w:multiLevelType w:val="hybridMultilevel"/>
    <w:tmpl w:val="9DAEC866"/>
    <w:lvl w:ilvl="0" w:tplc="D108A23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266C447C"/>
    <w:multiLevelType w:val="hybridMultilevel"/>
    <w:tmpl w:val="01461F40"/>
    <w:lvl w:ilvl="0" w:tplc="D108A23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0875FA1"/>
    <w:multiLevelType w:val="hybridMultilevel"/>
    <w:tmpl w:val="BB4E0F7C"/>
    <w:lvl w:ilvl="0" w:tplc="D108A23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423959E6"/>
    <w:multiLevelType w:val="hybridMultilevel"/>
    <w:tmpl w:val="2098BF48"/>
    <w:lvl w:ilvl="0" w:tplc="D108A23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432A538D"/>
    <w:multiLevelType w:val="hybridMultilevel"/>
    <w:tmpl w:val="3782D30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43DB6653"/>
    <w:multiLevelType w:val="hybridMultilevel"/>
    <w:tmpl w:val="ACB42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B01869"/>
    <w:multiLevelType w:val="hybridMultilevel"/>
    <w:tmpl w:val="5024CBA2"/>
    <w:lvl w:ilvl="0" w:tplc="D108A23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9F13B44"/>
    <w:multiLevelType w:val="hybridMultilevel"/>
    <w:tmpl w:val="A7085FD6"/>
    <w:lvl w:ilvl="0" w:tplc="6860BEBC">
      <w:start w:val="1"/>
      <w:numFmt w:val="bullet"/>
      <w:pStyle w:val="a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71F76F70"/>
    <w:multiLevelType w:val="hybridMultilevel"/>
    <w:tmpl w:val="F63E55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4216F2E"/>
    <w:multiLevelType w:val="hybridMultilevel"/>
    <w:tmpl w:val="EB06F188"/>
    <w:lvl w:ilvl="0" w:tplc="D108A23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9"/>
  </w:num>
  <w:num w:numId="5">
    <w:abstractNumId w:val="4"/>
  </w:num>
  <w:num w:numId="6">
    <w:abstractNumId w:val="13"/>
  </w:num>
  <w:num w:numId="7">
    <w:abstractNumId w:val="7"/>
  </w:num>
  <w:num w:numId="8">
    <w:abstractNumId w:val="10"/>
  </w:num>
  <w:num w:numId="9">
    <w:abstractNumId w:val="0"/>
  </w:num>
  <w:num w:numId="10">
    <w:abstractNumId w:val="16"/>
  </w:num>
  <w:num w:numId="11">
    <w:abstractNumId w:val="5"/>
  </w:num>
  <w:num w:numId="12">
    <w:abstractNumId w:val="15"/>
  </w:num>
  <w:num w:numId="13">
    <w:abstractNumId w:val="14"/>
  </w:num>
  <w:num w:numId="14">
    <w:abstractNumId w:val="6"/>
  </w:num>
  <w:num w:numId="15">
    <w:abstractNumId w:val="11"/>
  </w:num>
  <w:num w:numId="16">
    <w:abstractNumId w:val="12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049"/>
    <w:rsid w:val="0000255A"/>
    <w:rsid w:val="00013F58"/>
    <w:rsid w:val="00021828"/>
    <w:rsid w:val="00022FCA"/>
    <w:rsid w:val="00023E06"/>
    <w:rsid w:val="000253C6"/>
    <w:rsid w:val="00025B41"/>
    <w:rsid w:val="0003406A"/>
    <w:rsid w:val="00062FB1"/>
    <w:rsid w:val="00066FD9"/>
    <w:rsid w:val="00072552"/>
    <w:rsid w:val="0007360E"/>
    <w:rsid w:val="000742BE"/>
    <w:rsid w:val="0008335E"/>
    <w:rsid w:val="0009042F"/>
    <w:rsid w:val="000966CB"/>
    <w:rsid w:val="000A5872"/>
    <w:rsid w:val="000C04E6"/>
    <w:rsid w:val="000C1EC1"/>
    <w:rsid w:val="000D7356"/>
    <w:rsid w:val="000D7566"/>
    <w:rsid w:val="000E5F59"/>
    <w:rsid w:val="000F3BD3"/>
    <w:rsid w:val="000F7C3C"/>
    <w:rsid w:val="00101894"/>
    <w:rsid w:val="00102EE8"/>
    <w:rsid w:val="00115BB4"/>
    <w:rsid w:val="00121E67"/>
    <w:rsid w:val="00143AA7"/>
    <w:rsid w:val="00145088"/>
    <w:rsid w:val="00160BED"/>
    <w:rsid w:val="00160CB9"/>
    <w:rsid w:val="0016588F"/>
    <w:rsid w:val="00182159"/>
    <w:rsid w:val="00182B06"/>
    <w:rsid w:val="00186B77"/>
    <w:rsid w:val="00193058"/>
    <w:rsid w:val="001B6418"/>
    <w:rsid w:val="001C1069"/>
    <w:rsid w:val="001C6845"/>
    <w:rsid w:val="001D23D8"/>
    <w:rsid w:val="001D7365"/>
    <w:rsid w:val="001E0786"/>
    <w:rsid w:val="001E4756"/>
    <w:rsid w:val="001E5814"/>
    <w:rsid w:val="001E7935"/>
    <w:rsid w:val="001F151A"/>
    <w:rsid w:val="001F4F5C"/>
    <w:rsid w:val="0020280D"/>
    <w:rsid w:val="00206D5E"/>
    <w:rsid w:val="00223FE3"/>
    <w:rsid w:val="002250BC"/>
    <w:rsid w:val="002332B8"/>
    <w:rsid w:val="00241569"/>
    <w:rsid w:val="00250DA6"/>
    <w:rsid w:val="00260FF6"/>
    <w:rsid w:val="00270424"/>
    <w:rsid w:val="00271024"/>
    <w:rsid w:val="00273D68"/>
    <w:rsid w:val="00280A50"/>
    <w:rsid w:val="002827DA"/>
    <w:rsid w:val="00291316"/>
    <w:rsid w:val="00291D2C"/>
    <w:rsid w:val="002944BA"/>
    <w:rsid w:val="002B513D"/>
    <w:rsid w:val="002C0F1B"/>
    <w:rsid w:val="002C59BB"/>
    <w:rsid w:val="002C75F8"/>
    <w:rsid w:val="002C765D"/>
    <w:rsid w:val="002D3901"/>
    <w:rsid w:val="002D5242"/>
    <w:rsid w:val="002D7049"/>
    <w:rsid w:val="002E01D1"/>
    <w:rsid w:val="002E14BF"/>
    <w:rsid w:val="002E56CD"/>
    <w:rsid w:val="002E7F77"/>
    <w:rsid w:val="002F1302"/>
    <w:rsid w:val="002F6ACE"/>
    <w:rsid w:val="003055F4"/>
    <w:rsid w:val="00306DEB"/>
    <w:rsid w:val="00311E5C"/>
    <w:rsid w:val="003145F6"/>
    <w:rsid w:val="003244E1"/>
    <w:rsid w:val="0033120D"/>
    <w:rsid w:val="00331234"/>
    <w:rsid w:val="0034187D"/>
    <w:rsid w:val="0034317E"/>
    <w:rsid w:val="00345D4C"/>
    <w:rsid w:val="003503B2"/>
    <w:rsid w:val="00351D60"/>
    <w:rsid w:val="00352A1E"/>
    <w:rsid w:val="00354265"/>
    <w:rsid w:val="00361B2F"/>
    <w:rsid w:val="0037548E"/>
    <w:rsid w:val="00380ED2"/>
    <w:rsid w:val="003902B0"/>
    <w:rsid w:val="003A031B"/>
    <w:rsid w:val="003A2667"/>
    <w:rsid w:val="003B11FD"/>
    <w:rsid w:val="003B30CC"/>
    <w:rsid w:val="003B37BA"/>
    <w:rsid w:val="003B7727"/>
    <w:rsid w:val="003C4636"/>
    <w:rsid w:val="003E1013"/>
    <w:rsid w:val="003E7197"/>
    <w:rsid w:val="003F4730"/>
    <w:rsid w:val="003F4732"/>
    <w:rsid w:val="00402931"/>
    <w:rsid w:val="00407FB8"/>
    <w:rsid w:val="00410736"/>
    <w:rsid w:val="004146C1"/>
    <w:rsid w:val="00416C15"/>
    <w:rsid w:val="00430869"/>
    <w:rsid w:val="00440C13"/>
    <w:rsid w:val="00450599"/>
    <w:rsid w:val="00453E20"/>
    <w:rsid w:val="00465D5C"/>
    <w:rsid w:val="00466A9E"/>
    <w:rsid w:val="00466B91"/>
    <w:rsid w:val="00480928"/>
    <w:rsid w:val="00481580"/>
    <w:rsid w:val="00481F36"/>
    <w:rsid w:val="00490A2D"/>
    <w:rsid w:val="004917E6"/>
    <w:rsid w:val="00493066"/>
    <w:rsid w:val="004A0ADB"/>
    <w:rsid w:val="004A1C22"/>
    <w:rsid w:val="004A5322"/>
    <w:rsid w:val="004A5876"/>
    <w:rsid w:val="004B22FE"/>
    <w:rsid w:val="004B2CFF"/>
    <w:rsid w:val="004B5D4F"/>
    <w:rsid w:val="004C6201"/>
    <w:rsid w:val="004E1D85"/>
    <w:rsid w:val="004E35A4"/>
    <w:rsid w:val="004F2C2B"/>
    <w:rsid w:val="004F711C"/>
    <w:rsid w:val="0051308F"/>
    <w:rsid w:val="005162BE"/>
    <w:rsid w:val="00526BEF"/>
    <w:rsid w:val="00530F4E"/>
    <w:rsid w:val="005345A1"/>
    <w:rsid w:val="00536077"/>
    <w:rsid w:val="0053623A"/>
    <w:rsid w:val="005400DF"/>
    <w:rsid w:val="005422AB"/>
    <w:rsid w:val="005468F3"/>
    <w:rsid w:val="0054703E"/>
    <w:rsid w:val="00550629"/>
    <w:rsid w:val="00551802"/>
    <w:rsid w:val="00555A6D"/>
    <w:rsid w:val="005632C1"/>
    <w:rsid w:val="0056576B"/>
    <w:rsid w:val="0057055E"/>
    <w:rsid w:val="005723D9"/>
    <w:rsid w:val="00582D1A"/>
    <w:rsid w:val="005923BD"/>
    <w:rsid w:val="00596D25"/>
    <w:rsid w:val="005A5F67"/>
    <w:rsid w:val="005A6F81"/>
    <w:rsid w:val="005A75F7"/>
    <w:rsid w:val="005A7969"/>
    <w:rsid w:val="005B16D1"/>
    <w:rsid w:val="005B18E0"/>
    <w:rsid w:val="005B5A91"/>
    <w:rsid w:val="005C132F"/>
    <w:rsid w:val="005C768B"/>
    <w:rsid w:val="005D083D"/>
    <w:rsid w:val="005D3EED"/>
    <w:rsid w:val="005D6450"/>
    <w:rsid w:val="005E6B7B"/>
    <w:rsid w:val="005E774C"/>
    <w:rsid w:val="00602607"/>
    <w:rsid w:val="0060403B"/>
    <w:rsid w:val="0060748C"/>
    <w:rsid w:val="00613DDA"/>
    <w:rsid w:val="006142D3"/>
    <w:rsid w:val="00623672"/>
    <w:rsid w:val="0062386F"/>
    <w:rsid w:val="0062563F"/>
    <w:rsid w:val="00631092"/>
    <w:rsid w:val="00634FFD"/>
    <w:rsid w:val="00642EE2"/>
    <w:rsid w:val="0064419D"/>
    <w:rsid w:val="00644D33"/>
    <w:rsid w:val="006658A7"/>
    <w:rsid w:val="00672949"/>
    <w:rsid w:val="00673147"/>
    <w:rsid w:val="00684257"/>
    <w:rsid w:val="0069446C"/>
    <w:rsid w:val="006945E4"/>
    <w:rsid w:val="00694E73"/>
    <w:rsid w:val="006972DC"/>
    <w:rsid w:val="006A2910"/>
    <w:rsid w:val="006A3338"/>
    <w:rsid w:val="006A4300"/>
    <w:rsid w:val="006A594F"/>
    <w:rsid w:val="006B0148"/>
    <w:rsid w:val="006B28D0"/>
    <w:rsid w:val="006B50D5"/>
    <w:rsid w:val="006B519F"/>
    <w:rsid w:val="006C1A26"/>
    <w:rsid w:val="006C2025"/>
    <w:rsid w:val="006C2B7D"/>
    <w:rsid w:val="006C308E"/>
    <w:rsid w:val="006D59CE"/>
    <w:rsid w:val="006D7D2A"/>
    <w:rsid w:val="007000A2"/>
    <w:rsid w:val="00706518"/>
    <w:rsid w:val="00710A49"/>
    <w:rsid w:val="0071214F"/>
    <w:rsid w:val="0071247B"/>
    <w:rsid w:val="00715FA3"/>
    <w:rsid w:val="00716C3D"/>
    <w:rsid w:val="00735F54"/>
    <w:rsid w:val="00736BFE"/>
    <w:rsid w:val="00742C73"/>
    <w:rsid w:val="00745637"/>
    <w:rsid w:val="00751267"/>
    <w:rsid w:val="007540AC"/>
    <w:rsid w:val="007558BA"/>
    <w:rsid w:val="00761095"/>
    <w:rsid w:val="00762BBA"/>
    <w:rsid w:val="00767206"/>
    <w:rsid w:val="00772F1F"/>
    <w:rsid w:val="00787548"/>
    <w:rsid w:val="00795D4C"/>
    <w:rsid w:val="0079654D"/>
    <w:rsid w:val="00796A65"/>
    <w:rsid w:val="007A0039"/>
    <w:rsid w:val="007A7E21"/>
    <w:rsid w:val="007C5370"/>
    <w:rsid w:val="007D4078"/>
    <w:rsid w:val="007E0D88"/>
    <w:rsid w:val="007E4950"/>
    <w:rsid w:val="007F133B"/>
    <w:rsid w:val="007F48C1"/>
    <w:rsid w:val="007F5A5F"/>
    <w:rsid w:val="007F6251"/>
    <w:rsid w:val="00800540"/>
    <w:rsid w:val="008020F4"/>
    <w:rsid w:val="0081267F"/>
    <w:rsid w:val="00821B53"/>
    <w:rsid w:val="00822899"/>
    <w:rsid w:val="00823B44"/>
    <w:rsid w:val="0083601F"/>
    <w:rsid w:val="00836A79"/>
    <w:rsid w:val="00836E39"/>
    <w:rsid w:val="00847F26"/>
    <w:rsid w:val="008532D2"/>
    <w:rsid w:val="0085753A"/>
    <w:rsid w:val="00860041"/>
    <w:rsid w:val="00861AEA"/>
    <w:rsid w:val="0086326D"/>
    <w:rsid w:val="00863599"/>
    <w:rsid w:val="00866D29"/>
    <w:rsid w:val="00867B54"/>
    <w:rsid w:val="008709B7"/>
    <w:rsid w:val="00875A9C"/>
    <w:rsid w:val="008771EC"/>
    <w:rsid w:val="00877A63"/>
    <w:rsid w:val="00883633"/>
    <w:rsid w:val="00884271"/>
    <w:rsid w:val="00887A21"/>
    <w:rsid w:val="00890F7B"/>
    <w:rsid w:val="008928C2"/>
    <w:rsid w:val="00893359"/>
    <w:rsid w:val="00895509"/>
    <w:rsid w:val="0089770F"/>
    <w:rsid w:val="008A1A9A"/>
    <w:rsid w:val="008B3267"/>
    <w:rsid w:val="008B48E9"/>
    <w:rsid w:val="008B4FB1"/>
    <w:rsid w:val="008C5519"/>
    <w:rsid w:val="008D165C"/>
    <w:rsid w:val="008D7CA4"/>
    <w:rsid w:val="008E2AC5"/>
    <w:rsid w:val="008E7657"/>
    <w:rsid w:val="008F4FE5"/>
    <w:rsid w:val="008F6219"/>
    <w:rsid w:val="0095332B"/>
    <w:rsid w:val="00955199"/>
    <w:rsid w:val="009570F6"/>
    <w:rsid w:val="009661B7"/>
    <w:rsid w:val="00970C53"/>
    <w:rsid w:val="00973981"/>
    <w:rsid w:val="00984E12"/>
    <w:rsid w:val="00985EA3"/>
    <w:rsid w:val="009861F6"/>
    <w:rsid w:val="00986A04"/>
    <w:rsid w:val="00987DE6"/>
    <w:rsid w:val="00992CB4"/>
    <w:rsid w:val="009A53AB"/>
    <w:rsid w:val="009A611C"/>
    <w:rsid w:val="009B3ECA"/>
    <w:rsid w:val="009C763C"/>
    <w:rsid w:val="009E2FC2"/>
    <w:rsid w:val="009F3049"/>
    <w:rsid w:val="009F64BE"/>
    <w:rsid w:val="00A00D51"/>
    <w:rsid w:val="00A14199"/>
    <w:rsid w:val="00A15495"/>
    <w:rsid w:val="00A1600C"/>
    <w:rsid w:val="00A22397"/>
    <w:rsid w:val="00A27321"/>
    <w:rsid w:val="00A27396"/>
    <w:rsid w:val="00A36BC8"/>
    <w:rsid w:val="00A41399"/>
    <w:rsid w:val="00A74217"/>
    <w:rsid w:val="00AA6E53"/>
    <w:rsid w:val="00AB0DD9"/>
    <w:rsid w:val="00AB2D20"/>
    <w:rsid w:val="00AB3E73"/>
    <w:rsid w:val="00AB45E8"/>
    <w:rsid w:val="00AB76EF"/>
    <w:rsid w:val="00AC71FA"/>
    <w:rsid w:val="00AE085C"/>
    <w:rsid w:val="00AE32FD"/>
    <w:rsid w:val="00AE5517"/>
    <w:rsid w:val="00AF7D83"/>
    <w:rsid w:val="00B00A86"/>
    <w:rsid w:val="00B0685E"/>
    <w:rsid w:val="00B15AC9"/>
    <w:rsid w:val="00B15DCF"/>
    <w:rsid w:val="00B21EF1"/>
    <w:rsid w:val="00B421A3"/>
    <w:rsid w:val="00B448A6"/>
    <w:rsid w:val="00B46023"/>
    <w:rsid w:val="00B4646A"/>
    <w:rsid w:val="00B520B2"/>
    <w:rsid w:val="00B53F20"/>
    <w:rsid w:val="00B56D34"/>
    <w:rsid w:val="00B62EDD"/>
    <w:rsid w:val="00B65C26"/>
    <w:rsid w:val="00B674F9"/>
    <w:rsid w:val="00B7575F"/>
    <w:rsid w:val="00B84591"/>
    <w:rsid w:val="00B8728D"/>
    <w:rsid w:val="00B87FD0"/>
    <w:rsid w:val="00BA361C"/>
    <w:rsid w:val="00BA5E60"/>
    <w:rsid w:val="00BB5A33"/>
    <w:rsid w:val="00BC5CEA"/>
    <w:rsid w:val="00BC5FA5"/>
    <w:rsid w:val="00BC7368"/>
    <w:rsid w:val="00BD1796"/>
    <w:rsid w:val="00C00B90"/>
    <w:rsid w:val="00C04D6C"/>
    <w:rsid w:val="00C06FE9"/>
    <w:rsid w:val="00C07409"/>
    <w:rsid w:val="00C0786D"/>
    <w:rsid w:val="00C164E1"/>
    <w:rsid w:val="00C2104C"/>
    <w:rsid w:val="00C2227A"/>
    <w:rsid w:val="00C2282B"/>
    <w:rsid w:val="00C22A58"/>
    <w:rsid w:val="00C23FF1"/>
    <w:rsid w:val="00C26CB7"/>
    <w:rsid w:val="00C30A49"/>
    <w:rsid w:val="00C32BC7"/>
    <w:rsid w:val="00C4215B"/>
    <w:rsid w:val="00C4343B"/>
    <w:rsid w:val="00C525AE"/>
    <w:rsid w:val="00C54BAB"/>
    <w:rsid w:val="00C57E2F"/>
    <w:rsid w:val="00C6040C"/>
    <w:rsid w:val="00C652B5"/>
    <w:rsid w:val="00C66C7B"/>
    <w:rsid w:val="00C67B8A"/>
    <w:rsid w:val="00C8697D"/>
    <w:rsid w:val="00C90AF0"/>
    <w:rsid w:val="00CA0A81"/>
    <w:rsid w:val="00CA7207"/>
    <w:rsid w:val="00CA78DF"/>
    <w:rsid w:val="00CB5009"/>
    <w:rsid w:val="00CC24EA"/>
    <w:rsid w:val="00CC4B28"/>
    <w:rsid w:val="00CC62F6"/>
    <w:rsid w:val="00CD1635"/>
    <w:rsid w:val="00CD4846"/>
    <w:rsid w:val="00CD64FC"/>
    <w:rsid w:val="00CE2A79"/>
    <w:rsid w:val="00CE3437"/>
    <w:rsid w:val="00CE3FA0"/>
    <w:rsid w:val="00CE5C2D"/>
    <w:rsid w:val="00D04165"/>
    <w:rsid w:val="00D077A7"/>
    <w:rsid w:val="00D102EF"/>
    <w:rsid w:val="00D10492"/>
    <w:rsid w:val="00D11E23"/>
    <w:rsid w:val="00D1500C"/>
    <w:rsid w:val="00D23142"/>
    <w:rsid w:val="00D423E0"/>
    <w:rsid w:val="00D45619"/>
    <w:rsid w:val="00D5104F"/>
    <w:rsid w:val="00D539F4"/>
    <w:rsid w:val="00D5654D"/>
    <w:rsid w:val="00D62189"/>
    <w:rsid w:val="00D621E0"/>
    <w:rsid w:val="00D6477E"/>
    <w:rsid w:val="00D74981"/>
    <w:rsid w:val="00D75AF7"/>
    <w:rsid w:val="00DA5293"/>
    <w:rsid w:val="00DB3691"/>
    <w:rsid w:val="00DD44E4"/>
    <w:rsid w:val="00DE5606"/>
    <w:rsid w:val="00DE7BEC"/>
    <w:rsid w:val="00DF7681"/>
    <w:rsid w:val="00E04B32"/>
    <w:rsid w:val="00E04CF9"/>
    <w:rsid w:val="00E073DC"/>
    <w:rsid w:val="00E07990"/>
    <w:rsid w:val="00E12AA7"/>
    <w:rsid w:val="00E13021"/>
    <w:rsid w:val="00E2185F"/>
    <w:rsid w:val="00E25C56"/>
    <w:rsid w:val="00E27384"/>
    <w:rsid w:val="00E30761"/>
    <w:rsid w:val="00E3077B"/>
    <w:rsid w:val="00E30A6A"/>
    <w:rsid w:val="00E36556"/>
    <w:rsid w:val="00E41AB5"/>
    <w:rsid w:val="00E44624"/>
    <w:rsid w:val="00E51A71"/>
    <w:rsid w:val="00E51BA1"/>
    <w:rsid w:val="00E56C82"/>
    <w:rsid w:val="00E572A3"/>
    <w:rsid w:val="00E64886"/>
    <w:rsid w:val="00E76184"/>
    <w:rsid w:val="00E77BD1"/>
    <w:rsid w:val="00E8346A"/>
    <w:rsid w:val="00E84A6E"/>
    <w:rsid w:val="00E86F62"/>
    <w:rsid w:val="00E904FC"/>
    <w:rsid w:val="00E9382F"/>
    <w:rsid w:val="00EA5EC8"/>
    <w:rsid w:val="00EB41EB"/>
    <w:rsid w:val="00EB7F67"/>
    <w:rsid w:val="00EC16A5"/>
    <w:rsid w:val="00EC5A50"/>
    <w:rsid w:val="00ED5FAD"/>
    <w:rsid w:val="00ED7811"/>
    <w:rsid w:val="00EF626B"/>
    <w:rsid w:val="00F12C2A"/>
    <w:rsid w:val="00F17D8C"/>
    <w:rsid w:val="00F241D9"/>
    <w:rsid w:val="00F25869"/>
    <w:rsid w:val="00F27005"/>
    <w:rsid w:val="00F44E44"/>
    <w:rsid w:val="00F46DE8"/>
    <w:rsid w:val="00F5017D"/>
    <w:rsid w:val="00F5259E"/>
    <w:rsid w:val="00F548E4"/>
    <w:rsid w:val="00F60FF0"/>
    <w:rsid w:val="00F6398C"/>
    <w:rsid w:val="00F70657"/>
    <w:rsid w:val="00F71242"/>
    <w:rsid w:val="00F72621"/>
    <w:rsid w:val="00F73A0D"/>
    <w:rsid w:val="00F81698"/>
    <w:rsid w:val="00F87BF5"/>
    <w:rsid w:val="00F92C58"/>
    <w:rsid w:val="00F93761"/>
    <w:rsid w:val="00F948A5"/>
    <w:rsid w:val="00F9574D"/>
    <w:rsid w:val="00F95C2C"/>
    <w:rsid w:val="00FA2FD2"/>
    <w:rsid w:val="00FA3CAF"/>
    <w:rsid w:val="00FA62FD"/>
    <w:rsid w:val="00FA74F2"/>
    <w:rsid w:val="00FB1B6F"/>
    <w:rsid w:val="00FB51BA"/>
    <w:rsid w:val="00FC3092"/>
    <w:rsid w:val="00FD5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E5814"/>
    <w:pPr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0"/>
    <w:next w:val="a0"/>
    <w:qFormat/>
    <w:rsid w:val="00AA6E53"/>
    <w:pPr>
      <w:keepNext/>
      <w:jc w:val="center"/>
      <w:outlineLvl w:val="0"/>
    </w:pPr>
    <w:rPr>
      <w:rFonts w:cs="Arial"/>
      <w:bCs/>
      <w:caps/>
      <w:kern w:val="32"/>
      <w:szCs w:val="28"/>
    </w:rPr>
  </w:style>
  <w:style w:type="paragraph" w:styleId="2">
    <w:name w:val="heading 2"/>
    <w:basedOn w:val="a0"/>
    <w:next w:val="a0"/>
    <w:link w:val="20"/>
    <w:qFormat/>
    <w:rsid w:val="00AA6E53"/>
    <w:pPr>
      <w:keepNext/>
      <w:jc w:val="center"/>
      <w:outlineLvl w:val="1"/>
    </w:pPr>
    <w:rPr>
      <w:rFonts w:cs="Arial"/>
      <w:bCs/>
      <w:iCs/>
      <w:szCs w:val="28"/>
    </w:rPr>
  </w:style>
  <w:style w:type="paragraph" w:styleId="3">
    <w:name w:val="heading 3"/>
    <w:basedOn w:val="a0"/>
    <w:next w:val="a0"/>
    <w:qFormat/>
    <w:rsid w:val="002C76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9F3049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9F3049"/>
    <w:pPr>
      <w:tabs>
        <w:tab w:val="center" w:pos="4677"/>
        <w:tab w:val="right" w:pos="9355"/>
      </w:tabs>
    </w:pPr>
  </w:style>
  <w:style w:type="paragraph" w:customStyle="1" w:styleId="a6">
    <w:name w:val="Надя"/>
    <w:basedOn w:val="a0"/>
    <w:link w:val="a7"/>
    <w:rsid w:val="009F3049"/>
    <w:pPr>
      <w:tabs>
        <w:tab w:val="left" w:pos="1134"/>
        <w:tab w:val="left" w:pos="1843"/>
      </w:tabs>
    </w:pPr>
    <w:rPr>
      <w:szCs w:val="28"/>
    </w:rPr>
  </w:style>
  <w:style w:type="paragraph" w:styleId="a8">
    <w:name w:val="Document Map"/>
    <w:basedOn w:val="a0"/>
    <w:semiHidden/>
    <w:rsid w:val="009F3049"/>
    <w:pPr>
      <w:shd w:val="clear" w:color="auto" w:fill="000080"/>
    </w:pPr>
    <w:rPr>
      <w:rFonts w:ascii="Tahoma" w:hAnsi="Tahoma" w:cs="Tahoma"/>
    </w:rPr>
  </w:style>
  <w:style w:type="paragraph" w:customStyle="1" w:styleId="Page">
    <w:name w:val="Page"/>
    <w:basedOn w:val="a0"/>
    <w:link w:val="Page0"/>
    <w:rsid w:val="009F3049"/>
    <w:pPr>
      <w:widowControl w:val="0"/>
      <w:autoSpaceDE w:val="0"/>
      <w:autoSpaceDN w:val="0"/>
      <w:adjustRightInd w:val="0"/>
    </w:pPr>
    <w:rPr>
      <w:b/>
      <w:bCs/>
      <w:iCs/>
      <w:color w:val="666699"/>
      <w:sz w:val="19"/>
      <w:szCs w:val="23"/>
      <w:lang w:val="en-US"/>
    </w:rPr>
  </w:style>
  <w:style w:type="character" w:customStyle="1" w:styleId="Page0">
    <w:name w:val="Page Знак"/>
    <w:basedOn w:val="a1"/>
    <w:link w:val="Page"/>
    <w:rsid w:val="009F3049"/>
    <w:rPr>
      <w:b/>
      <w:bCs/>
      <w:iCs/>
      <w:color w:val="666699"/>
      <w:sz w:val="19"/>
      <w:szCs w:val="23"/>
      <w:lang w:val="en-US" w:eastAsia="ru-RU" w:bidi="ar-SA"/>
    </w:rPr>
  </w:style>
  <w:style w:type="character" w:customStyle="1" w:styleId="a7">
    <w:name w:val="Надя Знак"/>
    <w:basedOn w:val="a1"/>
    <w:link w:val="a6"/>
    <w:rsid w:val="00F948A5"/>
    <w:rPr>
      <w:sz w:val="28"/>
      <w:szCs w:val="28"/>
      <w:lang w:val="ru-RU" w:eastAsia="ru-RU" w:bidi="ar-SA"/>
    </w:rPr>
  </w:style>
  <w:style w:type="paragraph" w:customStyle="1" w:styleId="FR4">
    <w:name w:val="FR4"/>
    <w:rsid w:val="00354265"/>
    <w:pPr>
      <w:widowControl w:val="0"/>
      <w:autoSpaceDE w:val="0"/>
      <w:autoSpaceDN w:val="0"/>
      <w:adjustRightInd w:val="0"/>
      <w:spacing w:line="280" w:lineRule="auto"/>
      <w:ind w:firstLine="340"/>
    </w:pPr>
    <w:rPr>
      <w:rFonts w:ascii="Arial" w:hAnsi="Arial" w:cs="Arial"/>
    </w:rPr>
  </w:style>
  <w:style w:type="paragraph" w:styleId="a9">
    <w:name w:val="Body Text Indent"/>
    <w:basedOn w:val="a0"/>
    <w:rsid w:val="001E4756"/>
    <w:pPr>
      <w:ind w:firstLine="425"/>
    </w:pPr>
  </w:style>
  <w:style w:type="paragraph" w:styleId="aa">
    <w:name w:val="Normal (Web)"/>
    <w:basedOn w:val="a0"/>
    <w:uiPriority w:val="99"/>
    <w:rsid w:val="00D6477E"/>
    <w:pPr>
      <w:spacing w:before="100" w:beforeAutospacing="1" w:after="100" w:afterAutospacing="1"/>
    </w:pPr>
    <w:rPr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D539F4"/>
    <w:pPr>
      <w:tabs>
        <w:tab w:val="right" w:leader="dot" w:pos="9345"/>
      </w:tabs>
      <w:ind w:left="200"/>
    </w:pPr>
  </w:style>
  <w:style w:type="character" w:styleId="ab">
    <w:name w:val="Hyperlink"/>
    <w:basedOn w:val="a1"/>
    <w:uiPriority w:val="99"/>
    <w:rsid w:val="00D539F4"/>
    <w:rPr>
      <w:color w:val="0000FF"/>
      <w:u w:val="single"/>
    </w:rPr>
  </w:style>
  <w:style w:type="paragraph" w:customStyle="1" w:styleId="10">
    <w:name w:val="Обычный1"/>
    <w:rsid w:val="00B00A86"/>
    <w:pPr>
      <w:widowControl w:val="0"/>
      <w:ind w:firstLine="300"/>
      <w:jc w:val="both"/>
    </w:pPr>
    <w:rPr>
      <w:snapToGrid w:val="0"/>
      <w:sz w:val="24"/>
    </w:rPr>
  </w:style>
  <w:style w:type="character" w:customStyle="1" w:styleId="MTEquationSection">
    <w:name w:val="MTEquationSection"/>
    <w:basedOn w:val="a1"/>
    <w:rsid w:val="00440C13"/>
    <w:rPr>
      <w:noProof w:val="0"/>
      <w:vanish w:val="0"/>
      <w:color w:val="FF0000"/>
      <w:lang w:val="en-US"/>
    </w:rPr>
  </w:style>
  <w:style w:type="paragraph" w:customStyle="1" w:styleId="ac">
    <w:name w:val="Дмитрий"/>
    <w:basedOn w:val="a0"/>
    <w:rsid w:val="0008335E"/>
  </w:style>
  <w:style w:type="character" w:styleId="ad">
    <w:name w:val="page number"/>
    <w:basedOn w:val="a1"/>
    <w:rsid w:val="004E35A4"/>
  </w:style>
  <w:style w:type="paragraph" w:styleId="ae">
    <w:name w:val="Balloon Text"/>
    <w:basedOn w:val="a0"/>
    <w:semiHidden/>
    <w:rsid w:val="00C04D6C"/>
    <w:rPr>
      <w:rFonts w:ascii="Tahoma" w:hAnsi="Tahoma" w:cs="Tahoma"/>
      <w:sz w:val="16"/>
      <w:szCs w:val="16"/>
    </w:rPr>
  </w:style>
  <w:style w:type="paragraph" w:customStyle="1" w:styleId="210">
    <w:name w:val="Заголовок 21"/>
    <w:basedOn w:val="10"/>
    <w:next w:val="10"/>
    <w:rsid w:val="00EF626B"/>
    <w:pPr>
      <w:keepNext/>
      <w:ind w:firstLine="567"/>
      <w:jc w:val="center"/>
    </w:pPr>
    <w:rPr>
      <w:b/>
      <w:snapToGrid/>
    </w:rPr>
  </w:style>
  <w:style w:type="paragraph" w:customStyle="1" w:styleId="ConsPlusTitle">
    <w:name w:val="ConsPlusTitle"/>
    <w:rsid w:val="00EF626B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">
    <w:name w:val="Body Text"/>
    <w:basedOn w:val="a0"/>
    <w:rsid w:val="00E13021"/>
    <w:pPr>
      <w:spacing w:after="120"/>
    </w:pPr>
  </w:style>
  <w:style w:type="paragraph" w:customStyle="1" w:styleId="FR2">
    <w:name w:val="FR2"/>
    <w:rsid w:val="00E13021"/>
    <w:pPr>
      <w:widowControl w:val="0"/>
      <w:spacing w:before="120"/>
    </w:pPr>
    <w:rPr>
      <w:rFonts w:ascii="Arial" w:hAnsi="Arial"/>
      <w:snapToGrid w:val="0"/>
      <w:sz w:val="12"/>
    </w:rPr>
  </w:style>
  <w:style w:type="paragraph" w:customStyle="1" w:styleId="11">
    <w:name w:val="Стиль1"/>
    <w:basedOn w:val="1"/>
    <w:next w:val="a0"/>
    <w:rsid w:val="00F27005"/>
    <w:pPr>
      <w:spacing w:line="240" w:lineRule="auto"/>
      <w:ind w:firstLine="0"/>
    </w:pPr>
    <w:rPr>
      <w:rFonts w:cs="Times New Roman"/>
      <w:bCs w:val="0"/>
      <w:caps w:val="0"/>
      <w:kern w:val="0"/>
      <w:sz w:val="26"/>
      <w:szCs w:val="20"/>
    </w:rPr>
  </w:style>
  <w:style w:type="paragraph" w:styleId="22">
    <w:name w:val="Body Text Indent 2"/>
    <w:basedOn w:val="a0"/>
    <w:rsid w:val="00121E67"/>
    <w:pPr>
      <w:spacing w:after="120" w:line="480" w:lineRule="auto"/>
      <w:ind w:left="283"/>
    </w:pPr>
  </w:style>
  <w:style w:type="paragraph" w:styleId="af0">
    <w:name w:val="footnote text"/>
    <w:basedOn w:val="a0"/>
    <w:semiHidden/>
    <w:rsid w:val="00B520B2"/>
  </w:style>
  <w:style w:type="character" w:styleId="af1">
    <w:name w:val="footnote reference"/>
    <w:basedOn w:val="a1"/>
    <w:semiHidden/>
    <w:rsid w:val="00B520B2"/>
    <w:rPr>
      <w:vertAlign w:val="superscript"/>
    </w:rPr>
  </w:style>
  <w:style w:type="character" w:customStyle="1" w:styleId="editsection1">
    <w:name w:val="editsection1"/>
    <w:basedOn w:val="a1"/>
    <w:rsid w:val="002C765D"/>
  </w:style>
  <w:style w:type="character" w:customStyle="1" w:styleId="mw-headline">
    <w:name w:val="mw-headline"/>
    <w:basedOn w:val="a1"/>
    <w:rsid w:val="002C765D"/>
  </w:style>
  <w:style w:type="character" w:styleId="af2">
    <w:name w:val="FollowedHyperlink"/>
    <w:basedOn w:val="a1"/>
    <w:rsid w:val="00F241D9"/>
    <w:rPr>
      <w:color w:val="800080"/>
      <w:u w:val="single"/>
    </w:rPr>
  </w:style>
  <w:style w:type="paragraph" w:customStyle="1" w:styleId="FR5">
    <w:name w:val="FR5"/>
    <w:rsid w:val="00C26CB7"/>
    <w:pPr>
      <w:widowControl w:val="0"/>
      <w:ind w:left="320"/>
    </w:pPr>
    <w:rPr>
      <w:rFonts w:ascii="Arial" w:hAnsi="Arial"/>
      <w:sz w:val="18"/>
    </w:rPr>
  </w:style>
  <w:style w:type="paragraph" w:styleId="12">
    <w:name w:val="toc 1"/>
    <w:basedOn w:val="a0"/>
    <w:next w:val="a0"/>
    <w:autoRedefine/>
    <w:semiHidden/>
    <w:rsid w:val="00FD5E3E"/>
  </w:style>
  <w:style w:type="paragraph" w:customStyle="1" w:styleId="ConsNormal">
    <w:name w:val="ConsNormal"/>
    <w:rsid w:val="005C132F"/>
    <w:pPr>
      <w:widowControl w:val="0"/>
      <w:snapToGrid w:val="0"/>
      <w:ind w:firstLine="720"/>
    </w:pPr>
    <w:rPr>
      <w:rFonts w:ascii="Arial" w:hAnsi="Arial"/>
    </w:rPr>
  </w:style>
  <w:style w:type="paragraph" w:customStyle="1" w:styleId="a">
    <w:name w:val="Маркер Надя"/>
    <w:basedOn w:val="a0"/>
    <w:rsid w:val="00767206"/>
    <w:pPr>
      <w:numPr>
        <w:numId w:val="13"/>
      </w:numPr>
      <w:tabs>
        <w:tab w:val="clear" w:pos="2138"/>
      </w:tabs>
      <w:ind w:left="0" w:firstLine="709"/>
    </w:pPr>
  </w:style>
  <w:style w:type="paragraph" w:customStyle="1" w:styleId="af3">
    <w:name w:val="Динин стиль"/>
    <w:basedOn w:val="a0"/>
    <w:rsid w:val="00E9382F"/>
    <w:pPr>
      <w:widowControl w:val="0"/>
      <w:shd w:val="clear" w:color="auto" w:fill="FFFFFF"/>
      <w:overflowPunct w:val="0"/>
      <w:autoSpaceDE w:val="0"/>
      <w:autoSpaceDN w:val="0"/>
      <w:adjustRightInd w:val="0"/>
      <w:textAlignment w:val="baseline"/>
    </w:pPr>
    <w:rPr>
      <w:rFonts w:cs="Arial"/>
      <w:bCs/>
      <w:color w:val="000000"/>
      <w:szCs w:val="28"/>
    </w:rPr>
  </w:style>
  <w:style w:type="paragraph" w:customStyle="1" w:styleId="art">
    <w:name w:val="art"/>
    <w:basedOn w:val="a0"/>
    <w:rsid w:val="00E9382F"/>
    <w:pPr>
      <w:spacing w:before="120" w:after="160"/>
      <w:ind w:firstLine="400"/>
    </w:pPr>
    <w:rPr>
      <w:rFonts w:ascii="Microsoft Sans Serif" w:hAnsi="Microsoft Sans Serif" w:cs="Microsoft Sans Serif"/>
    </w:rPr>
  </w:style>
  <w:style w:type="character" w:customStyle="1" w:styleId="20">
    <w:name w:val="Заголовок 2 Знак"/>
    <w:basedOn w:val="a1"/>
    <w:link w:val="2"/>
    <w:locked/>
    <w:rsid w:val="00DF7681"/>
    <w:rPr>
      <w:rFonts w:cs="Arial"/>
      <w:bCs/>
      <w:iCs/>
      <w:sz w:val="28"/>
      <w:szCs w:val="28"/>
      <w:lang w:val="ru-RU" w:eastAsia="ru-RU" w:bidi="ar-SA"/>
    </w:rPr>
  </w:style>
  <w:style w:type="character" w:customStyle="1" w:styleId="apple-converted-space">
    <w:name w:val="apple-converted-space"/>
    <w:basedOn w:val="a1"/>
    <w:rsid w:val="00DF7681"/>
  </w:style>
  <w:style w:type="paragraph" w:styleId="af4">
    <w:name w:val="List Paragraph"/>
    <w:basedOn w:val="a0"/>
    <w:uiPriority w:val="34"/>
    <w:qFormat/>
    <w:rsid w:val="002F1302"/>
    <w:pPr>
      <w:ind w:left="720"/>
      <w:contextualSpacing/>
    </w:pPr>
  </w:style>
  <w:style w:type="paragraph" w:styleId="af5">
    <w:name w:val="TOC Heading"/>
    <w:basedOn w:val="1"/>
    <w:next w:val="a0"/>
    <w:uiPriority w:val="39"/>
    <w:semiHidden/>
    <w:unhideWhenUsed/>
    <w:qFormat/>
    <w:rsid w:val="007A0039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caps w:val="0"/>
      <w:color w:val="365F91" w:themeColor="accent1" w:themeShade="BF"/>
      <w:kern w:val="0"/>
      <w:lang w:eastAsia="en-US"/>
    </w:rPr>
  </w:style>
  <w:style w:type="character" w:customStyle="1" w:styleId="hl">
    <w:name w:val="hl"/>
    <w:basedOn w:val="a1"/>
    <w:rsid w:val="006238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2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6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4469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5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273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9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254240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2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3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08113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95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307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8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43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6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71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46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560773">
              <w:marLeft w:val="0"/>
              <w:marRight w:val="0"/>
              <w:marTop w:val="0"/>
              <w:marBottom w:val="50"/>
              <w:divBdr>
                <w:top w:val="single" w:sz="6" w:space="0" w:color="C8CACC"/>
                <w:left w:val="single" w:sz="6" w:space="0" w:color="C8CACC"/>
                <w:bottom w:val="single" w:sz="6" w:space="1" w:color="C8CACC"/>
                <w:right w:val="single" w:sz="6" w:space="0" w:color="C8CACC"/>
              </w:divBdr>
              <w:divsChild>
                <w:div w:id="226452582">
                  <w:marLeft w:val="0"/>
                  <w:marRight w:val="0"/>
                  <w:marTop w:val="0"/>
                  <w:marBottom w:val="0"/>
                  <w:divBdr>
                    <w:top w:val="single" w:sz="36" w:space="3" w:color="F2F2F2"/>
                    <w:left w:val="none" w:sz="0" w:space="0" w:color="auto"/>
                    <w:bottom w:val="single" w:sz="36" w:space="3" w:color="E4E4E4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6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73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1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3876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7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3BD97D801939F9E14CE10DE1EC9F6EB7D174369D35E6D0A4F57152DD7BU5N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BD7C8-1753-4BA2-96D6-52BF1AA09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2526</Words>
  <Characters>14399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ofice</Company>
  <LinksUpToDate>false</LinksUpToDate>
  <CharactersWithSpaces>16892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Надя</dc:creator>
  <cp:lastModifiedBy>Надя</cp:lastModifiedBy>
  <cp:revision>3</cp:revision>
  <cp:lastPrinted>2010-08-17T08:12:00Z</cp:lastPrinted>
  <dcterms:created xsi:type="dcterms:W3CDTF">2016-04-12T16:43:00Z</dcterms:created>
  <dcterms:modified xsi:type="dcterms:W3CDTF">2016-04-12T16:47:00Z</dcterms:modified>
</cp:coreProperties>
</file>