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EDF" w:rsidRPr="00F92763" w:rsidRDefault="00917EDF" w:rsidP="00917EDF">
      <w:pPr>
        <w:pStyle w:val="11"/>
        <w:shd w:val="clear" w:color="auto" w:fill="auto"/>
        <w:spacing w:after="0" w:line="360" w:lineRule="auto"/>
        <w:rPr>
          <w:sz w:val="28"/>
          <w:szCs w:val="28"/>
        </w:rPr>
      </w:pPr>
      <w:r w:rsidRPr="00F92763">
        <w:rPr>
          <w:sz w:val="28"/>
          <w:szCs w:val="28"/>
        </w:rPr>
        <w:t xml:space="preserve">Министерство образования и науки РФ </w:t>
      </w:r>
    </w:p>
    <w:p w:rsidR="00917EDF" w:rsidRPr="00F92763" w:rsidRDefault="00917EDF" w:rsidP="00917EDF">
      <w:pPr>
        <w:pStyle w:val="11"/>
        <w:shd w:val="clear" w:color="auto" w:fill="auto"/>
        <w:spacing w:after="0" w:line="360" w:lineRule="auto"/>
        <w:rPr>
          <w:sz w:val="28"/>
          <w:szCs w:val="28"/>
        </w:rPr>
      </w:pPr>
      <w:r w:rsidRPr="00F92763">
        <w:rPr>
          <w:sz w:val="28"/>
          <w:szCs w:val="28"/>
        </w:rPr>
        <w:t>ГАОУ ВПО «Волгоградский государственный университет» Институт мировой экономики и финансов</w:t>
      </w:r>
    </w:p>
    <w:p w:rsidR="00917EDF" w:rsidRPr="00F92763" w:rsidRDefault="00917EDF" w:rsidP="00917EDF">
      <w:pPr>
        <w:keepNext/>
        <w:keepLines/>
        <w:spacing w:line="360" w:lineRule="auto"/>
        <w:jc w:val="center"/>
        <w:rPr>
          <w:rFonts w:ascii="Times New Roman" w:hAnsi="Times New Roman" w:cs="Times New Roman"/>
          <w:b/>
          <w:color w:val="auto"/>
          <w:sz w:val="28"/>
          <w:szCs w:val="28"/>
        </w:rPr>
      </w:pPr>
      <w:bookmarkStart w:id="0" w:name="bookmark0"/>
    </w:p>
    <w:p w:rsidR="00917EDF" w:rsidRPr="00F92763" w:rsidRDefault="00917EDF" w:rsidP="00917EDF">
      <w:pPr>
        <w:keepNext/>
        <w:keepLines/>
        <w:spacing w:line="360" w:lineRule="auto"/>
        <w:jc w:val="center"/>
        <w:rPr>
          <w:rFonts w:ascii="Times New Roman" w:hAnsi="Times New Roman" w:cs="Times New Roman"/>
          <w:b/>
          <w:color w:val="auto"/>
          <w:sz w:val="28"/>
          <w:szCs w:val="28"/>
        </w:rPr>
      </w:pPr>
    </w:p>
    <w:p w:rsidR="00917EDF" w:rsidRPr="00F92763" w:rsidRDefault="00917EDF" w:rsidP="00917EDF">
      <w:pPr>
        <w:keepNext/>
        <w:keepLines/>
        <w:spacing w:line="360" w:lineRule="auto"/>
        <w:jc w:val="center"/>
        <w:rPr>
          <w:rFonts w:ascii="Times New Roman" w:hAnsi="Times New Roman" w:cs="Times New Roman"/>
          <w:b/>
          <w:color w:val="auto"/>
          <w:sz w:val="28"/>
          <w:szCs w:val="28"/>
        </w:rPr>
      </w:pPr>
    </w:p>
    <w:p w:rsidR="00917EDF" w:rsidRPr="00F92763" w:rsidRDefault="00917EDF" w:rsidP="00917EDF">
      <w:pPr>
        <w:keepNext/>
        <w:keepLines/>
        <w:spacing w:line="360" w:lineRule="auto"/>
        <w:jc w:val="center"/>
        <w:rPr>
          <w:rFonts w:ascii="Times New Roman" w:hAnsi="Times New Roman" w:cs="Times New Roman"/>
          <w:b/>
          <w:color w:val="auto"/>
          <w:sz w:val="28"/>
          <w:szCs w:val="28"/>
        </w:rPr>
      </w:pPr>
    </w:p>
    <w:p w:rsidR="00917EDF" w:rsidRPr="00F92763" w:rsidRDefault="00917EDF" w:rsidP="00917EDF">
      <w:pPr>
        <w:keepNext/>
        <w:keepLines/>
        <w:spacing w:line="360" w:lineRule="auto"/>
        <w:jc w:val="center"/>
        <w:rPr>
          <w:rFonts w:ascii="Times New Roman" w:hAnsi="Times New Roman" w:cs="Times New Roman"/>
          <w:b/>
          <w:color w:val="auto"/>
          <w:sz w:val="28"/>
          <w:szCs w:val="28"/>
        </w:rPr>
      </w:pPr>
      <w:r w:rsidRPr="00F92763">
        <w:rPr>
          <w:rFonts w:ascii="Times New Roman" w:hAnsi="Times New Roman" w:cs="Times New Roman"/>
          <w:b/>
          <w:color w:val="auto"/>
          <w:sz w:val="28"/>
          <w:szCs w:val="28"/>
        </w:rPr>
        <w:t>Курсовая</w:t>
      </w:r>
      <w:r w:rsidRPr="00F92763">
        <w:rPr>
          <w:rStyle w:val="120"/>
          <w:rFonts w:eastAsia="Arial Unicode MS"/>
          <w:b/>
          <w:color w:val="auto"/>
          <w:sz w:val="28"/>
          <w:szCs w:val="28"/>
        </w:rPr>
        <w:t xml:space="preserve"> работа</w:t>
      </w:r>
      <w:bookmarkEnd w:id="0"/>
    </w:p>
    <w:p w:rsidR="0086222F" w:rsidRPr="00F92763" w:rsidRDefault="00917EDF" w:rsidP="00917EDF">
      <w:pPr>
        <w:spacing w:line="360" w:lineRule="auto"/>
        <w:jc w:val="center"/>
        <w:rPr>
          <w:rFonts w:ascii="Times New Roman" w:hAnsi="Times New Roman" w:cs="Times New Roman"/>
          <w:b/>
          <w:color w:val="auto"/>
          <w:sz w:val="28"/>
          <w:szCs w:val="28"/>
        </w:rPr>
      </w:pPr>
      <w:bookmarkStart w:id="1" w:name="bookmark1"/>
      <w:r w:rsidRPr="00F92763">
        <w:rPr>
          <w:rFonts w:ascii="Times New Roman" w:hAnsi="Times New Roman" w:cs="Times New Roman"/>
          <w:b/>
          <w:color w:val="auto"/>
          <w:sz w:val="28"/>
          <w:szCs w:val="28"/>
        </w:rPr>
        <w:t>на тему: «Особенности налогообложения страховых организаций»</w:t>
      </w:r>
      <w:bookmarkEnd w:id="1"/>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ind w:left="6372"/>
        <w:rPr>
          <w:rFonts w:ascii="Times New Roman" w:hAnsi="Times New Roman" w:cs="Times New Roman"/>
          <w:color w:val="auto"/>
          <w:sz w:val="28"/>
          <w:szCs w:val="28"/>
        </w:rPr>
      </w:pP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Выполнил студент </w:t>
      </w: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группы НОЗ-101 </w:t>
      </w: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института МЭиФ </w:t>
      </w: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Прусакова C.B.</w:t>
      </w:r>
    </w:p>
    <w:p w:rsidR="00917EDF" w:rsidRPr="00F92763" w:rsidRDefault="00917EDF" w:rsidP="00917EDF">
      <w:pPr>
        <w:spacing w:line="360" w:lineRule="auto"/>
        <w:ind w:left="6372"/>
        <w:rPr>
          <w:rFonts w:ascii="Times New Roman" w:hAnsi="Times New Roman" w:cs="Times New Roman"/>
          <w:color w:val="auto"/>
          <w:sz w:val="28"/>
          <w:szCs w:val="28"/>
        </w:rPr>
      </w:pP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Проверил: </w:t>
      </w: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старший преподаватель </w:t>
      </w:r>
    </w:p>
    <w:p w:rsidR="00917EDF" w:rsidRPr="00F92763" w:rsidRDefault="00917EDF" w:rsidP="00917EDF">
      <w:pPr>
        <w:spacing w:line="360" w:lineRule="auto"/>
        <w:ind w:left="6372"/>
        <w:rPr>
          <w:rFonts w:ascii="Times New Roman" w:hAnsi="Times New Roman" w:cs="Times New Roman"/>
          <w:color w:val="auto"/>
          <w:sz w:val="28"/>
          <w:szCs w:val="28"/>
        </w:rPr>
      </w:pPr>
      <w:r w:rsidRPr="00F92763">
        <w:rPr>
          <w:rFonts w:ascii="Times New Roman" w:hAnsi="Times New Roman" w:cs="Times New Roman"/>
          <w:color w:val="auto"/>
          <w:sz w:val="28"/>
          <w:szCs w:val="28"/>
        </w:rPr>
        <w:t>Григорьева Л.В.</w:t>
      </w:r>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r w:rsidRPr="00F92763">
        <w:rPr>
          <w:rFonts w:ascii="Times New Roman" w:hAnsi="Times New Roman" w:cs="Times New Roman"/>
          <w:color w:val="auto"/>
          <w:sz w:val="28"/>
          <w:szCs w:val="28"/>
        </w:rPr>
        <w:t>Волгоград – 2014</w:t>
      </w:r>
    </w:p>
    <w:p w:rsidR="00917EDF" w:rsidRPr="00F92763" w:rsidRDefault="00917EDF" w:rsidP="00917EDF">
      <w:pPr>
        <w:spacing w:line="360" w:lineRule="auto"/>
        <w:jc w:val="center"/>
        <w:rPr>
          <w:rFonts w:ascii="Times New Roman" w:hAnsi="Times New Roman" w:cs="Times New Roman"/>
          <w:color w:val="auto"/>
          <w:sz w:val="28"/>
          <w:szCs w:val="28"/>
        </w:rPr>
      </w:pPr>
    </w:p>
    <w:sdt>
      <w:sdtPr>
        <w:rPr>
          <w:rFonts w:ascii="Times New Roman" w:eastAsia="Arial Unicode MS" w:hAnsi="Times New Roman" w:cs="Times New Roman"/>
          <w:b w:val="0"/>
          <w:bCs w:val="0"/>
          <w:color w:val="auto"/>
          <w:sz w:val="24"/>
          <w:szCs w:val="24"/>
          <w:lang w:eastAsia="ru-RU"/>
        </w:rPr>
        <w:id w:val="7918393"/>
        <w:docPartObj>
          <w:docPartGallery w:val="Table of Contents"/>
          <w:docPartUnique/>
        </w:docPartObj>
      </w:sdtPr>
      <w:sdtContent>
        <w:p w:rsidR="00917EDF" w:rsidRPr="00F92763" w:rsidRDefault="00917EDF" w:rsidP="00917EDF">
          <w:pPr>
            <w:pStyle w:val="a4"/>
            <w:spacing w:before="0" w:line="360" w:lineRule="auto"/>
            <w:jc w:val="center"/>
            <w:rPr>
              <w:rFonts w:ascii="Times New Roman" w:hAnsi="Times New Roman" w:cs="Times New Roman"/>
              <w:color w:val="auto"/>
            </w:rPr>
          </w:pPr>
          <w:r w:rsidRPr="00F92763">
            <w:rPr>
              <w:rFonts w:ascii="Times New Roman" w:hAnsi="Times New Roman" w:cs="Times New Roman"/>
              <w:color w:val="auto"/>
            </w:rPr>
            <w:t>Содержание</w:t>
          </w:r>
        </w:p>
        <w:p w:rsidR="00917EDF" w:rsidRPr="00F92763" w:rsidRDefault="00917EDF" w:rsidP="00917EDF">
          <w:pPr>
            <w:rPr>
              <w:rFonts w:ascii="Times New Roman" w:hAnsi="Times New Roman" w:cs="Times New Roman"/>
              <w:color w:val="auto"/>
              <w:lang w:eastAsia="en-US"/>
            </w:rPr>
          </w:pPr>
        </w:p>
        <w:p w:rsidR="00B10B60" w:rsidRPr="00F92763" w:rsidRDefault="00714DD4" w:rsidP="00B10B60">
          <w:pPr>
            <w:pStyle w:val="13"/>
            <w:tabs>
              <w:tab w:val="right" w:leader="dot" w:pos="9344"/>
            </w:tabs>
            <w:spacing w:after="0" w:line="360" w:lineRule="auto"/>
            <w:jc w:val="both"/>
            <w:rPr>
              <w:rFonts w:ascii="Times New Roman" w:hAnsi="Times New Roman" w:cs="Times New Roman"/>
              <w:noProof/>
              <w:sz w:val="28"/>
              <w:szCs w:val="28"/>
            </w:rPr>
          </w:pPr>
          <w:r w:rsidRPr="00F92763">
            <w:rPr>
              <w:rFonts w:ascii="Times New Roman" w:hAnsi="Times New Roman" w:cs="Times New Roman"/>
              <w:color w:val="auto"/>
              <w:sz w:val="28"/>
              <w:szCs w:val="28"/>
            </w:rPr>
            <w:fldChar w:fldCharType="begin"/>
          </w:r>
          <w:r w:rsidR="00917EDF" w:rsidRPr="00F92763">
            <w:rPr>
              <w:rFonts w:ascii="Times New Roman" w:hAnsi="Times New Roman" w:cs="Times New Roman"/>
              <w:color w:val="auto"/>
              <w:sz w:val="28"/>
              <w:szCs w:val="28"/>
            </w:rPr>
            <w:instrText xml:space="preserve"> TOC \o "1-3" \h \z \u </w:instrText>
          </w:r>
          <w:r w:rsidRPr="00F92763">
            <w:rPr>
              <w:rFonts w:ascii="Times New Roman" w:hAnsi="Times New Roman" w:cs="Times New Roman"/>
              <w:color w:val="auto"/>
              <w:sz w:val="28"/>
              <w:szCs w:val="28"/>
            </w:rPr>
            <w:fldChar w:fldCharType="separate"/>
          </w:r>
          <w:hyperlink w:anchor="_Toc398627619" w:history="1">
            <w:r w:rsidR="00B10B60" w:rsidRPr="00F92763">
              <w:rPr>
                <w:rStyle w:val="af1"/>
                <w:rFonts w:ascii="Times New Roman" w:hAnsi="Times New Roman" w:cs="Times New Roman"/>
                <w:noProof/>
                <w:sz w:val="28"/>
                <w:szCs w:val="28"/>
              </w:rPr>
              <w:t>Введение</w:t>
            </w:r>
            <w:r w:rsidR="00B10B60" w:rsidRPr="00F92763">
              <w:rPr>
                <w:rFonts w:ascii="Times New Roman" w:hAnsi="Times New Roman" w:cs="Times New Roman"/>
                <w:noProof/>
                <w:webHidden/>
                <w:sz w:val="28"/>
                <w:szCs w:val="28"/>
              </w:rPr>
              <w:tab/>
            </w:r>
            <w:r w:rsidR="00B10B60" w:rsidRPr="00F92763">
              <w:rPr>
                <w:rFonts w:ascii="Times New Roman" w:hAnsi="Times New Roman" w:cs="Times New Roman"/>
                <w:noProof/>
                <w:webHidden/>
                <w:sz w:val="28"/>
                <w:szCs w:val="28"/>
              </w:rPr>
              <w:fldChar w:fldCharType="begin"/>
            </w:r>
            <w:r w:rsidR="00B10B60" w:rsidRPr="00F92763">
              <w:rPr>
                <w:rFonts w:ascii="Times New Roman" w:hAnsi="Times New Roman" w:cs="Times New Roman"/>
                <w:noProof/>
                <w:webHidden/>
                <w:sz w:val="28"/>
                <w:szCs w:val="28"/>
              </w:rPr>
              <w:instrText xml:space="preserve"> PAGEREF _Toc398627619 \h </w:instrText>
            </w:r>
            <w:r w:rsidR="00B10B60" w:rsidRPr="00F92763">
              <w:rPr>
                <w:rFonts w:ascii="Times New Roman" w:hAnsi="Times New Roman" w:cs="Times New Roman"/>
                <w:noProof/>
                <w:webHidden/>
                <w:sz w:val="28"/>
                <w:szCs w:val="28"/>
              </w:rPr>
            </w:r>
            <w:r w:rsidR="00B10B60"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3</w:t>
            </w:r>
            <w:r w:rsidR="00B10B60"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0" w:history="1">
            <w:r w:rsidRPr="00F92763">
              <w:rPr>
                <w:rStyle w:val="af1"/>
                <w:rFonts w:ascii="Times New Roman" w:hAnsi="Times New Roman" w:cs="Times New Roman"/>
                <w:noProof/>
                <w:sz w:val="28"/>
                <w:szCs w:val="28"/>
              </w:rPr>
              <w:t>1. Теоретические аспекты налогообложения субъектов РФ</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_Toc398627620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5</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1" w:history="1">
            <w:r w:rsidRPr="00F92763">
              <w:rPr>
                <w:rStyle w:val="af1"/>
                <w:rFonts w:ascii="Times New Roman" w:hAnsi="Times New Roman" w:cs="Times New Roman"/>
                <w:noProof/>
                <w:sz w:val="28"/>
                <w:szCs w:val="28"/>
              </w:rPr>
              <w:t>1.1. Понятие страховых организаций как хозяйственных субъектов РФ и особенности их функционирования</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_Toc398627621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5</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2" w:history="1">
            <w:r w:rsidRPr="00F92763">
              <w:rPr>
                <w:rStyle w:val="af1"/>
                <w:rFonts w:ascii="Times New Roman" w:hAnsi="Times New Roman" w:cs="Times New Roman"/>
                <w:noProof/>
                <w:sz w:val="28"/>
                <w:szCs w:val="28"/>
              </w:rPr>
              <w:t>1.2. Организационно-правовые формы хозяйственных субъектов на страховом рынке РФ</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_Toc398627622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11</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3" w:history="1">
            <w:r w:rsidRPr="00F92763">
              <w:rPr>
                <w:rStyle w:val="af1"/>
                <w:rFonts w:ascii="Times New Roman" w:hAnsi="Times New Roman" w:cs="Times New Roman"/>
                <w:noProof/>
                <w:sz w:val="28"/>
                <w:szCs w:val="28"/>
              </w:rPr>
              <w:t>1.3. Налогообложение страховых организаций на страховом рынке</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_Toc398627623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19</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4" w:history="1">
            <w:r w:rsidRPr="00F92763">
              <w:rPr>
                <w:rStyle w:val="af1"/>
                <w:rFonts w:ascii="Times New Roman" w:hAnsi="Times New Roman" w:cs="Times New Roman"/>
                <w:noProof/>
                <w:sz w:val="28"/>
                <w:szCs w:val="28"/>
              </w:rPr>
              <w:t xml:space="preserve">2. Анализ и специфика налогообложения </w:t>
            </w:r>
            <w:r w:rsidRPr="00F92763">
              <w:rPr>
                <w:rStyle w:val="af1"/>
                <w:rFonts w:ascii="Times New Roman" w:hAnsi="Times New Roman" w:cs="Times New Roman"/>
                <w:noProof/>
                <w:sz w:val="28"/>
                <w:szCs w:val="28"/>
                <w:shd w:val="clear" w:color="auto" w:fill="FFFFFF"/>
              </w:rPr>
              <w:t>ОАО Страховая компания «Царица»</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_Toc398627624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22</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5" w:history="1">
            <w:r w:rsidRPr="00F92763">
              <w:rPr>
                <w:rStyle w:val="af1"/>
                <w:rFonts w:ascii="Times New Roman" w:hAnsi="Times New Roman" w:cs="Times New Roman"/>
                <w:noProof/>
                <w:sz w:val="28"/>
                <w:szCs w:val="28"/>
              </w:rPr>
              <w:t xml:space="preserve">2.1. Финансово-экономическая характеристика деятельности </w:t>
            </w:r>
            <w:r w:rsidRPr="00F92763">
              <w:rPr>
                <w:rStyle w:val="af1"/>
                <w:rFonts w:ascii="Times New Roman" w:hAnsi="Times New Roman" w:cs="Times New Roman"/>
                <w:noProof/>
                <w:sz w:val="28"/>
                <w:szCs w:val="28"/>
                <w:shd w:val="clear" w:color="auto" w:fill="FFFFFF"/>
              </w:rPr>
              <w:t>ОАО Страховая компания «Царица»</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_Toc398627625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22</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6" w:history="1">
            <w:r w:rsidRPr="00F92763">
              <w:rPr>
                <w:rStyle w:val="af1"/>
                <w:rFonts w:ascii="Times New Roman" w:hAnsi="Times New Roman" w:cs="Times New Roman"/>
                <w:noProof/>
                <w:sz w:val="28"/>
                <w:szCs w:val="28"/>
              </w:rPr>
              <w:t>2.2. Специфика налогообложения</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_Toc398627626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31</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7" w:history="1">
            <w:r w:rsidRPr="00F92763">
              <w:rPr>
                <w:rStyle w:val="af1"/>
                <w:rFonts w:ascii="Times New Roman" w:hAnsi="Times New Roman" w:cs="Times New Roman"/>
                <w:noProof/>
                <w:sz w:val="28"/>
                <w:szCs w:val="28"/>
              </w:rPr>
              <w:t>2.3. Налоговое планирование</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_Toc398627627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35</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8" w:history="1">
            <w:r w:rsidRPr="00F92763">
              <w:rPr>
                <w:rStyle w:val="af1"/>
                <w:rFonts w:ascii="Times New Roman" w:hAnsi="Times New Roman" w:cs="Times New Roman"/>
                <w:noProof/>
                <w:sz w:val="28"/>
                <w:szCs w:val="28"/>
              </w:rPr>
              <w:t>Заключение</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_Toc398627628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42</w:t>
            </w:r>
            <w:r w:rsidRPr="00F92763">
              <w:rPr>
                <w:rFonts w:ascii="Times New Roman" w:hAnsi="Times New Roman" w:cs="Times New Roman"/>
                <w:noProof/>
                <w:webHidden/>
                <w:sz w:val="28"/>
                <w:szCs w:val="28"/>
              </w:rPr>
              <w:fldChar w:fldCharType="end"/>
            </w:r>
          </w:hyperlink>
        </w:p>
        <w:p w:rsidR="00B10B60" w:rsidRPr="00F92763" w:rsidRDefault="00B10B60" w:rsidP="00B10B60">
          <w:pPr>
            <w:pStyle w:val="13"/>
            <w:tabs>
              <w:tab w:val="right" w:leader="dot" w:pos="9344"/>
            </w:tabs>
            <w:spacing w:after="0" w:line="360" w:lineRule="auto"/>
            <w:jc w:val="both"/>
            <w:rPr>
              <w:rFonts w:ascii="Times New Roman" w:hAnsi="Times New Roman" w:cs="Times New Roman"/>
              <w:noProof/>
              <w:sz w:val="28"/>
              <w:szCs w:val="28"/>
            </w:rPr>
          </w:pPr>
          <w:hyperlink w:anchor="_Toc398627629" w:history="1">
            <w:r w:rsidRPr="00F92763">
              <w:rPr>
                <w:rStyle w:val="af1"/>
                <w:rFonts w:ascii="Times New Roman" w:hAnsi="Times New Roman" w:cs="Times New Roman"/>
                <w:noProof/>
                <w:sz w:val="28"/>
                <w:szCs w:val="28"/>
              </w:rPr>
              <w:t>Список использованных источников</w:t>
            </w:r>
            <w:r w:rsidRPr="00F92763">
              <w:rPr>
                <w:rFonts w:ascii="Times New Roman" w:hAnsi="Times New Roman" w:cs="Times New Roman"/>
                <w:noProof/>
                <w:webHidden/>
                <w:sz w:val="28"/>
                <w:szCs w:val="28"/>
              </w:rPr>
              <w:tab/>
            </w:r>
            <w:r w:rsidRPr="00F92763">
              <w:rPr>
                <w:rFonts w:ascii="Times New Roman" w:hAnsi="Times New Roman" w:cs="Times New Roman"/>
                <w:noProof/>
                <w:webHidden/>
                <w:sz w:val="28"/>
                <w:szCs w:val="28"/>
              </w:rPr>
              <w:fldChar w:fldCharType="begin"/>
            </w:r>
            <w:r w:rsidRPr="00F92763">
              <w:rPr>
                <w:rFonts w:ascii="Times New Roman" w:hAnsi="Times New Roman" w:cs="Times New Roman"/>
                <w:noProof/>
                <w:webHidden/>
                <w:sz w:val="28"/>
                <w:szCs w:val="28"/>
              </w:rPr>
              <w:instrText xml:space="preserve"> PAGEREF _Toc398627629 \h </w:instrText>
            </w:r>
            <w:r w:rsidRPr="00F92763">
              <w:rPr>
                <w:rFonts w:ascii="Times New Roman" w:hAnsi="Times New Roman" w:cs="Times New Roman"/>
                <w:noProof/>
                <w:webHidden/>
                <w:sz w:val="28"/>
                <w:szCs w:val="28"/>
              </w:rPr>
            </w:r>
            <w:r w:rsidRPr="00F92763">
              <w:rPr>
                <w:rFonts w:ascii="Times New Roman" w:hAnsi="Times New Roman" w:cs="Times New Roman"/>
                <w:noProof/>
                <w:webHidden/>
                <w:sz w:val="28"/>
                <w:szCs w:val="28"/>
              </w:rPr>
              <w:fldChar w:fldCharType="separate"/>
            </w:r>
            <w:r w:rsidR="00F92763" w:rsidRPr="00F92763">
              <w:rPr>
                <w:rFonts w:ascii="Times New Roman" w:hAnsi="Times New Roman" w:cs="Times New Roman"/>
                <w:noProof/>
                <w:webHidden/>
                <w:sz w:val="28"/>
                <w:szCs w:val="28"/>
              </w:rPr>
              <w:t>42</w:t>
            </w:r>
            <w:r w:rsidRPr="00F92763">
              <w:rPr>
                <w:rFonts w:ascii="Times New Roman" w:hAnsi="Times New Roman" w:cs="Times New Roman"/>
                <w:noProof/>
                <w:webHidden/>
                <w:sz w:val="28"/>
                <w:szCs w:val="28"/>
              </w:rPr>
              <w:fldChar w:fldCharType="end"/>
            </w:r>
          </w:hyperlink>
        </w:p>
        <w:p w:rsidR="00917EDF" w:rsidRPr="00F92763" w:rsidRDefault="00714DD4" w:rsidP="00B10B60">
          <w:pPr>
            <w:spacing w:line="360" w:lineRule="auto"/>
            <w:jc w:val="both"/>
            <w:rPr>
              <w:rFonts w:ascii="Times New Roman" w:hAnsi="Times New Roman" w:cs="Times New Roman"/>
              <w:color w:val="auto"/>
            </w:rPr>
          </w:pPr>
          <w:r w:rsidRPr="00F92763">
            <w:rPr>
              <w:rFonts w:ascii="Times New Roman" w:hAnsi="Times New Roman" w:cs="Times New Roman"/>
              <w:color w:val="auto"/>
              <w:sz w:val="28"/>
              <w:szCs w:val="28"/>
            </w:rPr>
            <w:fldChar w:fldCharType="end"/>
          </w:r>
        </w:p>
      </w:sdtContent>
    </w:sdt>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rsidP="00917EDF">
      <w:pPr>
        <w:spacing w:line="360" w:lineRule="auto"/>
        <w:jc w:val="center"/>
        <w:rPr>
          <w:rFonts w:ascii="Times New Roman" w:hAnsi="Times New Roman" w:cs="Times New Roman"/>
          <w:color w:val="auto"/>
          <w:sz w:val="28"/>
          <w:szCs w:val="28"/>
        </w:rPr>
      </w:pPr>
    </w:p>
    <w:p w:rsidR="00917EDF" w:rsidRPr="00F92763" w:rsidRDefault="00917EDF">
      <w:pPr>
        <w:spacing w:after="200" w:line="276" w:lineRule="auto"/>
        <w:rPr>
          <w:rFonts w:ascii="Times New Roman" w:hAnsi="Times New Roman" w:cs="Times New Roman"/>
          <w:color w:val="auto"/>
          <w:sz w:val="28"/>
          <w:szCs w:val="28"/>
        </w:rPr>
      </w:pPr>
      <w:r w:rsidRPr="00F92763">
        <w:rPr>
          <w:rFonts w:ascii="Times New Roman" w:hAnsi="Times New Roman" w:cs="Times New Roman"/>
          <w:color w:val="auto"/>
          <w:sz w:val="28"/>
          <w:szCs w:val="28"/>
        </w:rPr>
        <w:br w:type="page"/>
      </w:r>
    </w:p>
    <w:p w:rsidR="00917EDF" w:rsidRPr="00F92763" w:rsidRDefault="00917EDF" w:rsidP="00FE38DF">
      <w:pPr>
        <w:pStyle w:val="1"/>
        <w:spacing w:before="0" w:line="360" w:lineRule="auto"/>
        <w:jc w:val="center"/>
        <w:rPr>
          <w:rFonts w:ascii="Times New Roman" w:hAnsi="Times New Roman" w:cs="Times New Roman"/>
          <w:color w:val="auto"/>
        </w:rPr>
      </w:pPr>
      <w:bookmarkStart w:id="2" w:name="_Toc398627619"/>
      <w:r w:rsidRPr="00F92763">
        <w:rPr>
          <w:rFonts w:ascii="Times New Roman" w:hAnsi="Times New Roman" w:cs="Times New Roman"/>
          <w:color w:val="auto"/>
        </w:rPr>
        <w:lastRenderedPageBreak/>
        <w:t>Введение</w:t>
      </w:r>
      <w:bookmarkEnd w:id="2"/>
    </w:p>
    <w:p w:rsidR="00917EDF" w:rsidRPr="00F92763" w:rsidRDefault="00917EDF" w:rsidP="00ED27F2">
      <w:pPr>
        <w:spacing w:line="360" w:lineRule="auto"/>
        <w:ind w:firstLine="709"/>
        <w:jc w:val="both"/>
        <w:rPr>
          <w:rFonts w:ascii="Times New Roman" w:hAnsi="Times New Roman" w:cs="Times New Roman"/>
          <w:color w:val="auto"/>
          <w:sz w:val="28"/>
          <w:szCs w:val="28"/>
        </w:rPr>
      </w:pP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Страхование удовлетворяет одну из основных потребностей человека - потребность в безопасности и имеет многовековую историю развития. В условиях рыночной экономики широко раскрываются его возможности, связанные с созданием накоплений юридических и физических лиц, что повышает инвестиционный потенциал страны, способствует росту благосостояния нации и позволяет решать проблемы социального и пенсионного обеспечения.</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В последние годы происходит достаточно быстрое развитие страхования, выражающееся в высоких темпах роста поступлений страховых взносов, улучшении их структуры, прежде всего за счет увеличения доли добровольного страхования. Соответственно повышается значение страхования, касающееся защиты интересов граждан и юридических лиц от разнообразных рисков.</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Возрастает роль страхования в формировании финансовых ресурсов общества за счет увеличения уставных капиталов и резервных фондов страховых организаций, а также поступлений в федеральный и региональные бюджеты налоговых платежей по результатам страховой деятельности.</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Система налогообложения страховой деятельности должна обеспечивать увеличение поступлений в бюджетную систему (фискальная функция налогов) и способствовать оптимизации страхового рынка (стимулирующая функция налогов). В современных условиях действие налогов как в первом, так и во втором направлении нельзя признать эффективным. При росте отношения суммы страховых взносов к внутреннему валовому продукту (ВВП) доля налогов, поступающих от страховых операций, не увеличивалась, а в отдельные годы даже снижалась.</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 xml:space="preserve">Несовершенство налогового законодательства - один из основных факторов, тормозящих развитие страхования в России, являющегося в условиях кризиса важным инструментом социальной защиты населения, </w:t>
      </w:r>
      <w:r w:rsidRPr="00F92763">
        <w:rPr>
          <w:sz w:val="28"/>
          <w:szCs w:val="28"/>
        </w:rPr>
        <w:lastRenderedPageBreak/>
        <w:t>стабильным источником инвестиций в экономику, фактором снижения деловых рисков в экономике. Совершенствование налогообложения имеет очень важное значение как один из факторов создания условий для развития страхования. При внесении изменений в налогообложение страховой деятельности необходимо учитывать интересы налогоплательщиков - как страховщиков, так и страхователей. Вместе с тем изменения налогообложения, осуществляемые законодательными органами, поддерживают также обеспечение заинтересованности государства в росте налоговых поступлений по мере расширения страховых операций.</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Государственное регулирование развития страхового дела должно развиваться в направлении методологического совершенствования, стандартизации процедур и усиления государственного контроля за соблюдением страховыми организациями законодательства по налогам и сборам/Государство через использование налогового механизма, понижение ставок налогов и применение более мягкого и приемлемого налогообложения в целом может влиять на развитие страхового рынка. Такое развитие страхования, в конечном счете, даст бюджету больше ресурсов, чем повышение налоговых ставок и ужесточение иных фискальных мер. Для анализа состояния налогообложения страховых организаций и выявления, требующих решения проблем представляется важным проследить развитие страхования в стране, показать, в какой мере оно связано с изменениями в системе налогообложения.</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Целью курсовой работы является изучение механизма налогообложения страховых организаций.</w:t>
      </w:r>
    </w:p>
    <w:p w:rsidR="00ED27F2" w:rsidRPr="00F92763" w:rsidRDefault="00ED27F2" w:rsidP="00ED27F2">
      <w:pPr>
        <w:pStyle w:val="11"/>
        <w:shd w:val="clear" w:color="auto" w:fill="auto"/>
        <w:spacing w:after="0" w:line="360" w:lineRule="auto"/>
        <w:ind w:firstLine="709"/>
        <w:jc w:val="both"/>
        <w:rPr>
          <w:sz w:val="28"/>
          <w:szCs w:val="28"/>
        </w:rPr>
      </w:pPr>
      <w:r w:rsidRPr="00F92763">
        <w:rPr>
          <w:sz w:val="28"/>
          <w:szCs w:val="28"/>
        </w:rPr>
        <w:t>Задачи курсовой работы: рассмотреть понятие и виды страхования в РФ, изучить состояние страхового рынка на современном этапе, провести анализ развития налогообложения на различных этапах становления российского страхового рынка, а также предложить основные пути совершенствования налогообложения и регулирования страховой деятельности в РФ.</w:t>
      </w:r>
    </w:p>
    <w:p w:rsidR="00917EDF" w:rsidRPr="00F92763" w:rsidRDefault="00917EDF" w:rsidP="00FE38DF">
      <w:pPr>
        <w:pStyle w:val="1"/>
        <w:spacing w:before="0" w:line="360" w:lineRule="auto"/>
        <w:jc w:val="center"/>
        <w:rPr>
          <w:rFonts w:ascii="Times New Roman" w:hAnsi="Times New Roman" w:cs="Times New Roman"/>
          <w:color w:val="auto"/>
        </w:rPr>
      </w:pPr>
      <w:bookmarkStart w:id="3" w:name="_Toc398627620"/>
      <w:r w:rsidRPr="00F92763">
        <w:rPr>
          <w:rFonts w:ascii="Times New Roman" w:hAnsi="Times New Roman" w:cs="Times New Roman"/>
          <w:color w:val="auto"/>
        </w:rPr>
        <w:lastRenderedPageBreak/>
        <w:t>1. Теоретические аспекты налогообложения субъектов РФ</w:t>
      </w:r>
      <w:bookmarkEnd w:id="3"/>
    </w:p>
    <w:p w:rsidR="00917EDF" w:rsidRPr="00F92763" w:rsidRDefault="00917EDF" w:rsidP="00FE38DF">
      <w:pPr>
        <w:spacing w:line="360" w:lineRule="auto"/>
        <w:jc w:val="center"/>
        <w:rPr>
          <w:rFonts w:ascii="Times New Roman" w:hAnsi="Times New Roman" w:cs="Times New Roman"/>
          <w:color w:val="auto"/>
          <w:sz w:val="28"/>
          <w:szCs w:val="28"/>
        </w:rPr>
      </w:pPr>
    </w:p>
    <w:p w:rsidR="00917EDF" w:rsidRPr="00F92763" w:rsidRDefault="00917EDF" w:rsidP="00FE38DF">
      <w:pPr>
        <w:pStyle w:val="1"/>
        <w:spacing w:before="0" w:line="360" w:lineRule="auto"/>
        <w:jc w:val="center"/>
        <w:rPr>
          <w:rFonts w:ascii="Times New Roman" w:hAnsi="Times New Roman" w:cs="Times New Roman"/>
          <w:color w:val="auto"/>
        </w:rPr>
      </w:pPr>
      <w:bookmarkStart w:id="4" w:name="_Toc398627621"/>
      <w:r w:rsidRPr="00F92763">
        <w:rPr>
          <w:rFonts w:ascii="Times New Roman" w:hAnsi="Times New Roman" w:cs="Times New Roman"/>
          <w:color w:val="auto"/>
        </w:rPr>
        <w:t xml:space="preserve">1.1. Понятие страховых организаций как </w:t>
      </w:r>
      <w:r w:rsidR="00FE38DF" w:rsidRPr="00F92763">
        <w:rPr>
          <w:rFonts w:ascii="Times New Roman" w:hAnsi="Times New Roman" w:cs="Times New Roman"/>
          <w:color w:val="auto"/>
        </w:rPr>
        <w:t>хозяйственных субъектов РФ и особенности их функционирования</w:t>
      </w:r>
      <w:bookmarkEnd w:id="4"/>
    </w:p>
    <w:p w:rsidR="00FE38DF" w:rsidRPr="00F92763" w:rsidRDefault="00FE38DF" w:rsidP="000F7327">
      <w:pPr>
        <w:spacing w:line="360" w:lineRule="auto"/>
        <w:ind w:firstLine="709"/>
        <w:jc w:val="both"/>
        <w:rPr>
          <w:rFonts w:ascii="Times New Roman" w:hAnsi="Times New Roman" w:cs="Times New Roman"/>
          <w:color w:val="auto"/>
          <w:sz w:val="28"/>
          <w:szCs w:val="28"/>
        </w:rPr>
      </w:pPr>
    </w:p>
    <w:p w:rsidR="00013DE7" w:rsidRPr="00F92763" w:rsidRDefault="00013DE7"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В Российской Федерации идет формирование цивилизованного страхового рынка, регулируемого государством. В настоящее время действуют сотни новых страховых компаний, которые предлагают широкий перечень страховых услуг.</w:t>
      </w:r>
    </w:p>
    <w:p w:rsidR="00013DE7" w:rsidRPr="00F92763" w:rsidRDefault="00013DE7"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Слово "страхование" имеет различные значения: 1) в переносном смысле страховать - предохранять от чего-либо неприятного, нежелательного; 2) в специальном значении страховать - обеспечивать от возможного ущерба путем периодических взносов специальному учреждению, которое выплачивает денежное возмещение в случае такого ущерба</w:t>
      </w:r>
      <w:r w:rsidR="000F7327" w:rsidRPr="00F92763">
        <w:rPr>
          <w:rStyle w:val="af0"/>
          <w:rFonts w:ascii="Times New Roman" w:hAnsi="Times New Roman" w:cs="Times New Roman"/>
          <w:color w:val="auto"/>
          <w:sz w:val="28"/>
          <w:szCs w:val="28"/>
        </w:rPr>
        <w:footnoteReference w:id="2"/>
      </w:r>
      <w:r w:rsidRPr="00F92763">
        <w:rPr>
          <w:rFonts w:ascii="Times New Roman" w:hAnsi="Times New Roman" w:cs="Times New Roman"/>
          <w:color w:val="auto"/>
          <w:sz w:val="28"/>
          <w:szCs w:val="28"/>
        </w:rPr>
        <w:t xml:space="preserve"> 3) это система мероприятий по созданию денежного (страхового) фонда, из средств которого возмещается ущерб и выплачиваются иные денежные суммы в результате стихийных бедствий, несчастных случаев, наступления других событий</w:t>
      </w:r>
      <w:r w:rsidR="000F7327" w:rsidRPr="00F92763">
        <w:rPr>
          <w:rStyle w:val="af0"/>
          <w:rFonts w:ascii="Times New Roman" w:hAnsi="Times New Roman" w:cs="Times New Roman"/>
          <w:color w:val="auto"/>
          <w:sz w:val="28"/>
          <w:szCs w:val="28"/>
        </w:rPr>
        <w:footnoteReference w:id="3"/>
      </w:r>
      <w:r w:rsidRPr="00F92763">
        <w:rPr>
          <w:rFonts w:ascii="Times New Roman" w:hAnsi="Times New Roman" w:cs="Times New Roman"/>
          <w:color w:val="auto"/>
          <w:sz w:val="28"/>
          <w:szCs w:val="28"/>
        </w:rPr>
        <w:t>.</w:t>
      </w:r>
    </w:p>
    <w:p w:rsidR="00013DE7" w:rsidRPr="00F92763" w:rsidRDefault="00013DE7"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Понятие страхования стремились выработать представители как экономической, так и правовой науки.</w:t>
      </w:r>
    </w:p>
    <w:p w:rsidR="00013DE7" w:rsidRPr="00F92763" w:rsidRDefault="00013DE7"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Следует обратить внимание, что достаточно долго преобладала теория о цели страхования, заключающейся в возмещении возможного вреда. В соответствии с этой теорией вред является результатом всякого факта, влекущего за собой уменьшение имущества или препятствующего его увеличению, задача страхования в том, чтобы возместить этот вред или, по крайней мере, уменьшить его размер.</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С экономической точки зрения, страхование - это совокупность экономических отношений по поводу образования, распределения и </w:t>
      </w:r>
      <w:r w:rsidRPr="00F92763">
        <w:rPr>
          <w:rFonts w:ascii="Times New Roman" w:hAnsi="Times New Roman" w:cs="Times New Roman"/>
          <w:color w:val="auto"/>
          <w:sz w:val="28"/>
          <w:szCs w:val="28"/>
        </w:rPr>
        <w:lastRenderedPageBreak/>
        <w:t>использования страховых фондов денежных средств, которые необходимы для покрытия непредвиденных расходов.</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В условиях рыночной экономики существенно возросла роль страхования в общественном воспроизводстве, значительно расширен перечень страховых услуг. В современной экономике страхование выполняет двоякую роль: как средство защиты от неблагоприятных событий (страховых случаев), так и вид деятельности, приносящий прибыль.</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Страхование, как отмечает В.В. Шахов</w:t>
      </w:r>
      <w:r w:rsidR="000F7327" w:rsidRPr="00F92763">
        <w:rPr>
          <w:rStyle w:val="af0"/>
          <w:rFonts w:ascii="Times New Roman" w:hAnsi="Times New Roman" w:cs="Times New Roman"/>
          <w:color w:val="auto"/>
          <w:sz w:val="28"/>
          <w:szCs w:val="28"/>
        </w:rPr>
        <w:footnoteReference w:id="4"/>
      </w:r>
      <w:r w:rsidRPr="00F92763">
        <w:rPr>
          <w:rFonts w:ascii="Times New Roman" w:hAnsi="Times New Roman" w:cs="Times New Roman"/>
          <w:color w:val="auto"/>
          <w:sz w:val="28"/>
          <w:szCs w:val="28"/>
        </w:rPr>
        <w:t xml:space="preserve"> это система экономических отношений, которые включают совокупность форм и методов формирования целевых фондов денежных средств и их использование на возмещение ущерба, обусловленного различными непредвиденными неблагоприятными явлениями (рисками).</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Страхованию как экономической категории присущ ряд признаков, а именно: наличие перераспределительных отношений, наличие страхового риска, формирование страхового сообщества из числа страхователей и страховщиков, солидарная ответственность всех страхователей за ущерб, возвратность страховых платежей, самоокупаемость страховой деятельности.</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 правовой точки зрения страхование - это совокупность юридических норм, регулирующих отношения по защите имущественных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 xml:space="preserve">Страхование является важным фактором стимулирования хозяйственной активности в условиях рыночной экономики, которое создает для всех участников рыночных отношений равные права, стремление получить выгоду. С данной стороны страхование можно рассматривать как форму финансового посредничества, в результате которого создаются </w:t>
      </w:r>
      <w:r w:rsidRPr="00F92763">
        <w:rPr>
          <w:rFonts w:ascii="Times New Roman" w:hAnsi="Times New Roman" w:cs="Times New Roman"/>
          <w:color w:val="auto"/>
          <w:sz w:val="28"/>
          <w:szCs w:val="28"/>
        </w:rPr>
        <w:lastRenderedPageBreak/>
        <w:t>специальные фонды средств, которые идут на возмещение ущерба от случайных явлений. Страхование можно рассматривать как экономический рычаг, посредством которого происходит перераспределение денежных средств в экономике страны.</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Страховые резервы, образуемые за счет страховых взносов, инвестируются в строительство, государственные ценные бумаги, промышленность и т.д. Поэтому урегулирование взаимоотношений между субъектами страхования является стабилизирующим фактором, который поможет государству решить часть экономических проблем.</w:t>
      </w:r>
    </w:p>
    <w:p w:rsidR="00DB7BC3" w:rsidRPr="00F92763" w:rsidRDefault="00DB7BC3" w:rsidP="000F7327">
      <w:pPr>
        <w:spacing w:line="360" w:lineRule="auto"/>
        <w:ind w:firstLine="709"/>
        <w:jc w:val="both"/>
        <w:rPr>
          <w:rFonts w:ascii="Times New Roman" w:hAnsi="Times New Roman" w:cs="Times New Roman"/>
          <w:color w:val="auto"/>
          <w:sz w:val="28"/>
          <w:szCs w:val="28"/>
        </w:rPr>
      </w:pPr>
      <w:r w:rsidRPr="00F92763">
        <w:rPr>
          <w:rFonts w:ascii="Times New Roman" w:hAnsi="Times New Roman" w:cs="Times New Roman"/>
          <w:color w:val="auto"/>
          <w:sz w:val="28"/>
          <w:szCs w:val="28"/>
        </w:rPr>
        <w:t>Таким образом, страхование как одно из звеньев финансовой системы РФ представляет собой совокупность финансовых отношений по образованию, распределению и использованию страховых фондов для покрытия последствий (потерь) при наступлении страхового случая, а также для предотвращения этих последствий, являющихся предметом правового регулирования финансового права</w:t>
      </w:r>
      <w:r w:rsidR="000F7327" w:rsidRPr="00F92763">
        <w:rPr>
          <w:rFonts w:ascii="Times New Roman" w:hAnsi="Times New Roman" w:cs="Times New Roman"/>
          <w:color w:val="auto"/>
          <w:sz w:val="28"/>
          <w:szCs w:val="28"/>
        </w:rPr>
        <w:t>.</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b/>
          <w:sz w:val="28"/>
          <w:szCs w:val="28"/>
        </w:rPr>
        <w:t>Страховая организация</w:t>
      </w:r>
      <w:r w:rsidRPr="00F92763">
        <w:rPr>
          <w:sz w:val="28"/>
          <w:szCs w:val="28"/>
        </w:rPr>
        <w:t xml:space="preserve"> – это различного рода страховые предприятия, учреждения, страховые компании (СК), акционерные страховые общества (АСО), региональные и международные финансовые группы, совместные российско – зарубежные перестраховочные объединения (компании, товарищества, частные фирмы, государственные страховые компании (ГСК) и др. Она функционирует в общей государственной экономической системе в качестве самостоятельного хозяйствующего субъекта.</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В правовом отношении страховая организация представляет собой обособленную структуру любой общественно – правовой формы, предусмотренной законодательством РФ, осуществляющую на ее территории страховую деятельность (заключение договоров страхования; формирование страховых резервов и фондов; инвестирование временно свободных денежных средств в доходные объекты, ценные бумаги, облигации; кредитование определенных сфер человеческой деятельности и т. п.).</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lastRenderedPageBreak/>
        <w:t>Предметом непосредственной деятельности страховых организаций не могут быть производственная, торгово-посредническая и банковская сферы. Страховой организации свойственна экономическая обособленность от государственной экономической системы, что выражается в полной самостоятельности ее ресурсов и оборотных средств. С другими страховщиками страховые организации строят свои отношения на основе перестрахования и сострахования, при котором объект страхования может быть застрахован по одному договору совместно несколькими страховщиками.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В условиях рыночной экономики страховые организации любых форм собственности самостоятельно определяют свою организационную структуру, порядок оплаты и стимулирования труда работников.</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Тем не менее специфика страховой деятельности диктует использование двух категорий работников:</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1) квалифицированных штатных специалистов, осуществляющих управленческую, экономическую, консультационно-методическую и другую деятельность;</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2) нештатных работников, выполняющих аквизиционных (приобретение) и инкассаторские функции (сбор и выплата денег).</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К штатным работникам относятся: президент страховой компании, вице-президент (главный экономист), генеральный директор, исполнительный директор (менеджер), главный бухгалтер, референты, эксперты, заведующий отделами по направлениям (видам страхования), инспектора, работники вычислительного центра, сотрудники отделов, обслуживающий персонал.</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К нештатным работникам относятся страховые агенты, брокеры, представители страховой компании, медицинские эксперты и другие.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Главной функциональной обязанностью штатных работников является обеспечение устойчивого функционирования страховой компании, высокой рентабельности, платежеспособности, конкурентоспособности.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lastRenderedPageBreak/>
        <w:t>Основными функциональными обязанностями нештатных работников являются: проведение агитационно-пропагандистской работы среди организаций, акционерных обществ, фирм и населения по вовлечению их в страхование, оформление вновь заключенных и возобновленных договоров, а также обеспечение контроля по своевременной уплате страховых взносов (платежей, премий) со стороны страхователей и производство страховых выплат со стороны страхователей и производство со стороны страховщиков при наступлении страховых случаев, т. е. главная задача нештатных работников состоит в продвижении страховых услуг от страховщика к страхователю.</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Все страховые компании делятся на организационные структуры по управлению (менеджменту) и по сферам деятельности.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Наиболее широкое распространение получила организационная структура по менеджменту, которая опирается на следующие принципы:</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решения в страховой компании не принимаются односторонне;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сотрудники страховой компании не только руководствуются распоряжениями начальства, но имеют и свои сферы и планы действия с полномочиями и компетенциями;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ответственность не концентрируется на верхнем уровне управления страховой компании. Она является частью компетенции других сотрудников по сферам деятельности;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вышестоящая инстанция в организационной структуре страховой компании имеет право принимать те решения, которые нижестоящие инстанции принимать не вправе;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ведущим принципом структуры менеджмента является делегирование полномочий и ответственности сверху донизу.</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xml:space="preserve">При такой организационной структуре управления каждый сотрудник независимо от того, на каком уровне он работает, отвечает только за то, что он сделал или не сделал в рамках своих полномочий. За ошибки сотрудника </w:t>
      </w:r>
      <w:r w:rsidRPr="00F92763">
        <w:rPr>
          <w:sz w:val="28"/>
          <w:szCs w:val="28"/>
        </w:rPr>
        <w:lastRenderedPageBreak/>
        <w:t>начальник отвечает лишь в тех случаях, когда он не выполнил свои обязанности руководителя.</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Функциями, которые должно выполнять высшее руководство страховой компании, являются:</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определение общей цели страховой компании на данном этапе;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разработка соответствующей стратегии и планирование работы страховой компании;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разработка структуры менеджмента;</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разработка концепции маркетинга;</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определение финансовой политики;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формирование сфер деятельности (личное страхование, имущественное страхование, страхование ответственности, перестрахование);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координация между собой сфер деятельности;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решение кадровой и социальной политики.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Организационная структура страховой компании по сферам деятельности означает, что функции страховой компании формируются вне зависимости от способностей сотрудников, а в соответствии с данной организационной структурой.</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При этом руководствуются следующим:</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1) во всех подразделениях и на всех уровнях имеются сотрудники, превосходящие по своим способностям уровни занимаемых ими положений и полномочий.</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2) вместе с ними есть и сотрудники, способности которых не соответствуют или только частично соответствуют требованиям занимаемой должности.</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Среди страховых компаний данной организационной структуры можно назвать акционерные страховые общества, общества взаимного страхования.</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 xml:space="preserve">Государственная страховая компания – организационная форма, учреждаемая государством или образуемая за счет национализации </w:t>
      </w:r>
      <w:r w:rsidRPr="00F92763">
        <w:rPr>
          <w:sz w:val="28"/>
          <w:szCs w:val="28"/>
        </w:rPr>
        <w:lastRenderedPageBreak/>
        <w:t>акционерного страхового общества и обращения их имущества в государственную собственность.</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Среди новых хозяйственно-организационных структур страхового дела можно выделить следующие.</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Концерны – объединение предприятий, включая страховые общества.</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Хозяйственные ассоциации – договорные объединения предприятий и страховых компаний.</w:t>
      </w:r>
    </w:p>
    <w:p w:rsidR="000F7327" w:rsidRPr="00F92763" w:rsidRDefault="000F7327" w:rsidP="000F7327">
      <w:pPr>
        <w:pStyle w:val="ac"/>
        <w:shd w:val="clear" w:color="auto" w:fill="FFFFFF"/>
        <w:spacing w:before="0" w:beforeAutospacing="0" w:after="0" w:afterAutospacing="0" w:line="360" w:lineRule="auto"/>
        <w:ind w:firstLine="709"/>
        <w:jc w:val="both"/>
        <w:rPr>
          <w:sz w:val="28"/>
          <w:szCs w:val="28"/>
        </w:rPr>
      </w:pPr>
      <w:r w:rsidRPr="00F92763">
        <w:rPr>
          <w:sz w:val="28"/>
          <w:szCs w:val="28"/>
        </w:rPr>
        <w:t>Консорциумы – временные договорные объединения производственных предприятий и страховых компаний для решения конкретных задач, реализации крупных целевых программ и проектов.</w:t>
      </w:r>
    </w:p>
    <w:p w:rsidR="000F7327" w:rsidRPr="00F92763" w:rsidRDefault="000F7327" w:rsidP="000F7327">
      <w:pPr>
        <w:spacing w:line="360" w:lineRule="auto"/>
        <w:ind w:firstLine="709"/>
        <w:jc w:val="both"/>
        <w:rPr>
          <w:rFonts w:ascii="Times New Roman" w:hAnsi="Times New Roman" w:cs="Times New Roman"/>
          <w:color w:val="auto"/>
          <w:sz w:val="28"/>
          <w:szCs w:val="28"/>
        </w:rPr>
      </w:pPr>
    </w:p>
    <w:p w:rsidR="00FE38DF" w:rsidRPr="00F92763" w:rsidRDefault="00FE38DF" w:rsidP="00FE38DF">
      <w:pPr>
        <w:pStyle w:val="1"/>
        <w:spacing w:before="0" w:line="360" w:lineRule="auto"/>
        <w:jc w:val="center"/>
        <w:rPr>
          <w:rFonts w:ascii="Times New Roman" w:hAnsi="Times New Roman" w:cs="Times New Roman"/>
          <w:color w:val="auto"/>
        </w:rPr>
      </w:pPr>
      <w:bookmarkStart w:id="5" w:name="_Toc398627622"/>
      <w:r w:rsidRPr="00F92763">
        <w:rPr>
          <w:rFonts w:ascii="Times New Roman" w:hAnsi="Times New Roman" w:cs="Times New Roman"/>
          <w:color w:val="auto"/>
        </w:rPr>
        <w:t>1.2. Организационно-правовые формы хозяйственных субъектов на страховом рынке РФ</w:t>
      </w:r>
      <w:bookmarkEnd w:id="5"/>
    </w:p>
    <w:p w:rsidR="00FE38DF" w:rsidRPr="00F92763" w:rsidRDefault="00FE38DF" w:rsidP="000F7327">
      <w:pPr>
        <w:spacing w:line="360" w:lineRule="auto"/>
        <w:ind w:firstLine="709"/>
        <w:jc w:val="center"/>
        <w:rPr>
          <w:rFonts w:ascii="Times New Roman" w:hAnsi="Times New Roman" w:cs="Times New Roman"/>
          <w:color w:val="auto"/>
          <w:sz w:val="28"/>
          <w:szCs w:val="28"/>
        </w:rPr>
      </w:pP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 соответствии с п.1 ст.4.1 Закона «Об организации страхового дела в Российской Федерации»</w:t>
      </w:r>
      <w:r w:rsidRPr="00F92763">
        <w:rPr>
          <w:rStyle w:val="af0"/>
          <w:rFonts w:ascii="Times New Roman" w:hAnsi="Times New Roman" w:cs="Times New Roman"/>
          <w:sz w:val="28"/>
          <w:szCs w:val="28"/>
        </w:rPr>
        <w:footnoteReference w:id="5"/>
      </w:r>
      <w:r w:rsidRPr="00F92763">
        <w:rPr>
          <w:rFonts w:ascii="Times New Roman" w:hAnsi="Times New Roman" w:cs="Times New Roman"/>
          <w:sz w:val="28"/>
          <w:szCs w:val="28"/>
        </w:rPr>
        <w:t xml:space="preserve"> участниками страховых отношений являются:</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страхователи, застрахованные лица, выгодоприобретатели;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страховые организации;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общества взаимного страхования;</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страховые агенты;</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страховые брокеры;</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страховые актуарии;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федеральный орган исполнительной власти, к компетенции которого относится осуществление функций по контролю и надзору в сфере страховой деятельности (страхового дела);</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объединения субъектов страхового дела, в том числе саморегулируемые организации.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Из них, согласно п.2 комментируемой статьи, страховые организации, общества взаимного страхования, страховые брокеры и страховые актуарии являются субъектами страхового дела, или страховщиками.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На основании ст.6 Закона «Об организации страхового дела в Российской Федерации» установлено, что страховщиками признаются юридические лица, созданные в соответствии с законодательством Российской Федерации для осуществления страхования, перестрахования, взаимного страхования и получившие лицензии в установленном законом порядке.</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Таким образом, страховщики – это юридические лица любой организационно-правовой формы, предусмотренной законодательством Российской Федерации, созданные для осуществления страховой деятельности (страховые организации и общества взаимного страхования) и получившие в установленном законом порядке лицензию на осуществление страховой деятельности на территории Российской Федерации.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Анализ страхового и гражданского законодательства позволяет выделить основные признаки организационно-правовой формы страховщика:</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Прежде всего, он должен быть зарегистрирован в форме юридического лица. Граждане, в том числе и зарегистрированные для ведения предпринимательской деятельности, не могут быть страховщиками на территории РФ (в отличие, например, от Англии).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Страховщик – это российское юридическое лицо, так как ст.6 Закона «Об организации страхового дела в Российской Федерации» требует, чтобы организационно-правовая форма этого юридического лица была предусмотрена законодательством Российской Федерации.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Кроме этого, п.3.1 Условий лицензирования</w:t>
      </w:r>
      <w:r w:rsidRPr="00F92763">
        <w:rPr>
          <w:rStyle w:val="af0"/>
          <w:rFonts w:ascii="Times New Roman" w:hAnsi="Times New Roman" w:cs="Times New Roman"/>
          <w:sz w:val="28"/>
          <w:szCs w:val="28"/>
        </w:rPr>
        <w:footnoteReference w:id="6"/>
      </w:r>
      <w:r w:rsidRPr="00F92763">
        <w:rPr>
          <w:rFonts w:ascii="Times New Roman" w:hAnsi="Times New Roman" w:cs="Times New Roman"/>
          <w:sz w:val="28"/>
          <w:szCs w:val="28"/>
        </w:rPr>
        <w:t xml:space="preserve"> предусмотрено, что лицензия на осуществление страховой деятельности может быть выдана </w:t>
      </w:r>
      <w:r w:rsidRPr="00F92763">
        <w:rPr>
          <w:rFonts w:ascii="Times New Roman" w:hAnsi="Times New Roman" w:cs="Times New Roman"/>
          <w:sz w:val="28"/>
          <w:szCs w:val="28"/>
        </w:rPr>
        <w:lastRenderedPageBreak/>
        <w:t>только лицу, зарегистрированному в Российской Федерации, то есть российскому юридическому лицу.</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Юридическое лицо в соответствии со </w:t>
      </w:r>
      <w:hyperlink r:id="rId8" w:anchor="I0" w:history="1">
        <w:r w:rsidRPr="00F92763">
          <w:rPr>
            <w:rStyle w:val="af1"/>
            <w:rFonts w:ascii="Times New Roman" w:hAnsi="Times New Roman" w:cs="Times New Roman"/>
            <w:b w:val="0"/>
            <w:color w:val="auto"/>
            <w:sz w:val="28"/>
            <w:szCs w:val="28"/>
          </w:rPr>
          <w:t>ст.48 ГК РФ</w:t>
        </w:r>
        <w:r w:rsidRPr="00F92763">
          <w:rPr>
            <w:rStyle w:val="af0"/>
            <w:rFonts w:ascii="Times New Roman" w:hAnsi="Times New Roman" w:cs="Times New Roman"/>
            <w:bCs/>
            <w:sz w:val="28"/>
            <w:szCs w:val="28"/>
          </w:rPr>
          <w:footnoteReference w:id="7"/>
        </w:r>
        <w:r w:rsidRPr="00F92763">
          <w:rPr>
            <w:rStyle w:val="af1"/>
            <w:rFonts w:ascii="Times New Roman" w:hAnsi="Times New Roman" w:cs="Times New Roman"/>
            <w:color w:val="auto"/>
            <w:sz w:val="28"/>
            <w:szCs w:val="28"/>
          </w:rPr>
          <w:t xml:space="preserve"> – </w:t>
        </w:r>
      </w:hyperlink>
      <w:r w:rsidRPr="00F92763">
        <w:rPr>
          <w:rFonts w:ascii="Times New Roman" w:hAnsi="Times New Roman" w:cs="Times New Roman"/>
          <w:sz w:val="28"/>
          <w:szCs w:val="28"/>
        </w:rPr>
        <w:t>это организация, которая имеет в собственности, хозяйственном ведении или оперативном управлении обособленное имущество и отвечает по свои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Ст.6 Закона «Об организации страхового дела» допускается возможность страховой деятельности на территории Российской Федерации и дочерних предприятий иностранных страховщиков, но при соблюдении определенных условий.</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Так, согласно п.4 статьи, страховая организация, являющаяся дочерним обществом по отношению к иностранному инвестору (основной организации), имеет право осуществлять в Российской Федерации страховую деятельность, если иностранный инвестор не менее 15 лет является страховой организацией, осуществляющей свою деятельность в соответствии с законодательством соответствующего государства, и не менее двух лет участвует в деятельности страховых организаций, созданных на территории Российской Федерации.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Страховые организации, являющиеся дочерними обществами по отношению к иностранным инвесторам либо имеющие долю иностранных инвесторов в своем уставном капитале более 49 процентов, могут открывать свои филиалы на территории Российской Федерации, участвовать в дочерних страховых организациях после получения на то предварительного разрешения органа страхового надзора.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Следует отметить, что страховое общество должно быть создано для осуществления страховой деятельности, то есть именно страховая </w:t>
      </w:r>
      <w:r w:rsidRPr="00F92763">
        <w:rPr>
          <w:rFonts w:ascii="Times New Roman" w:hAnsi="Times New Roman" w:cs="Times New Roman"/>
          <w:sz w:val="28"/>
          <w:szCs w:val="28"/>
        </w:rPr>
        <w:lastRenderedPageBreak/>
        <w:t xml:space="preserve">деятельность должна являться целью создания этого юридического лица, о чем отражается в уставе страховщика. Таким образом, для страховщиков установлена специальная, ограниченная правоспособность (в отличие от большинства других юридических лиц, количество видов деятельности которых не ограничено).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Страховщик должен в установленном законом порядке получить лицензию на осуществление страховой деятельности в порядке, установленном Условиями лицензирования.</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Страховые лицензии выдает орган страхового надзора российским юридическим лицам любой организационно-правовой формы, целью создания которых является страховая деятельность, обладающим необходимым уставным капиталом и представившим в орган страхового надзора соответствующие документы.</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Страховщик, не получивший в установленном порядке лицензию, не может заниматься страховой деятельностью. Сделки страхования, заключенные страховщиком, не имеющим соответствующей лицензии, оспоримы в соответствии со ст.173 ГК РФ.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Это положение распространяется как на лиц, вообще не имеющих лицензии на осуществление страховой деятельности, так и на лиц, имеющих лицензию, но не на те виды страхования, которые фактически осуществляются.</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Как показывает практика, большинство страховых организаций создаются в форме акционерных обществ (как правило, это закрытые акционерные общества, реже – открытые акционерные общества), часть – в форме обществ с ограниченной ответственностью.</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В соответствии со ст.96 ГК РФ акционерным обществом признается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 Фирменное наименование </w:t>
      </w:r>
      <w:r w:rsidRPr="00F92763">
        <w:rPr>
          <w:rFonts w:ascii="Times New Roman" w:hAnsi="Times New Roman" w:cs="Times New Roman"/>
          <w:sz w:val="28"/>
          <w:szCs w:val="28"/>
        </w:rPr>
        <w:lastRenderedPageBreak/>
        <w:t>акционерного общества должно содержать его наименование и указание на то, что общество является акционерным.</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Правовое положение акционерного общества и права и обязанности акционеров определяются в соответствии с ГК РФ и Федеральным законом РФ «Об акционерных обществах»</w:t>
      </w:r>
      <w:r w:rsidRPr="00F92763">
        <w:rPr>
          <w:rStyle w:val="af0"/>
          <w:rFonts w:ascii="Times New Roman" w:hAnsi="Times New Roman" w:cs="Times New Roman"/>
          <w:sz w:val="28"/>
          <w:szCs w:val="28"/>
        </w:rPr>
        <w:footnoteReference w:id="8"/>
      </w:r>
      <w:r w:rsidRPr="00F92763">
        <w:rPr>
          <w:rFonts w:ascii="Times New Roman" w:hAnsi="Times New Roman" w:cs="Times New Roman"/>
          <w:sz w:val="28"/>
          <w:szCs w:val="28"/>
        </w:rPr>
        <w:t>.</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Согласно ст.2 данного закона акционерным обществом признается коммерческая организация, уставный капитал которой разделен на определенное число акций, удостоверяющих обязательственные права участников общества (акционеров) по отношению к обществу.</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Акционеры не отвечают по обязательствам общества и несут риск убытков, связанных с его деятельностью, в пределах стоимости принадлежащих им акций.</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Акционеры вправе отчуждать принадлежащие им акции без согласия других акционеров и общества.</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Акционерное общество является юридическим лицом и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 Оно имеет гражданские права и несет обязанности, необходимые для осуществления любых видов деятельности, не запрещенных федеральными законами.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Самой крупной государственной страховой компанией является компания «Росгосстрах», которая является акционерным обществом открытого типа. Она создана в соответствии с постановлением Правительства Российской Федерации «О создании Российской государственной страховой компании».</w:t>
      </w:r>
      <w:r w:rsidRPr="00F92763">
        <w:rPr>
          <w:rStyle w:val="af0"/>
          <w:rFonts w:ascii="Times New Roman" w:hAnsi="Times New Roman" w:cs="Times New Roman"/>
          <w:sz w:val="28"/>
          <w:szCs w:val="28"/>
        </w:rPr>
        <w:footnoteReference w:id="9"/>
      </w:r>
      <w:r w:rsidRPr="00F92763">
        <w:rPr>
          <w:rFonts w:ascii="Times New Roman" w:hAnsi="Times New Roman" w:cs="Times New Roman"/>
          <w:sz w:val="28"/>
          <w:szCs w:val="28"/>
        </w:rPr>
        <w:t xml:space="preserve">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Правовой статус обществ с ограниченной ответственностью установлен ст.ст.87-94 ГК РФ и Федеральным Законом РФ «Об обществах с ограниченной ответственностью».</w:t>
      </w:r>
      <w:r w:rsidRPr="00F92763">
        <w:rPr>
          <w:rStyle w:val="af0"/>
          <w:rFonts w:ascii="Times New Roman" w:hAnsi="Times New Roman" w:cs="Times New Roman"/>
          <w:sz w:val="28"/>
          <w:szCs w:val="28"/>
        </w:rPr>
        <w:footnoteReference w:id="10"/>
      </w:r>
      <w:r w:rsidRPr="00F92763">
        <w:rPr>
          <w:rFonts w:ascii="Times New Roman" w:hAnsi="Times New Roman" w:cs="Times New Roman"/>
          <w:sz w:val="28"/>
          <w:szCs w:val="28"/>
        </w:rPr>
        <w:t xml:space="preserve">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Обществом с ограниченной ответственностью признается учрежденное одним или несколькими лицами общество, уставный капитал которого разделен на доли определенных учредительными документами размеров;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внесенных ими вкладов.</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 соответствии со ст.2 Закона РФ «Об обществах с ограниченной ответственностью» обществом с ограниченной ответственностью признается учрежденное одним или несколькими лицами хозяйственное общество, уставный капитал которого разделен на доли определенных учредительными документами размеров; участники общества не отвечают по его обязательствам и несут риск убытков, связанных с деятельностью общества, в пределах стоимости внесенных ими вкладов.</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Как считают специалисты, в том, что акционерные общества переходят в общества с ограниченной ответственностью, виновата Федеральная комиссия по ценным бумагам, потому что она по формальным признакам заворачивает эмиссии, в результате они затягиваются на год-полтора. А общество с ограниченной ответственностью дает возможность в более оперативном порядке решать все вопросы.</w:t>
      </w:r>
      <w:r w:rsidRPr="00F92763">
        <w:rPr>
          <w:rStyle w:val="af0"/>
          <w:rFonts w:ascii="Times New Roman" w:hAnsi="Times New Roman" w:cs="Times New Roman"/>
          <w:sz w:val="28"/>
          <w:szCs w:val="28"/>
        </w:rPr>
        <w:footnoteReference w:id="11"/>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Помимо коммерческих форм страховых компаний имеются также и некоммерческие.</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 страховании существует особая форма создания страховой организации в виде общества взаимного страхования (ОВС). Юридические и физические лица для страховой защиты своих имущественных интересов могут создавать общества взаимного страхования.</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Уходящие корнями в историческое прошлое, общества взаимного страхования в силу специфики организации, владения активами и управления успешно конкурируют на современном страховом рынке многих государств с акционерными страховыми компаниями</w:t>
      </w:r>
      <w:bookmarkStart w:id="6" w:name="_ftnref7"/>
      <w:r w:rsidRPr="00F92763">
        <w:rPr>
          <w:rFonts w:ascii="Times New Roman" w:hAnsi="Times New Roman" w:cs="Times New Roman"/>
          <w:sz w:val="28"/>
          <w:szCs w:val="28"/>
        </w:rPr>
        <w:t xml:space="preserve">. </w:t>
      </w:r>
    </w:p>
    <w:bookmarkEnd w:id="6"/>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Общество взаимного страхования – такая организационная форма страховой защиты, при которой каждый страхователь одновременно является членом страхового общества, то есть это объединение страхователей в целях обеспечения взаимопомощи. Ему в меньшей степени присуща коммерческая направленность, чем акционерному или частному страхованию.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Общество взаимного страхования является некоммерческой организацией и создается на базе профессионального, коммерческого или территориального единства участников и должно адаптироваться к нуждам местного населения или учету специфических потребностей различных социально-профессиональных групп. Цель – распределение рисков, которые возникают как в профессиональной деятельности, так и в личной жизни.</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Общества взаимного страхования принадлежат самим страхователям, их капитал формируется за счет страховой премии (взносов). Каждый полисодержатель выступает как пайщик, а весь коллектив – в роли страховщика каждого из них.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Страхователи в ОВС, являются компаньонами одного и того же страхового предприятия.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Одной из форм коммерческого сотрудничества страховых организаций является совместное страхование (сострахование) (ст. 12 Закона «Об организации страхового дела в Российской Федерации»).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В развитом виде это приводит к созданию пулов, страховых союзов, клубов.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Цель их создания – оказание методической и организационной помощи своим учредителям, координация их деятельности по проведению различных видов страхования, участие в подготовке законодательных актов, содействие научным разработкам и др.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В соответствии с п.4 ст.50 ГК РФ и Федеральным законом «О некоммерческих организациях»</w:t>
      </w:r>
      <w:bookmarkStart w:id="7" w:name="_ftnref9"/>
      <w:r w:rsidRPr="00F92763">
        <w:rPr>
          <w:rStyle w:val="af0"/>
          <w:rFonts w:ascii="Times New Roman" w:hAnsi="Times New Roman" w:cs="Times New Roman"/>
          <w:sz w:val="28"/>
          <w:szCs w:val="28"/>
        </w:rPr>
        <w:footnoteReference w:id="12"/>
      </w:r>
      <w:bookmarkEnd w:id="7"/>
      <w:r w:rsidRPr="00F92763">
        <w:rPr>
          <w:rFonts w:ascii="Times New Roman" w:hAnsi="Times New Roman" w:cs="Times New Roman"/>
          <w:sz w:val="28"/>
          <w:szCs w:val="28"/>
        </w:rPr>
        <w:t xml:space="preserve"> существуют только два вида объединений юридических лиц – ассоциации и союзы. В отношении союзов и ассоциаций страховщиков действуют те же нормы, что и в отношении союзов и ассоциаций других юридических лиц, то есть ст.ст.121-123 ГК РФ и нормы Федерального закона «О некоммерческих организациях».</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Также у страховщиков существуют специфические объединения – страховые пулы, которые не являются объединениями в том смысле, какой ему придают ст.ст.50 и 121 ГК РФ.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Страховой пул не является юридическим лицом, так как основной признак юридического лица – самостоятельная ответственность по обязательствам (п.1 ст.48 ГК РФ) у него отсутствует.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Участники страхового пула действуют на основании соглашения типа простого товарищества. Они заключают договоры страхования от своего имени, но по единым правилам и единым тарифам и несут солидарную ответственность перед страхователями. Страхование того же вида по другим правилам они осуществлять не могут. </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Но участники пула не ограничены в своем праве производить страхование других видов, в отношении которых соглашение о страховом пуле не действует.</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Таким образом, резюмируя вышесказанное, следует отметить, что:</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Страховщиком признается юридическое лицо любой организационно-правовой формы, предусмотренной законодательством Российской Федерации, созданное для осуществления страховой деятельности и имеющее полученную в установленном порядке лицензию.</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Все страховые организации делятся на коммерческие и некоммерческие.</w:t>
      </w:r>
    </w:p>
    <w:p w:rsidR="000F7327" w:rsidRPr="00F92763" w:rsidRDefault="000F7327" w:rsidP="000F7327">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 xml:space="preserve">Коммерческие организации, как правило, выступают в форме акционерных обществ и обществ с ограниченной ответственностью, а некоммерческие – в форме обществ взаимного страхования, ассоциаций и союзов. </w:t>
      </w:r>
    </w:p>
    <w:p w:rsidR="00FE38DF" w:rsidRPr="00F92763" w:rsidRDefault="00FE38DF" w:rsidP="00FE38DF">
      <w:pPr>
        <w:pStyle w:val="1"/>
        <w:spacing w:before="0" w:line="360" w:lineRule="auto"/>
        <w:jc w:val="center"/>
        <w:rPr>
          <w:rFonts w:ascii="Times New Roman" w:hAnsi="Times New Roman" w:cs="Times New Roman"/>
          <w:color w:val="auto"/>
        </w:rPr>
      </w:pPr>
    </w:p>
    <w:p w:rsidR="00FE38DF" w:rsidRPr="00F92763" w:rsidRDefault="00FE38DF" w:rsidP="00FE38DF">
      <w:pPr>
        <w:pStyle w:val="1"/>
        <w:spacing w:before="0" w:line="360" w:lineRule="auto"/>
        <w:jc w:val="center"/>
        <w:rPr>
          <w:rFonts w:ascii="Times New Roman" w:hAnsi="Times New Roman" w:cs="Times New Roman"/>
          <w:color w:val="auto"/>
        </w:rPr>
      </w:pPr>
      <w:bookmarkStart w:id="8" w:name="_Toc398627623"/>
      <w:r w:rsidRPr="00F92763">
        <w:rPr>
          <w:rFonts w:ascii="Times New Roman" w:hAnsi="Times New Roman" w:cs="Times New Roman"/>
          <w:color w:val="auto"/>
        </w:rPr>
        <w:t>1.3. Налогообложение страховых организаций на страховом рынке</w:t>
      </w:r>
      <w:bookmarkEnd w:id="8"/>
    </w:p>
    <w:p w:rsidR="00FE38DF" w:rsidRPr="00F92763" w:rsidRDefault="00FE38DF" w:rsidP="00FE38DF">
      <w:pPr>
        <w:spacing w:line="360" w:lineRule="auto"/>
        <w:jc w:val="center"/>
        <w:rPr>
          <w:rFonts w:ascii="Times New Roman" w:hAnsi="Times New Roman" w:cs="Times New Roman"/>
          <w:color w:val="auto"/>
          <w:sz w:val="28"/>
          <w:szCs w:val="28"/>
        </w:rPr>
      </w:pPr>
    </w:p>
    <w:p w:rsidR="009F2AA5" w:rsidRPr="00F92763" w:rsidRDefault="009F2AA5" w:rsidP="009F2AA5">
      <w:pPr>
        <w:widowControl w:val="0"/>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Политика в области налогообложения включает в себя как налогообложение самих страховых организаций, так и учет при исчислении налогооблагаемой базы страховых взносов и страховых выплат. Налогообложение страховщиков должно быть организовано так, чтобы оно было не жестче, чем для юридических лиц, занимающихся другими видами деятельности (с точки зрения, как применяемых ставок налогообложения, так и расчета налогооблагаемой базы). Что касается налогообложения страховых операций для потребителей страховых услуг, оно может предусматривать, с одной стороны, предоставление налоговых льгот лицам, уплачивающим страховые взносы, а с другой – уплату налогов с сумм, внесенных страховых взносов или полученных страховых выплат.</w:t>
      </w:r>
    </w:p>
    <w:p w:rsidR="009F2AA5" w:rsidRPr="00F92763" w:rsidRDefault="009F2AA5" w:rsidP="009F2AA5">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 xml:space="preserve">Особенности налогообложения страховых организаций регулируются финансово-правовыми нормами частей первой и второй Налогового кодекса. </w:t>
      </w:r>
    </w:p>
    <w:p w:rsidR="009F2AA5" w:rsidRPr="00F92763" w:rsidRDefault="009F2AA5" w:rsidP="009F2AA5">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Нормативные правовые акты регулируют как порядок формирования доходов страховых организаций (страховщиков) и их расходов для целей налогообложения, так и порядок налогообложения выплат страхователям по договорам страхования, а также порядок формирования расходов страхователей в связи со страхованием.</w:t>
      </w:r>
    </w:p>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noProof/>
          <w:sz w:val="28"/>
        </w:rPr>
        <w:t xml:space="preserve">Налоги, уплачиваемые страховыми компаниями, можно подразделить на следующие основные группы, </w:t>
      </w:r>
      <w:r w:rsidRPr="00F92763">
        <w:rPr>
          <w:rFonts w:ascii="Times New Roman" w:hAnsi="Times New Roman" w:cs="Times New Roman"/>
          <w:sz w:val="28"/>
          <w:szCs w:val="28"/>
        </w:rPr>
        <w:t>представленные в таблице 1</w:t>
      </w:r>
      <w:r w:rsidRPr="00F92763">
        <w:rPr>
          <w:rStyle w:val="af0"/>
          <w:rFonts w:ascii="Times New Roman" w:hAnsi="Times New Roman" w:cs="Times New Roman"/>
          <w:sz w:val="28"/>
          <w:szCs w:val="28"/>
        </w:rPr>
        <w:footnoteReference w:id="13"/>
      </w:r>
      <w:r w:rsidRPr="00F92763">
        <w:rPr>
          <w:rFonts w:ascii="Times New Roman" w:hAnsi="Times New Roman" w:cs="Times New Roman"/>
          <w:sz w:val="28"/>
          <w:szCs w:val="28"/>
        </w:rPr>
        <w:t xml:space="preserve">: </w:t>
      </w:r>
    </w:p>
    <w:p w:rsidR="009F2AA5" w:rsidRPr="00F92763" w:rsidRDefault="009F2AA5" w:rsidP="009F2AA5">
      <w:pPr>
        <w:spacing w:line="360" w:lineRule="auto"/>
        <w:ind w:firstLine="709"/>
        <w:jc w:val="right"/>
        <w:rPr>
          <w:rFonts w:ascii="Times New Roman" w:hAnsi="Times New Roman" w:cs="Times New Roman"/>
          <w:sz w:val="28"/>
          <w:szCs w:val="28"/>
        </w:rPr>
      </w:pPr>
    </w:p>
    <w:p w:rsidR="009F2AA5" w:rsidRPr="00F92763" w:rsidRDefault="00F92763" w:rsidP="00F92763">
      <w:pPr>
        <w:spacing w:line="360" w:lineRule="auto"/>
        <w:ind w:firstLine="709"/>
        <w:jc w:val="center"/>
        <w:rPr>
          <w:rFonts w:ascii="Times New Roman" w:hAnsi="Times New Roman" w:cs="Times New Roman"/>
          <w:sz w:val="28"/>
          <w:szCs w:val="28"/>
        </w:rPr>
      </w:pPr>
      <w:r w:rsidRPr="00F92763">
        <w:rPr>
          <w:rFonts w:ascii="Times New Roman" w:hAnsi="Times New Roman" w:cs="Times New Roman"/>
          <w:sz w:val="28"/>
          <w:szCs w:val="28"/>
        </w:rPr>
        <w:lastRenderedPageBreak/>
        <w:t xml:space="preserve">Таблица 1 - </w:t>
      </w:r>
      <w:r w:rsidR="009F2AA5" w:rsidRPr="00F92763">
        <w:rPr>
          <w:rFonts w:ascii="Times New Roman" w:hAnsi="Times New Roman" w:cs="Times New Roman"/>
          <w:sz w:val="28"/>
          <w:szCs w:val="28"/>
        </w:rPr>
        <w:t>Перечень налогов уплачиваемых страховой организацией</w:t>
      </w:r>
    </w:p>
    <w:tbl>
      <w:tblPr>
        <w:tblW w:w="9214" w:type="dxa"/>
        <w:tblInd w:w="212" w:type="dxa"/>
        <w:tblLayout w:type="fixed"/>
        <w:tblCellMar>
          <w:left w:w="70" w:type="dxa"/>
          <w:right w:w="70" w:type="dxa"/>
        </w:tblCellMar>
        <w:tblLook w:val="0000"/>
      </w:tblPr>
      <w:tblGrid>
        <w:gridCol w:w="3119"/>
        <w:gridCol w:w="2835"/>
        <w:gridCol w:w="1664"/>
        <w:gridCol w:w="1596"/>
      </w:tblGrid>
      <w:tr w:rsidR="009F2AA5" w:rsidRPr="00F92763" w:rsidTr="00B10B60">
        <w:trPr>
          <w:cantSplit/>
          <w:trHeight w:val="24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Наименование</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Объект обложения</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Ставка</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Получатель</w:t>
            </w:r>
          </w:p>
        </w:tc>
      </w:tr>
      <w:tr w:rsidR="009F2AA5" w:rsidRPr="00F92763" w:rsidTr="00B10B60">
        <w:trPr>
          <w:cantSplit/>
          <w:trHeight w:val="240"/>
        </w:trPr>
        <w:tc>
          <w:tcPr>
            <w:tcW w:w="9214" w:type="dxa"/>
            <w:gridSpan w:val="4"/>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Федеральные налоги</w:t>
            </w:r>
          </w:p>
        </w:tc>
      </w:tr>
      <w:tr w:rsidR="009F2AA5" w:rsidRPr="00F92763" w:rsidTr="00B10B60">
        <w:trPr>
          <w:cantSplit/>
          <w:trHeight w:val="96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Налог на добавленную стоимость</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Стоимость реализованного имущества, нестраховых услуг по ценам, определяемым в соответствии со ст. 40 НК РФ</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18%</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w:t>
            </w:r>
          </w:p>
        </w:tc>
      </w:tr>
      <w:tr w:rsidR="009F2AA5" w:rsidRPr="00F92763" w:rsidTr="00B10B60">
        <w:trPr>
          <w:cantSplit/>
          <w:trHeight w:val="72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Налог на прибыль</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Доход от страховых и внереализационных операций, уменьшенный на величину расходов по этим операциям</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20%</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 - 2%, БСФ - 18%</w:t>
            </w:r>
          </w:p>
        </w:tc>
      </w:tr>
      <w:tr w:rsidR="009F2AA5" w:rsidRPr="00F92763" w:rsidTr="00B10B60">
        <w:trPr>
          <w:cantSplit/>
          <w:trHeight w:val="48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Налог на доходы от долевого участия</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Доход, полученный в виде дивидендов</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9%</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w:t>
            </w:r>
          </w:p>
        </w:tc>
      </w:tr>
      <w:tr w:rsidR="009F2AA5" w:rsidRPr="00F92763" w:rsidTr="00B10B60">
        <w:trPr>
          <w:cantSplit/>
          <w:trHeight w:val="72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Налог на доходы по государственным и муниципальным ценным бумагам</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Проценты по государственным и муниципальным ценным бумагам</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15%</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w:t>
            </w:r>
          </w:p>
        </w:tc>
      </w:tr>
      <w:tr w:rsidR="009F2AA5" w:rsidRPr="00F92763" w:rsidTr="00B10B60">
        <w:trPr>
          <w:cantSplit/>
          <w:trHeight w:val="72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Единый социальный налог</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Выплаты в пользу физических лиц по трудовым, авторским и гражданско-правовым договорам</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От 26 до 2%</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 - 20%, ФСС -2,9%, ФФОМС - 3,1%</w:t>
            </w:r>
          </w:p>
        </w:tc>
      </w:tr>
      <w:tr w:rsidR="009F2AA5" w:rsidRPr="00F92763" w:rsidTr="00B10B60">
        <w:trPr>
          <w:cantSplit/>
          <w:trHeight w:val="120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Страховые взносы на обязательное социальное страхование от несчастных случаев на производстве и профессиональных заболеваний</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Начисленная оплата труда</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0,2%</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ФСС</w:t>
            </w:r>
          </w:p>
        </w:tc>
      </w:tr>
      <w:tr w:rsidR="009F2AA5" w:rsidRPr="00F92763" w:rsidTr="00B10B60">
        <w:trPr>
          <w:cantSplit/>
          <w:trHeight w:val="96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Государственная пошлина</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Совершение юридически значимых действий, выдача документов</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Дифференцирована по уровням юридической значимости</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ФБ - по делам федерального уровня, МБ - поделам, документам общей юрисдикции</w:t>
            </w:r>
          </w:p>
        </w:tc>
      </w:tr>
      <w:tr w:rsidR="009F2AA5" w:rsidRPr="00F92763" w:rsidTr="00B10B60">
        <w:trPr>
          <w:cantSplit/>
          <w:trHeight w:val="240"/>
        </w:trPr>
        <w:tc>
          <w:tcPr>
            <w:tcW w:w="9214" w:type="dxa"/>
            <w:gridSpan w:val="4"/>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Региональные налоги</w:t>
            </w:r>
          </w:p>
        </w:tc>
      </w:tr>
      <w:tr w:rsidR="009F2AA5" w:rsidRPr="00F92763" w:rsidTr="00B10B60">
        <w:trPr>
          <w:cantSplit/>
          <w:trHeight w:val="60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Налог на имущество организаций</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Движимое и недвижимое имущество, учитываемое в качестве основных средств</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Не более 2,2%</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БСФ</w:t>
            </w:r>
          </w:p>
        </w:tc>
      </w:tr>
      <w:tr w:rsidR="009F2AA5" w:rsidRPr="00F92763" w:rsidTr="00B10B60">
        <w:trPr>
          <w:cantSplit/>
          <w:trHeight w:val="60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Транспортный налог</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Транспортное средство</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Дифференцирована по мощности транспортного средства</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Территориальный дорожный фонд</w:t>
            </w:r>
          </w:p>
        </w:tc>
      </w:tr>
      <w:tr w:rsidR="009F2AA5" w:rsidRPr="00F92763" w:rsidTr="00B10B60">
        <w:trPr>
          <w:cantSplit/>
          <w:trHeight w:val="240"/>
        </w:trPr>
        <w:tc>
          <w:tcPr>
            <w:tcW w:w="9214" w:type="dxa"/>
            <w:gridSpan w:val="4"/>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center"/>
              <w:rPr>
                <w:rFonts w:ascii="Times New Roman" w:hAnsi="Times New Roman" w:cs="Times New Roman"/>
                <w:b/>
                <w:sz w:val="20"/>
                <w:szCs w:val="20"/>
              </w:rPr>
            </w:pPr>
            <w:r w:rsidRPr="00F92763">
              <w:rPr>
                <w:rFonts w:ascii="Times New Roman" w:hAnsi="Times New Roman" w:cs="Times New Roman"/>
                <w:b/>
                <w:sz w:val="20"/>
                <w:szCs w:val="20"/>
              </w:rPr>
              <w:t>Местные налоги</w:t>
            </w:r>
          </w:p>
        </w:tc>
      </w:tr>
      <w:tr w:rsidR="009F2AA5" w:rsidRPr="00F92763" w:rsidTr="00B10B60">
        <w:trPr>
          <w:cantSplit/>
          <w:trHeight w:val="240"/>
        </w:trPr>
        <w:tc>
          <w:tcPr>
            <w:tcW w:w="3119"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Земельный налог</w:t>
            </w:r>
          </w:p>
        </w:tc>
        <w:tc>
          <w:tcPr>
            <w:tcW w:w="2835"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Земельный участок</w:t>
            </w:r>
          </w:p>
        </w:tc>
        <w:tc>
          <w:tcPr>
            <w:tcW w:w="1664"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Не более 1,5%</w:t>
            </w:r>
          </w:p>
        </w:tc>
        <w:tc>
          <w:tcPr>
            <w:tcW w:w="1596" w:type="dxa"/>
            <w:tcBorders>
              <w:top w:val="single" w:sz="6" w:space="0" w:color="auto"/>
              <w:left w:val="single" w:sz="6" w:space="0" w:color="auto"/>
              <w:bottom w:val="single" w:sz="6" w:space="0" w:color="auto"/>
              <w:right w:val="single" w:sz="6" w:space="0" w:color="auto"/>
            </w:tcBorders>
          </w:tcPr>
          <w:p w:rsidR="009F2AA5" w:rsidRPr="00F92763" w:rsidRDefault="009F2AA5" w:rsidP="00B10B60">
            <w:pPr>
              <w:jc w:val="both"/>
              <w:rPr>
                <w:rFonts w:ascii="Times New Roman" w:hAnsi="Times New Roman" w:cs="Times New Roman"/>
                <w:sz w:val="20"/>
                <w:szCs w:val="20"/>
              </w:rPr>
            </w:pPr>
            <w:r w:rsidRPr="00F92763">
              <w:rPr>
                <w:rFonts w:ascii="Times New Roman" w:hAnsi="Times New Roman" w:cs="Times New Roman"/>
                <w:sz w:val="20"/>
                <w:szCs w:val="20"/>
              </w:rPr>
              <w:t>МБ</w:t>
            </w:r>
          </w:p>
        </w:tc>
      </w:tr>
    </w:tbl>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Примечание: используются следующие сокращения: ФБ - федеральный бюджет, БСФ - бюджет субъекта Федерации, МБ - местный бюджет.</w:t>
      </w:r>
    </w:p>
    <w:p w:rsidR="009F2AA5" w:rsidRPr="00F92763" w:rsidRDefault="009F2AA5" w:rsidP="009F2AA5">
      <w:pPr>
        <w:spacing w:line="360" w:lineRule="auto"/>
        <w:ind w:firstLine="709"/>
        <w:jc w:val="both"/>
        <w:rPr>
          <w:rFonts w:ascii="Times New Roman" w:hAnsi="Times New Roman" w:cs="Times New Roman"/>
          <w:noProof/>
          <w:sz w:val="28"/>
        </w:rPr>
      </w:pPr>
    </w:p>
    <w:p w:rsidR="009F2AA5" w:rsidRPr="00F92763" w:rsidRDefault="009F2AA5" w:rsidP="009F2AA5">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 xml:space="preserve">Источниками уплаты налогов в федеральный бюджет являются: для налога на добавленную стоимость - увеличение цены товара (работ, услуги), для платы за землю, госпошлины и транспортного налога - себестоимость, для налога на прибыль - балансовая прибыль, для налога на операции с ценными бумагами и сбора за использование наименования «Россия» - чистая прибыль. </w:t>
      </w:r>
    </w:p>
    <w:p w:rsidR="009F2AA5" w:rsidRPr="00F92763" w:rsidRDefault="009F2AA5" w:rsidP="009F2AA5">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lastRenderedPageBreak/>
        <w:t>Источниками уплаты налогов в региональный и местный бюджеты являются финансовые результаты деятельности страховых компаний</w:t>
      </w:r>
      <w:r w:rsidRPr="00F92763">
        <w:rPr>
          <w:rStyle w:val="af0"/>
          <w:rFonts w:ascii="Times New Roman" w:hAnsi="Times New Roman" w:cs="Times New Roman"/>
          <w:sz w:val="28"/>
          <w:szCs w:val="28"/>
        </w:rPr>
        <w:footnoteReference w:id="14"/>
      </w:r>
      <w:r w:rsidRPr="00F92763">
        <w:rPr>
          <w:rFonts w:ascii="Times New Roman" w:hAnsi="Times New Roman" w:cs="Times New Roman"/>
          <w:noProof/>
          <w:sz w:val="28"/>
        </w:rPr>
        <w:t xml:space="preserve">. </w:t>
      </w:r>
    </w:p>
    <w:p w:rsidR="009F2AA5" w:rsidRPr="00F92763" w:rsidRDefault="009F2AA5" w:rsidP="009F2AA5">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Страховые компании несут ответственность за соблюдение налогового законодательства, которая подразумевает правильность исчисления, а также полноту и своевременность уплаты причитающихся с них налогов.</w:t>
      </w:r>
    </w:p>
    <w:p w:rsidR="009F2AA5" w:rsidRPr="00F92763" w:rsidRDefault="009F2AA5" w:rsidP="009F2AA5">
      <w:pPr>
        <w:autoSpaceDE w:val="0"/>
        <w:autoSpaceDN w:val="0"/>
        <w:adjustRightInd w:val="0"/>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 налоговом учете НДС относят на выручку от оказания нестраховых услуг или от реализации имущества, налог на доходы от долевого участия удерживается из суммы дивидендов, налог на доходы в виде процентов по государственным и муниципальным ценным бумагам удерживается из суммы процентов, налог на прибыль включается в расходы, не учитываемые при расчете налоговой базы по налогу на прибыль, а остальные перечисленные в таблице 1 налоги включаются в расходы, учитываемые при расчете налоговой базы по налогу на прибыль.</w:t>
      </w:r>
    </w:p>
    <w:p w:rsidR="009F2AA5" w:rsidRPr="00F92763" w:rsidRDefault="009F2AA5" w:rsidP="009F2AA5">
      <w:pPr>
        <w:autoSpaceDE w:val="0"/>
        <w:autoSpaceDN w:val="0"/>
        <w:adjustRightInd w:val="0"/>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В процессе налоговых реформ система налогообложения страховых организаций подвергалась существенным корректировкам, в результате чего перечень налогов, подлежащих уплате страховщиками, значительно сократился. В настоящее время страховые организации обязаны уплачивать девять налогов и сборов, а еще один налог (НДФЛ) они уплачивают как налоговые агенты. Реально же налогов выходит меньше, поскольку обязанность уплачивать некоторые налоги обусловлена определенными действиями налогоплательщиков (а их может не быть) - например, обращением в суд (госпошлина). Обязанность по уплате имущественных налогов связана с наличием у страховой организации права собственности на объекты имущества. Основную налоговую нагрузку составляют федеральные налоги.</w:t>
      </w:r>
    </w:p>
    <w:p w:rsidR="00FE38DF" w:rsidRPr="00F92763" w:rsidRDefault="00FE38DF">
      <w:pPr>
        <w:spacing w:after="200" w:line="276" w:lineRule="auto"/>
        <w:rPr>
          <w:rFonts w:ascii="Times New Roman" w:eastAsiaTheme="majorEastAsia" w:hAnsi="Times New Roman" w:cs="Times New Roman"/>
          <w:b/>
          <w:bCs/>
          <w:color w:val="auto"/>
          <w:sz w:val="28"/>
          <w:szCs w:val="28"/>
        </w:rPr>
      </w:pPr>
    </w:p>
    <w:p w:rsidR="00FE38DF" w:rsidRPr="00F92763" w:rsidRDefault="00FE38DF" w:rsidP="00FE38DF">
      <w:pPr>
        <w:pStyle w:val="1"/>
        <w:spacing w:before="0" w:line="360" w:lineRule="auto"/>
        <w:jc w:val="center"/>
        <w:rPr>
          <w:rFonts w:ascii="Times New Roman" w:hAnsi="Times New Roman" w:cs="Times New Roman"/>
          <w:color w:val="auto"/>
        </w:rPr>
      </w:pPr>
      <w:bookmarkStart w:id="9" w:name="_Toc398627624"/>
      <w:r w:rsidRPr="00F92763">
        <w:rPr>
          <w:rFonts w:ascii="Times New Roman" w:hAnsi="Times New Roman" w:cs="Times New Roman"/>
          <w:color w:val="auto"/>
        </w:rPr>
        <w:lastRenderedPageBreak/>
        <w:t>2. Анализ и специфика налогообложения</w:t>
      </w:r>
      <w:r w:rsidR="009F2AA5" w:rsidRPr="00F92763">
        <w:rPr>
          <w:rFonts w:ascii="Times New Roman" w:hAnsi="Times New Roman" w:cs="Times New Roman"/>
          <w:color w:val="auto"/>
        </w:rPr>
        <w:t xml:space="preserve"> </w:t>
      </w:r>
      <w:r w:rsidR="009F2AA5" w:rsidRPr="00F92763">
        <w:rPr>
          <w:rFonts w:ascii="Times New Roman" w:hAnsi="Times New Roman" w:cs="Times New Roman"/>
          <w:color w:val="000000"/>
          <w:shd w:val="clear" w:color="auto" w:fill="FFFFFF"/>
        </w:rPr>
        <w:t>ОАО Страховая компания «Царица»</w:t>
      </w:r>
      <w:bookmarkEnd w:id="9"/>
    </w:p>
    <w:p w:rsidR="00FE38DF" w:rsidRPr="00F92763" w:rsidRDefault="00FE38DF" w:rsidP="00FE38DF">
      <w:pPr>
        <w:spacing w:line="360" w:lineRule="auto"/>
        <w:jc w:val="center"/>
        <w:rPr>
          <w:rFonts w:ascii="Times New Roman" w:hAnsi="Times New Roman" w:cs="Times New Roman"/>
          <w:color w:val="auto"/>
          <w:sz w:val="28"/>
          <w:szCs w:val="28"/>
        </w:rPr>
      </w:pPr>
    </w:p>
    <w:p w:rsidR="00FE38DF" w:rsidRPr="00F92763" w:rsidRDefault="00FE38DF" w:rsidP="00FE38DF">
      <w:pPr>
        <w:pStyle w:val="1"/>
        <w:spacing w:before="0" w:line="360" w:lineRule="auto"/>
        <w:jc w:val="center"/>
        <w:rPr>
          <w:rFonts w:ascii="Times New Roman" w:hAnsi="Times New Roman" w:cs="Times New Roman"/>
          <w:color w:val="auto"/>
        </w:rPr>
      </w:pPr>
      <w:bookmarkStart w:id="10" w:name="_Toc398627625"/>
      <w:r w:rsidRPr="00F92763">
        <w:rPr>
          <w:rFonts w:ascii="Times New Roman" w:hAnsi="Times New Roman" w:cs="Times New Roman"/>
          <w:color w:val="auto"/>
        </w:rPr>
        <w:t>2.1. Финансово-экономическая характеристика деятельности</w:t>
      </w:r>
      <w:r w:rsidR="009F2AA5" w:rsidRPr="00F92763">
        <w:rPr>
          <w:rFonts w:ascii="Times New Roman" w:hAnsi="Times New Roman" w:cs="Times New Roman"/>
          <w:color w:val="auto"/>
        </w:rPr>
        <w:t xml:space="preserve"> </w:t>
      </w:r>
      <w:r w:rsidR="009F2AA5" w:rsidRPr="00F92763">
        <w:rPr>
          <w:rFonts w:ascii="Times New Roman" w:hAnsi="Times New Roman" w:cs="Times New Roman"/>
          <w:color w:val="000000"/>
          <w:shd w:val="clear" w:color="auto" w:fill="FFFFFF"/>
        </w:rPr>
        <w:t>ОАО Страховая компания «Царица»</w:t>
      </w:r>
      <w:bookmarkEnd w:id="10"/>
    </w:p>
    <w:p w:rsidR="00850277" w:rsidRPr="00F92763" w:rsidRDefault="00850277" w:rsidP="009F2AA5">
      <w:pPr>
        <w:shd w:val="clear" w:color="auto" w:fill="FFFFFF"/>
        <w:spacing w:line="360" w:lineRule="auto"/>
        <w:ind w:firstLine="709"/>
        <w:jc w:val="both"/>
        <w:rPr>
          <w:rFonts w:ascii="Times New Roman" w:hAnsi="Times New Roman" w:cs="Times New Roman"/>
          <w:sz w:val="28"/>
          <w:szCs w:val="28"/>
          <w:shd w:val="clear" w:color="auto" w:fill="FFFFFF"/>
        </w:rPr>
      </w:pPr>
    </w:p>
    <w:p w:rsidR="009F2AA5" w:rsidRPr="00F92763" w:rsidRDefault="009F2AA5" w:rsidP="009F2AA5">
      <w:pPr>
        <w:shd w:val="clear" w:color="auto" w:fill="FFFFFF"/>
        <w:spacing w:line="360" w:lineRule="auto"/>
        <w:ind w:firstLine="709"/>
        <w:jc w:val="both"/>
        <w:rPr>
          <w:rStyle w:val="apple-converted-space"/>
          <w:rFonts w:ascii="Times New Roman" w:hAnsi="Times New Roman" w:cs="Times New Roman"/>
          <w:sz w:val="28"/>
          <w:szCs w:val="28"/>
          <w:shd w:val="clear" w:color="auto" w:fill="FFFFFF"/>
        </w:rPr>
      </w:pPr>
      <w:r w:rsidRPr="00F92763">
        <w:rPr>
          <w:rFonts w:ascii="Times New Roman" w:hAnsi="Times New Roman" w:cs="Times New Roman"/>
          <w:sz w:val="28"/>
          <w:szCs w:val="28"/>
          <w:shd w:val="clear" w:color="auto" w:fill="FFFFFF"/>
        </w:rPr>
        <w:t>ОАО Страховая компания «Царица» работает на страховом рынке более 20 лет. Согласно лицензии Федеральной службы страхового надзора компания вправе осуществлять страхование по 18 видам, включая ОСАГО. Уставный капитал компании составляет 500 миллионов рублей. Объем страховых резервов на начало 2014 года составил 1122,6 млн.руб. Объем собираемых компанией страховых взносов за последние 5 лет увеличился в 5,7 раза. Филиальная сеть компании насчитывает 28 филиалов, в т. ч. 15 из них в регионах РФ. ОАО СК «Царица» является действительным членом Ассоциации аграрных страховщиков России «Агропромстрах», Российского союза автостраховщиков, Международной ассоциации обществ кооперативного и взаимного страхования ICMIF.</w:t>
      </w:r>
      <w:r w:rsidRPr="00F92763">
        <w:rPr>
          <w:rStyle w:val="apple-converted-space"/>
          <w:rFonts w:ascii="Times New Roman" w:hAnsi="Times New Roman" w:cs="Times New Roman"/>
          <w:sz w:val="28"/>
          <w:szCs w:val="28"/>
          <w:shd w:val="clear" w:color="auto" w:fill="FFFFFF"/>
        </w:rPr>
        <w:t> </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szCs w:val="28"/>
        </w:rPr>
        <w:t>СК «Царица» является одной из тех немногих</w:t>
      </w:r>
      <w:r w:rsidRPr="00F92763">
        <w:rPr>
          <w:rFonts w:ascii="Times New Roman" w:hAnsi="Times New Roman" w:cs="Times New Roman"/>
          <w:sz w:val="28"/>
        </w:rPr>
        <w:t xml:space="preserve"> страховых компаний, которые последовательно развивают классическое долгосрочное страхование жизни. Из года в год программа накопительного страхования пользуется все большей популярностью среди страхователей СК «Царица».</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Наибольший удельный вес в взносах по личному страхованию занимает добровольное медицинское страхование. Одной из основных тенденций развития добровольного медицинского страхования в СК «Царица» стало формирование в 2008 году корпоративных программ ДМС для предприятий и организаций различных сфер деятельности. </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Клиентам Царицы предоставлена возможность ежемесячной оплаты договоров страхования иного, чем страхование жизни, заключенных в рублевом эквиваленте. Ранее оплата таких договоров осуществлялась только годовыми или единовременными взносами. Был введен и новый порядок </w:t>
      </w:r>
      <w:r w:rsidRPr="00F92763">
        <w:rPr>
          <w:rFonts w:ascii="Times New Roman" w:hAnsi="Times New Roman" w:cs="Times New Roman"/>
          <w:sz w:val="28"/>
        </w:rPr>
        <w:lastRenderedPageBreak/>
        <w:t>изменения условий договора: изменить срок страхования, валюту договора, размер страховой суммы или взноса, а также получить часть страхового резерва теперь можно уже на этапе действия договора. В прошедшем году были также заключены первые договоры страхования жизни в евро.</w:t>
      </w:r>
    </w:p>
    <w:p w:rsidR="009F2AA5" w:rsidRPr="00F92763" w:rsidRDefault="009F2AA5" w:rsidP="009F2AA5">
      <w:pPr>
        <w:shd w:val="clear" w:color="auto" w:fill="FFFFFF"/>
        <w:tabs>
          <w:tab w:val="left" w:pos="2669"/>
        </w:tabs>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В целях повышения качества обслуживания клиентов совершенствования управленческих процессов, оптимизации взаимодействия с филиалами Компании и точками продаж страховых продуктов в СК «Царица» уже на протяжении нескольких лет осуществляется реализация «Программы реконструкции информационной системы». Основной целью данного проекта в конечном итоге является полностью автоматизированный бизнес-процесс, который будет включать в себя фронт-офисную и бэк-офисную части, элементы </w:t>
      </w:r>
      <w:r w:rsidRPr="00F92763">
        <w:rPr>
          <w:rFonts w:ascii="Times New Roman" w:hAnsi="Times New Roman" w:cs="Times New Roman"/>
          <w:sz w:val="28"/>
          <w:lang w:val="en-US"/>
        </w:rPr>
        <w:t>CRM</w:t>
      </w:r>
      <w:r w:rsidRPr="00F92763">
        <w:rPr>
          <w:rFonts w:ascii="Times New Roman" w:hAnsi="Times New Roman" w:cs="Times New Roman"/>
          <w:sz w:val="28"/>
        </w:rPr>
        <w:t>, интегрированные с системой персонифици</w:t>
      </w:r>
      <w:r w:rsidRPr="00F92763">
        <w:rPr>
          <w:rFonts w:ascii="Times New Roman" w:hAnsi="Times New Roman" w:cs="Times New Roman"/>
          <w:sz w:val="28"/>
        </w:rPr>
        <w:softHyphen/>
        <w:t>рованного маркетинга.</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Отдельные элементы этой системы уже получили в Компании свое развитие: в 22 представительствах Царицы по всей стране автоматизирован процесс оформления полисов ОСАГО с одновременным формированием бухгалтерской отчетности и передачей ее в Центральный офис, постоянно расширяется ассортимент страховых продуктов.</w:t>
      </w:r>
    </w:p>
    <w:p w:rsidR="00FE38DF"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Таким образом, СК «Царица» является одной из крупных страховых компаний России, входящей входящую в сотню лидеров, осуществляя не только все виды страхования, но и реализуя перестраховочную деятельность. В связи, с чем СК «Царица» берет на себя значительный объем обязательств, по которым будет нести ответственность. Для этого ей необходимо обладать необходимой финансовой устойчивостью, которая выражается в достаточности собственного капитала, экономически целесообразных страховых тарифах, достаточными страховыми резервами и эффективным инвестированием этих резервов, что бы иметь возможность отвечать по своим обязательствам и системой перестрахования.</w:t>
      </w:r>
    </w:p>
    <w:p w:rsidR="009F2AA5" w:rsidRPr="00F92763" w:rsidRDefault="009F2AA5" w:rsidP="009F2AA5">
      <w:pPr>
        <w:shd w:val="clear" w:color="auto" w:fill="FFFFFF"/>
        <w:spacing w:line="360" w:lineRule="auto"/>
        <w:ind w:firstLine="709"/>
        <w:jc w:val="both"/>
        <w:rPr>
          <w:rFonts w:ascii="Times New Roman" w:hAnsi="Times New Roman" w:cs="Times New Roman"/>
          <w:bCs/>
          <w:sz w:val="28"/>
          <w:szCs w:val="28"/>
        </w:rPr>
      </w:pPr>
      <w:r w:rsidRPr="00F92763">
        <w:rPr>
          <w:rFonts w:ascii="Times New Roman" w:hAnsi="Times New Roman" w:cs="Times New Roman"/>
          <w:bCs/>
          <w:sz w:val="28"/>
          <w:szCs w:val="28"/>
        </w:rPr>
        <w:t>В 2014 году страховая деятельность ОАО СК «Царица» сложилась из следующих показателей:</w:t>
      </w:r>
    </w:p>
    <w:p w:rsidR="009F2AA5" w:rsidRPr="00F92763" w:rsidRDefault="009F2AA5" w:rsidP="009F2AA5">
      <w:pPr>
        <w:shd w:val="clear" w:color="auto" w:fill="FFFFFF"/>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Страхование иное, чем страхование жизни по договорам страхования (основным) и по договорам, переданным в перестрахование:</w:t>
      </w:r>
    </w:p>
    <w:p w:rsidR="009F2AA5" w:rsidRPr="00F92763" w:rsidRDefault="009F2AA5" w:rsidP="009F2AA5">
      <w:pPr>
        <w:spacing w:line="360" w:lineRule="auto"/>
        <w:ind w:firstLine="720"/>
        <w:jc w:val="both"/>
        <w:rPr>
          <w:rFonts w:ascii="Times New Roman" w:hAnsi="Times New Roman" w:cs="Times New Roman"/>
          <w:sz w:val="28"/>
          <w:szCs w:val="28"/>
        </w:rPr>
      </w:pPr>
      <w:r w:rsidRPr="00F92763">
        <w:rPr>
          <w:rFonts w:ascii="Times New Roman" w:hAnsi="Times New Roman" w:cs="Times New Roman"/>
          <w:sz w:val="28"/>
          <w:szCs w:val="28"/>
        </w:rPr>
        <w:t>Страховые премии (взносы) по договорам страхования– всего 1 807 871 тыс. руб.</w:t>
      </w:r>
    </w:p>
    <w:p w:rsidR="009F2AA5" w:rsidRPr="00F92763" w:rsidRDefault="009F2AA5" w:rsidP="009F2AA5">
      <w:pPr>
        <w:numPr>
          <w:ilvl w:val="0"/>
          <w:numId w:val="1"/>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Личное страхование (кроме страхования жизни) – всего 1 647 тыс. руб.</w:t>
      </w:r>
    </w:p>
    <w:p w:rsidR="009F2AA5" w:rsidRPr="00F92763" w:rsidRDefault="009F2AA5" w:rsidP="009F2AA5">
      <w:pPr>
        <w:numPr>
          <w:ilvl w:val="0"/>
          <w:numId w:val="1"/>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Имущественное страхование – всего 1 752 327 тыс. руб.</w:t>
      </w:r>
    </w:p>
    <w:p w:rsidR="009F2AA5" w:rsidRPr="00F92763" w:rsidRDefault="009F2AA5" w:rsidP="009F2AA5">
      <w:pPr>
        <w:numPr>
          <w:ilvl w:val="0"/>
          <w:numId w:val="1"/>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ответственности (без ОСАГО) – всего 243 тыс. руб.</w:t>
      </w:r>
    </w:p>
    <w:p w:rsidR="009F2AA5" w:rsidRPr="00F92763" w:rsidRDefault="009F2AA5" w:rsidP="009F2AA5">
      <w:pPr>
        <w:numPr>
          <w:ilvl w:val="0"/>
          <w:numId w:val="1"/>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ОСАГО – 53 654 тыс. руб.</w:t>
      </w:r>
    </w:p>
    <w:p w:rsidR="009F2AA5" w:rsidRPr="00F92763" w:rsidRDefault="009F2AA5" w:rsidP="009F2AA5">
      <w:pPr>
        <w:spacing w:line="360" w:lineRule="auto"/>
        <w:ind w:left="720"/>
        <w:jc w:val="both"/>
        <w:rPr>
          <w:rFonts w:ascii="Times New Roman" w:hAnsi="Times New Roman" w:cs="Times New Roman"/>
          <w:sz w:val="28"/>
          <w:szCs w:val="28"/>
        </w:rPr>
      </w:pPr>
      <w:r w:rsidRPr="00F92763">
        <w:rPr>
          <w:rFonts w:ascii="Times New Roman" w:hAnsi="Times New Roman" w:cs="Times New Roman"/>
          <w:sz w:val="28"/>
          <w:szCs w:val="28"/>
        </w:rPr>
        <w:t>Выплаты по договорам страхования (без ОСАГО) – всего 883 388 тыс. руб.</w:t>
      </w:r>
    </w:p>
    <w:p w:rsidR="009F2AA5" w:rsidRPr="00F92763" w:rsidRDefault="009F2AA5" w:rsidP="009F2AA5">
      <w:pPr>
        <w:spacing w:line="360" w:lineRule="auto"/>
        <w:ind w:left="720"/>
        <w:jc w:val="both"/>
        <w:rPr>
          <w:rFonts w:ascii="Times New Roman" w:hAnsi="Times New Roman" w:cs="Times New Roman"/>
          <w:sz w:val="28"/>
          <w:szCs w:val="28"/>
        </w:rPr>
      </w:pPr>
      <w:r w:rsidRPr="00F92763">
        <w:rPr>
          <w:rFonts w:ascii="Times New Roman" w:hAnsi="Times New Roman" w:cs="Times New Roman"/>
          <w:sz w:val="28"/>
          <w:szCs w:val="28"/>
        </w:rPr>
        <w:t>Выплаты по договорам ОСАГО – 29 932 тыс. руб.</w:t>
      </w:r>
    </w:p>
    <w:p w:rsidR="009F2AA5" w:rsidRPr="00F92763" w:rsidRDefault="009F2AA5" w:rsidP="009F2AA5">
      <w:pPr>
        <w:spacing w:line="360" w:lineRule="auto"/>
        <w:ind w:left="720"/>
        <w:jc w:val="both"/>
        <w:rPr>
          <w:rFonts w:ascii="Times New Roman" w:hAnsi="Times New Roman" w:cs="Times New Roman"/>
          <w:sz w:val="28"/>
          <w:szCs w:val="28"/>
        </w:rPr>
      </w:pPr>
      <w:r w:rsidRPr="00F92763">
        <w:rPr>
          <w:rFonts w:ascii="Times New Roman" w:hAnsi="Times New Roman" w:cs="Times New Roman"/>
          <w:sz w:val="28"/>
          <w:szCs w:val="28"/>
        </w:rPr>
        <w:t>Доля перестраховщиков в страховых выплатах по договорам страхования, переданным в перестрахование – 46 142 тыс. руб.</w:t>
      </w:r>
    </w:p>
    <w:p w:rsidR="009F2AA5" w:rsidRPr="00F92763" w:rsidRDefault="009F2AA5" w:rsidP="009F2AA5">
      <w:pPr>
        <w:spacing w:line="360" w:lineRule="auto"/>
        <w:ind w:firstLine="720"/>
        <w:jc w:val="both"/>
        <w:rPr>
          <w:rFonts w:ascii="Times New Roman" w:hAnsi="Times New Roman" w:cs="Times New Roman"/>
          <w:sz w:val="28"/>
          <w:szCs w:val="28"/>
        </w:rPr>
      </w:pPr>
      <w:r w:rsidRPr="00F92763">
        <w:rPr>
          <w:rFonts w:ascii="Times New Roman" w:hAnsi="Times New Roman" w:cs="Times New Roman"/>
          <w:sz w:val="28"/>
          <w:szCs w:val="28"/>
        </w:rPr>
        <w:t>Количество заключенных договоров за отчетный период – 40 078, в том числе:</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от несчастных случаев и болезней – 764;</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Добровольное медицинское страхование – 10;</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средств наземного транспорта – 137;</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имущества – 120;</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урожая сельскохозяйственных культур и многолетних насаждений– 1 996;</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сельскохозяйственных животных – 13;</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гражданской ответственности организаций, эксплуатирующих опасные производственные объекты – 62;</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Обязательное страхование гражданской ответственности владельцев транспортных средств – 36 972;</w:t>
      </w:r>
    </w:p>
    <w:p w:rsidR="009F2AA5" w:rsidRPr="00F92763" w:rsidRDefault="009F2AA5" w:rsidP="009F2AA5">
      <w:pPr>
        <w:numPr>
          <w:ilvl w:val="0"/>
          <w:numId w:val="2"/>
        </w:numPr>
        <w:spacing w:line="360" w:lineRule="auto"/>
        <w:jc w:val="both"/>
        <w:rPr>
          <w:rFonts w:ascii="Times New Roman" w:hAnsi="Times New Roman" w:cs="Times New Roman"/>
          <w:sz w:val="28"/>
          <w:szCs w:val="28"/>
        </w:rPr>
      </w:pPr>
      <w:r w:rsidRPr="00F92763">
        <w:rPr>
          <w:rFonts w:ascii="Times New Roman" w:hAnsi="Times New Roman" w:cs="Times New Roman"/>
          <w:sz w:val="28"/>
          <w:szCs w:val="28"/>
        </w:rPr>
        <w:t>Страхование гражданской ответственности за причинение вреда следствие недостатков товаров, работ, услуг – 4;</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lastRenderedPageBreak/>
        <w:t>По итогам 2013 года ОАО СК «Царица» занимает 74-е место (из 1100 компаний) в общероссийском рейтинге страховых компаний и 2-е место по Южному федеральному округу.</w:t>
      </w:r>
    </w:p>
    <w:p w:rsidR="009F2AA5" w:rsidRPr="00F92763" w:rsidRDefault="009F2AA5" w:rsidP="009F2AA5">
      <w:pPr>
        <w:pStyle w:val="af4"/>
        <w:spacing w:after="0" w:line="360" w:lineRule="auto"/>
        <w:ind w:firstLine="709"/>
        <w:jc w:val="both"/>
        <w:rPr>
          <w:sz w:val="28"/>
        </w:rPr>
      </w:pPr>
      <w:r w:rsidRPr="00F92763">
        <w:rPr>
          <w:sz w:val="28"/>
        </w:rPr>
        <w:t>Общероссийский характер деятельности дает компании возможность в короткие сроки осуществлять урегулирование убытков и производить выплаты своим клиентам, независимо от места заключения договора страхования, а также позволяет формировать страховой портфель и равномерно распределять риски в перестраховании, а также по регионам РФ.</w:t>
      </w:r>
      <w:r w:rsidRPr="00F92763">
        <w:t xml:space="preserve"> </w:t>
      </w:r>
      <w:r w:rsidRPr="00F92763">
        <w:rPr>
          <w:sz w:val="28"/>
        </w:rPr>
        <w:t xml:space="preserve">За последние пять лет объем собираемых компанией страховых взносов увеличился в 41 раз. </w:t>
      </w:r>
    </w:p>
    <w:p w:rsidR="009F2AA5" w:rsidRPr="00F92763" w:rsidRDefault="009F2AA5" w:rsidP="009F2AA5">
      <w:pPr>
        <w:pStyle w:val="af4"/>
        <w:spacing w:after="0" w:line="360" w:lineRule="auto"/>
        <w:ind w:firstLine="709"/>
        <w:jc w:val="both"/>
        <w:rPr>
          <w:sz w:val="28"/>
        </w:rPr>
      </w:pPr>
      <w:r w:rsidRPr="00F92763">
        <w:rPr>
          <w:sz w:val="28"/>
        </w:rPr>
        <w:t xml:space="preserve">СК «Царица» активно работает во всех сегментах рынка: с частными лицами и предприятиями малого бизнеса, крупнейшими банками и компаниями различных сфер деятельности, государственными органами законодательной и исполнительной власти всех уровней. </w:t>
      </w:r>
    </w:p>
    <w:p w:rsidR="009F2AA5" w:rsidRPr="00F92763" w:rsidRDefault="009F2AA5" w:rsidP="009F2AA5">
      <w:pPr>
        <w:pStyle w:val="af4"/>
        <w:spacing w:after="0" w:line="360" w:lineRule="auto"/>
        <w:ind w:firstLine="709"/>
        <w:jc w:val="center"/>
        <w:rPr>
          <w:sz w:val="28"/>
        </w:rPr>
      </w:pPr>
      <w:r w:rsidRPr="00F92763">
        <w:rPr>
          <w:noProof/>
          <w:sz w:val="28"/>
        </w:rPr>
        <w:drawing>
          <wp:inline distT="0" distB="0" distL="0" distR="0">
            <wp:extent cx="4927600" cy="1828800"/>
            <wp:effectExtent l="0" t="0" r="0" b="0"/>
            <wp:docPr id="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F2AA5" w:rsidRPr="00F92763" w:rsidRDefault="009F2AA5" w:rsidP="009F2AA5">
      <w:pPr>
        <w:pStyle w:val="af4"/>
        <w:spacing w:after="0" w:line="360" w:lineRule="auto"/>
        <w:ind w:firstLine="709"/>
        <w:jc w:val="center"/>
        <w:rPr>
          <w:sz w:val="28"/>
          <w:szCs w:val="28"/>
        </w:rPr>
      </w:pPr>
      <w:r w:rsidRPr="00F92763">
        <w:rPr>
          <w:sz w:val="28"/>
          <w:szCs w:val="28"/>
        </w:rPr>
        <w:t xml:space="preserve">Рисунок </w:t>
      </w:r>
      <w:r w:rsidR="00F92763" w:rsidRPr="00F92763">
        <w:rPr>
          <w:sz w:val="28"/>
          <w:szCs w:val="28"/>
        </w:rPr>
        <w:t>1</w:t>
      </w:r>
      <w:r w:rsidRPr="00F92763">
        <w:rPr>
          <w:sz w:val="28"/>
          <w:szCs w:val="28"/>
        </w:rPr>
        <w:t xml:space="preserve"> - Структура портфеля «Царица» по добровольным видам страхования и ОСАГО</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p>
    <w:p w:rsidR="009F2AA5" w:rsidRPr="00F92763" w:rsidRDefault="009F2AA5" w:rsidP="009F2AA5">
      <w:pPr>
        <w:autoSpaceDE w:val="0"/>
        <w:autoSpaceDN w:val="0"/>
        <w:adjustRightInd w:val="0"/>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rPr>
        <w:t xml:space="preserve">Одним из основных направлений деятельности «Царица» является страхование сельскохозяйственных рисков. Объем премий, полученных по </w:t>
      </w:r>
      <w:r w:rsidRPr="00F92763">
        <w:rPr>
          <w:rFonts w:ascii="Times New Roman" w:hAnsi="Times New Roman" w:cs="Times New Roman"/>
          <w:sz w:val="28"/>
          <w:szCs w:val="28"/>
        </w:rPr>
        <w:t>договорам  страхования урожая сельскохозяйственный культур составил 1,747 млрд руб. по состоянию 2013 года.</w:t>
      </w:r>
      <w:r w:rsidRPr="00F92763">
        <w:rPr>
          <w:rFonts w:ascii="Times New Roman" w:hAnsi="Times New Roman" w:cs="Times New Roman"/>
        </w:rPr>
        <w:t xml:space="preserve"> </w:t>
      </w:r>
      <w:r w:rsidRPr="00F92763">
        <w:rPr>
          <w:rFonts w:ascii="Times New Roman" w:hAnsi="Times New Roman" w:cs="Times New Roman"/>
          <w:sz w:val="28"/>
          <w:szCs w:val="28"/>
        </w:rPr>
        <w:t>Страхование урожая сельскохозяйственных культур является эффективным экономическим инструментом, обеспечивающим стабилизацию финансового состояния сельскохозяйственных товаропроизводителей</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lastRenderedPageBreak/>
        <w:t xml:space="preserve">Доминирующими направлениями в сельскохозяйственном страховнии являются страхование урожая сельскохозяйственных культур и животных на их долю приходится 41% от общего объема взносов по страхованию имущества юридических лиц. </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31 декабря 2008 года было принято постановление Правительства РФ, ограничивающее деятельность страховых компаний в части страхования урожая с государственной поддержкой. Это повлекло за собой резкое сокращение количества договоров страхования и как итог – незащищенность сельхозпроизводителей. Но все же, после вмешательства ФАС, Верховный суд вынес решение, отменяющее действие некоторых пунктов Правил субсидирования страхования урожая с господдержкой, как не соответствующих законодательству РФ. </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Учитывая большую востребованность юридическими лицами программ комплексного страхования имущества, а также актуальность повышения качества страхового покрытия и увеличения объемов ответственности, в СК «Царица» разработаны и залицензированы «Правила страхования имущества предприятий «ВСЕ РИСКИ». Они отвечают возросшим требованиям страхователей к страховщикам в современных экономических условиях.</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Разберем более подробно структуру доходов (таблица </w:t>
      </w:r>
      <w:r w:rsidR="00F92763" w:rsidRPr="00F92763">
        <w:rPr>
          <w:rFonts w:ascii="Times New Roman" w:hAnsi="Times New Roman" w:cs="Times New Roman"/>
          <w:sz w:val="28"/>
        </w:rPr>
        <w:t>2)</w:t>
      </w:r>
      <w:r w:rsidRPr="00F92763">
        <w:rPr>
          <w:rFonts w:ascii="Times New Roman" w:hAnsi="Times New Roman" w:cs="Times New Roman"/>
          <w:sz w:val="28"/>
        </w:rPr>
        <w:t xml:space="preserve">. </w:t>
      </w:r>
    </w:p>
    <w:p w:rsidR="009F2AA5" w:rsidRPr="00F92763" w:rsidRDefault="009F2AA5" w:rsidP="009F2AA5">
      <w:pPr>
        <w:spacing w:line="360" w:lineRule="auto"/>
        <w:jc w:val="center"/>
        <w:rPr>
          <w:rFonts w:ascii="Times New Roman" w:hAnsi="Times New Roman" w:cs="Times New Roman"/>
          <w:sz w:val="28"/>
        </w:rPr>
      </w:pPr>
      <w:r w:rsidRPr="00F92763">
        <w:rPr>
          <w:rFonts w:ascii="Times New Roman" w:hAnsi="Times New Roman" w:cs="Times New Roman"/>
          <w:sz w:val="28"/>
        </w:rPr>
        <w:t xml:space="preserve">Таблица </w:t>
      </w:r>
      <w:r w:rsidR="00F92763" w:rsidRPr="00F92763">
        <w:rPr>
          <w:rFonts w:ascii="Times New Roman" w:hAnsi="Times New Roman" w:cs="Times New Roman"/>
          <w:sz w:val="28"/>
        </w:rPr>
        <w:t>2</w:t>
      </w:r>
      <w:r w:rsidRPr="00F92763">
        <w:rPr>
          <w:rFonts w:ascii="Times New Roman" w:hAnsi="Times New Roman" w:cs="Times New Roman"/>
          <w:sz w:val="28"/>
        </w:rPr>
        <w:t xml:space="preserve"> - Структура доходов СК «Царица»</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gridCol w:w="1417"/>
        <w:gridCol w:w="1560"/>
        <w:gridCol w:w="1417"/>
        <w:gridCol w:w="1381"/>
      </w:tblGrid>
      <w:tr w:rsidR="009F2AA5" w:rsidRPr="00F92763" w:rsidTr="00B10B60">
        <w:trPr>
          <w:jc w:val="center"/>
        </w:trPr>
        <w:tc>
          <w:tcPr>
            <w:tcW w:w="3794" w:type="dxa"/>
            <w:vMerge w:val="restart"/>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Статья доходов</w:t>
            </w:r>
          </w:p>
        </w:tc>
        <w:tc>
          <w:tcPr>
            <w:tcW w:w="2977" w:type="dxa"/>
            <w:gridSpan w:val="2"/>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2013 год</w:t>
            </w:r>
          </w:p>
        </w:tc>
        <w:tc>
          <w:tcPr>
            <w:tcW w:w="2798" w:type="dxa"/>
            <w:gridSpan w:val="2"/>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lang w:val="en-US"/>
              </w:rPr>
              <w:t>2012</w:t>
            </w:r>
            <w:r w:rsidRPr="00F92763">
              <w:rPr>
                <w:rFonts w:ascii="Times New Roman" w:hAnsi="Times New Roman" w:cs="Times New Roman"/>
              </w:rPr>
              <w:t>год</w:t>
            </w:r>
          </w:p>
        </w:tc>
      </w:tr>
      <w:tr w:rsidR="009F2AA5" w:rsidRPr="00F92763" w:rsidTr="00B10B60">
        <w:trPr>
          <w:jc w:val="center"/>
        </w:trPr>
        <w:tc>
          <w:tcPr>
            <w:tcW w:w="3794" w:type="dxa"/>
            <w:vMerge/>
          </w:tcPr>
          <w:p w:rsidR="009F2AA5" w:rsidRPr="00F92763" w:rsidRDefault="009F2AA5" w:rsidP="00B10B60">
            <w:pPr>
              <w:jc w:val="both"/>
              <w:rPr>
                <w:rFonts w:ascii="Times New Roman" w:hAnsi="Times New Roman" w:cs="Times New Roman"/>
              </w:rPr>
            </w:pP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Сумма, тыс.руб.</w:t>
            </w:r>
          </w:p>
        </w:tc>
        <w:tc>
          <w:tcPr>
            <w:tcW w:w="1560"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Удельный вес,%</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Сумма, тыс.руб.</w:t>
            </w:r>
          </w:p>
        </w:tc>
        <w:tc>
          <w:tcPr>
            <w:tcW w:w="1381"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Удельный вес,%</w:t>
            </w:r>
          </w:p>
        </w:tc>
      </w:tr>
      <w:tr w:rsidR="009F2AA5" w:rsidRPr="00F92763" w:rsidTr="00B10B60">
        <w:trPr>
          <w:trHeight w:val="668"/>
          <w:jc w:val="center"/>
        </w:trPr>
        <w:tc>
          <w:tcPr>
            <w:tcW w:w="3794"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Доходы от страховой деятельности, без перестрахования</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34315</w:t>
            </w:r>
          </w:p>
        </w:tc>
        <w:tc>
          <w:tcPr>
            <w:tcW w:w="1560"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59,3</w:t>
            </w:r>
          </w:p>
        </w:tc>
        <w:tc>
          <w:tcPr>
            <w:tcW w:w="1417" w:type="dxa"/>
          </w:tcPr>
          <w:p w:rsidR="009F2AA5" w:rsidRPr="00F92763" w:rsidRDefault="009F2AA5" w:rsidP="00B10B60">
            <w:pPr>
              <w:jc w:val="both"/>
              <w:rPr>
                <w:rFonts w:ascii="Times New Roman" w:hAnsi="Times New Roman" w:cs="Times New Roman"/>
                <w:lang w:val="en-US"/>
              </w:rPr>
            </w:pPr>
            <w:r w:rsidRPr="00F92763">
              <w:rPr>
                <w:rFonts w:ascii="Times New Roman" w:hAnsi="Times New Roman" w:cs="Times New Roman"/>
                <w:lang w:val="en-US"/>
              </w:rPr>
              <w:t>1014</w:t>
            </w:r>
          </w:p>
        </w:tc>
        <w:tc>
          <w:tcPr>
            <w:tcW w:w="1381"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4</w:t>
            </w:r>
          </w:p>
        </w:tc>
      </w:tr>
      <w:tr w:rsidR="009F2AA5" w:rsidRPr="00F92763" w:rsidTr="00B10B60">
        <w:trPr>
          <w:jc w:val="center"/>
        </w:trPr>
        <w:tc>
          <w:tcPr>
            <w:tcW w:w="3794"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Доходы от инвестиций</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59147</w:t>
            </w:r>
          </w:p>
        </w:tc>
        <w:tc>
          <w:tcPr>
            <w:tcW w:w="1560"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37,6</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lang w:val="en-US"/>
              </w:rPr>
              <w:t>18</w:t>
            </w:r>
            <w:r w:rsidRPr="00F92763">
              <w:rPr>
                <w:rFonts w:ascii="Times New Roman" w:hAnsi="Times New Roman" w:cs="Times New Roman"/>
              </w:rPr>
              <w:t>413</w:t>
            </w:r>
          </w:p>
        </w:tc>
        <w:tc>
          <w:tcPr>
            <w:tcW w:w="1381"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73,8</w:t>
            </w:r>
          </w:p>
        </w:tc>
      </w:tr>
      <w:tr w:rsidR="009F2AA5" w:rsidRPr="00F92763" w:rsidTr="00B10B60">
        <w:trPr>
          <w:jc w:val="center"/>
        </w:trPr>
        <w:tc>
          <w:tcPr>
            <w:tcW w:w="3794"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Прочие доходы</w:t>
            </w:r>
          </w:p>
        </w:tc>
        <w:tc>
          <w:tcPr>
            <w:tcW w:w="1417" w:type="dxa"/>
          </w:tcPr>
          <w:p w:rsidR="009F2AA5" w:rsidRPr="00F92763" w:rsidRDefault="009F2AA5" w:rsidP="00B10B60">
            <w:pPr>
              <w:jc w:val="both"/>
              <w:rPr>
                <w:rFonts w:ascii="Times New Roman" w:hAnsi="Times New Roman" w:cs="Times New Roman"/>
              </w:rPr>
            </w:pPr>
          </w:p>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288010</w:t>
            </w:r>
          </w:p>
        </w:tc>
        <w:tc>
          <w:tcPr>
            <w:tcW w:w="1560" w:type="dxa"/>
          </w:tcPr>
          <w:p w:rsidR="009F2AA5" w:rsidRPr="00F92763" w:rsidRDefault="009F2AA5" w:rsidP="00B10B60">
            <w:pPr>
              <w:jc w:val="both"/>
              <w:rPr>
                <w:rFonts w:ascii="Times New Roman" w:hAnsi="Times New Roman" w:cs="Times New Roman"/>
              </w:rPr>
            </w:pPr>
          </w:p>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3,1</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5515</w:t>
            </w:r>
          </w:p>
        </w:tc>
        <w:tc>
          <w:tcPr>
            <w:tcW w:w="1381"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22,1</w:t>
            </w:r>
          </w:p>
        </w:tc>
      </w:tr>
      <w:tr w:rsidR="009F2AA5" w:rsidRPr="00F92763" w:rsidTr="00B10B60">
        <w:trPr>
          <w:jc w:val="center"/>
        </w:trPr>
        <w:tc>
          <w:tcPr>
            <w:tcW w:w="3794"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Итого доходы</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9336534</w:t>
            </w:r>
          </w:p>
        </w:tc>
        <w:tc>
          <w:tcPr>
            <w:tcW w:w="1560"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100</w:t>
            </w:r>
          </w:p>
        </w:tc>
        <w:tc>
          <w:tcPr>
            <w:tcW w:w="1417"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24942</w:t>
            </w:r>
          </w:p>
        </w:tc>
        <w:tc>
          <w:tcPr>
            <w:tcW w:w="1381" w:type="dxa"/>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100</w:t>
            </w:r>
          </w:p>
        </w:tc>
      </w:tr>
    </w:tbl>
    <w:p w:rsidR="009F2AA5" w:rsidRPr="00F92763" w:rsidRDefault="009F2AA5" w:rsidP="009F2AA5">
      <w:pPr>
        <w:shd w:val="clear" w:color="auto" w:fill="FFFFFF"/>
        <w:spacing w:line="360" w:lineRule="auto"/>
        <w:ind w:firstLine="709"/>
        <w:jc w:val="both"/>
        <w:rPr>
          <w:rFonts w:ascii="Times New Roman" w:hAnsi="Times New Roman" w:cs="Times New Roman"/>
          <w:sz w:val="28"/>
          <w:lang w:val="en-US"/>
        </w:rPr>
      </w:pP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Из таблицы </w:t>
      </w:r>
      <w:r w:rsidR="00F92763" w:rsidRPr="00F92763">
        <w:rPr>
          <w:rFonts w:ascii="Times New Roman" w:hAnsi="Times New Roman" w:cs="Times New Roman"/>
          <w:sz w:val="28"/>
        </w:rPr>
        <w:t>2</w:t>
      </w:r>
      <w:r w:rsidRPr="00F92763">
        <w:rPr>
          <w:rFonts w:ascii="Times New Roman" w:hAnsi="Times New Roman" w:cs="Times New Roman"/>
          <w:sz w:val="28"/>
        </w:rPr>
        <w:t xml:space="preserve">. видно, что основным источником доходов, как в 2012 году, так и 2013 году явились с страховые премии и доходы от инвестиций. В 2013 году компания увеличила общий объем поступления страховых премий. </w:t>
      </w:r>
      <w:r w:rsidRPr="00F92763">
        <w:rPr>
          <w:rFonts w:ascii="Times New Roman" w:hAnsi="Times New Roman" w:cs="Times New Roman"/>
          <w:sz w:val="28"/>
        </w:rPr>
        <w:lastRenderedPageBreak/>
        <w:t xml:space="preserve">В отчетном периоде объем страховых операций СК «Царица» составил </w:t>
      </w:r>
      <w:r w:rsidRPr="00F92763">
        <w:rPr>
          <w:rFonts w:ascii="Times New Roman" w:hAnsi="Times New Roman" w:cs="Times New Roman"/>
          <w:sz w:val="28"/>
          <w:szCs w:val="28"/>
        </w:rPr>
        <w:t>1 807 871 тыс.</w:t>
      </w:r>
      <w:r w:rsidRPr="00F92763">
        <w:rPr>
          <w:rFonts w:ascii="Times New Roman" w:hAnsi="Times New Roman" w:cs="Times New Roman"/>
        </w:rPr>
        <w:t xml:space="preserve"> </w:t>
      </w:r>
      <w:r w:rsidRPr="00F92763">
        <w:rPr>
          <w:rFonts w:ascii="Times New Roman" w:hAnsi="Times New Roman" w:cs="Times New Roman"/>
          <w:sz w:val="28"/>
        </w:rPr>
        <w:t xml:space="preserve">рублей. Проследим динамику данного показателя во времени (таблица </w:t>
      </w:r>
      <w:r w:rsidR="00F92763" w:rsidRPr="00F92763">
        <w:rPr>
          <w:rFonts w:ascii="Times New Roman" w:hAnsi="Times New Roman" w:cs="Times New Roman"/>
          <w:sz w:val="28"/>
        </w:rPr>
        <w:t>3</w:t>
      </w:r>
      <w:r w:rsidRPr="00F92763">
        <w:rPr>
          <w:rFonts w:ascii="Times New Roman" w:hAnsi="Times New Roman" w:cs="Times New Roman"/>
          <w:sz w:val="28"/>
        </w:rPr>
        <w:t>).</w:t>
      </w:r>
    </w:p>
    <w:p w:rsidR="009F2AA5" w:rsidRPr="00F92763" w:rsidRDefault="009F2AA5" w:rsidP="009F2AA5">
      <w:pPr>
        <w:shd w:val="clear" w:color="auto" w:fill="FFFFFF"/>
        <w:spacing w:line="360" w:lineRule="auto"/>
        <w:ind w:firstLine="709"/>
        <w:jc w:val="center"/>
        <w:rPr>
          <w:rFonts w:ascii="Times New Roman" w:hAnsi="Times New Roman" w:cs="Times New Roman"/>
          <w:b/>
          <w:sz w:val="28"/>
        </w:rPr>
      </w:pPr>
      <w:r w:rsidRPr="00F92763">
        <w:rPr>
          <w:rFonts w:ascii="Times New Roman" w:hAnsi="Times New Roman" w:cs="Times New Roman"/>
          <w:sz w:val="28"/>
        </w:rPr>
        <w:t xml:space="preserve">Таблица </w:t>
      </w:r>
      <w:r w:rsidR="00F92763" w:rsidRPr="00F92763">
        <w:rPr>
          <w:rFonts w:ascii="Times New Roman" w:hAnsi="Times New Roman" w:cs="Times New Roman"/>
          <w:sz w:val="28"/>
        </w:rPr>
        <w:t>3</w:t>
      </w:r>
      <w:r w:rsidRPr="00F92763">
        <w:rPr>
          <w:rFonts w:ascii="Times New Roman" w:hAnsi="Times New Roman" w:cs="Times New Roman"/>
          <w:sz w:val="28"/>
        </w:rPr>
        <w:t xml:space="preserve"> -  Динамика поступлений страховых премий, тыс. рублей</w:t>
      </w:r>
    </w:p>
    <w:tbl>
      <w:tblPr>
        <w:tblW w:w="9356" w:type="dxa"/>
        <w:jc w:val="righ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6"/>
        <w:gridCol w:w="1132"/>
        <w:gridCol w:w="1056"/>
        <w:gridCol w:w="1056"/>
        <w:gridCol w:w="1133"/>
        <w:gridCol w:w="1130"/>
        <w:gridCol w:w="1163"/>
      </w:tblGrid>
      <w:tr w:rsidR="009F2AA5" w:rsidRPr="00F92763" w:rsidTr="00B10B60">
        <w:trPr>
          <w:jc w:val="right"/>
        </w:trPr>
        <w:tc>
          <w:tcPr>
            <w:tcW w:w="2686" w:type="dxa"/>
            <w:vMerge w:val="restart"/>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Наименование показателя</w:t>
            </w:r>
          </w:p>
        </w:tc>
        <w:tc>
          <w:tcPr>
            <w:tcW w:w="6670" w:type="dxa"/>
            <w:gridSpan w:val="6"/>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Года</w:t>
            </w:r>
          </w:p>
        </w:tc>
      </w:tr>
      <w:tr w:rsidR="009F2AA5" w:rsidRPr="00F92763" w:rsidTr="00B10B60">
        <w:trPr>
          <w:jc w:val="right"/>
        </w:trPr>
        <w:tc>
          <w:tcPr>
            <w:tcW w:w="0" w:type="auto"/>
            <w:vMerge/>
            <w:vAlign w:val="center"/>
          </w:tcPr>
          <w:p w:rsidR="009F2AA5" w:rsidRPr="00F92763" w:rsidRDefault="009F2AA5" w:rsidP="00B10B60">
            <w:pPr>
              <w:rPr>
                <w:rFonts w:ascii="Times New Roman" w:hAnsi="Times New Roman" w:cs="Times New Roman"/>
              </w:rPr>
            </w:pPr>
          </w:p>
        </w:tc>
        <w:tc>
          <w:tcPr>
            <w:tcW w:w="1132"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2009</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2010</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2011</w:t>
            </w:r>
          </w:p>
        </w:tc>
        <w:tc>
          <w:tcPr>
            <w:tcW w:w="113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2012</w:t>
            </w:r>
          </w:p>
        </w:tc>
        <w:tc>
          <w:tcPr>
            <w:tcW w:w="1130"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2013</w:t>
            </w:r>
          </w:p>
        </w:tc>
        <w:tc>
          <w:tcPr>
            <w:tcW w:w="116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01.04.14</w:t>
            </w:r>
          </w:p>
        </w:tc>
      </w:tr>
      <w:tr w:rsidR="009F2AA5" w:rsidRPr="00F92763" w:rsidTr="00B10B60">
        <w:trPr>
          <w:trHeight w:val="90"/>
          <w:jc w:val="right"/>
        </w:trPr>
        <w:tc>
          <w:tcPr>
            <w:tcW w:w="2686" w:type="dxa"/>
          </w:tcPr>
          <w:p w:rsidR="009F2AA5" w:rsidRPr="00F92763" w:rsidRDefault="009F2AA5" w:rsidP="00B10B60">
            <w:pPr>
              <w:pStyle w:val="21"/>
              <w:spacing w:after="0" w:line="240" w:lineRule="auto"/>
              <w:jc w:val="both"/>
              <w:rPr>
                <w:rFonts w:ascii="Times New Roman" w:hAnsi="Times New Roman" w:cs="Times New Roman"/>
                <w:sz w:val="24"/>
              </w:rPr>
            </w:pPr>
            <w:r w:rsidRPr="00F92763">
              <w:rPr>
                <w:rFonts w:ascii="Times New Roman" w:hAnsi="Times New Roman" w:cs="Times New Roman"/>
                <w:sz w:val="24"/>
              </w:rPr>
              <w:t>Совокупная сумма собранной страховой премии</w:t>
            </w:r>
          </w:p>
        </w:tc>
        <w:tc>
          <w:tcPr>
            <w:tcW w:w="1132"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192658</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661544</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751857</w:t>
            </w:r>
          </w:p>
        </w:tc>
        <w:tc>
          <w:tcPr>
            <w:tcW w:w="113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922670</w:t>
            </w:r>
          </w:p>
        </w:tc>
        <w:tc>
          <w:tcPr>
            <w:tcW w:w="1130"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1807871</w:t>
            </w:r>
          </w:p>
        </w:tc>
        <w:tc>
          <w:tcPr>
            <w:tcW w:w="116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21368</w:t>
            </w:r>
          </w:p>
        </w:tc>
      </w:tr>
      <w:tr w:rsidR="009F2AA5" w:rsidRPr="00F92763" w:rsidTr="00B10B60">
        <w:trPr>
          <w:jc w:val="right"/>
        </w:trPr>
        <w:tc>
          <w:tcPr>
            <w:tcW w:w="9356" w:type="dxa"/>
            <w:gridSpan w:val="7"/>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в том числе:</w:t>
            </w:r>
          </w:p>
        </w:tc>
      </w:tr>
      <w:tr w:rsidR="009F2AA5" w:rsidRPr="00F92763" w:rsidTr="00B10B60">
        <w:trPr>
          <w:jc w:val="right"/>
        </w:trPr>
        <w:tc>
          <w:tcPr>
            <w:tcW w:w="2686" w:type="dxa"/>
          </w:tcPr>
          <w:p w:rsidR="009F2AA5" w:rsidRPr="00F92763" w:rsidRDefault="009F2AA5" w:rsidP="00B10B60">
            <w:pPr>
              <w:pStyle w:val="21"/>
              <w:spacing w:after="0" w:line="240" w:lineRule="auto"/>
              <w:jc w:val="both"/>
              <w:rPr>
                <w:rFonts w:ascii="Times New Roman" w:hAnsi="Times New Roman" w:cs="Times New Roman"/>
                <w:sz w:val="24"/>
              </w:rPr>
            </w:pPr>
            <w:r w:rsidRPr="00F92763">
              <w:rPr>
                <w:rFonts w:ascii="Times New Roman" w:hAnsi="Times New Roman" w:cs="Times New Roman"/>
                <w:sz w:val="24"/>
              </w:rPr>
              <w:t>По личному страхованию</w:t>
            </w:r>
          </w:p>
        </w:tc>
        <w:tc>
          <w:tcPr>
            <w:tcW w:w="1132"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5</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27</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4 652</w:t>
            </w:r>
          </w:p>
        </w:tc>
        <w:tc>
          <w:tcPr>
            <w:tcW w:w="113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1065</w:t>
            </w:r>
          </w:p>
        </w:tc>
        <w:tc>
          <w:tcPr>
            <w:tcW w:w="1130"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1647</w:t>
            </w:r>
          </w:p>
        </w:tc>
        <w:tc>
          <w:tcPr>
            <w:tcW w:w="116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138</w:t>
            </w:r>
          </w:p>
        </w:tc>
      </w:tr>
      <w:tr w:rsidR="009F2AA5" w:rsidRPr="00F92763" w:rsidTr="00B10B60">
        <w:trPr>
          <w:jc w:val="right"/>
        </w:trPr>
        <w:tc>
          <w:tcPr>
            <w:tcW w:w="2686" w:type="dxa"/>
          </w:tcPr>
          <w:p w:rsidR="009F2AA5" w:rsidRPr="00F92763" w:rsidRDefault="009F2AA5" w:rsidP="00B10B60">
            <w:pPr>
              <w:pStyle w:val="21"/>
              <w:spacing w:after="0" w:line="240" w:lineRule="auto"/>
              <w:jc w:val="both"/>
              <w:rPr>
                <w:rFonts w:ascii="Times New Roman" w:hAnsi="Times New Roman" w:cs="Times New Roman"/>
                <w:sz w:val="24"/>
              </w:rPr>
            </w:pPr>
            <w:r w:rsidRPr="00F92763">
              <w:rPr>
                <w:rFonts w:ascii="Times New Roman" w:hAnsi="Times New Roman" w:cs="Times New Roman"/>
                <w:sz w:val="24"/>
              </w:rPr>
              <w:t>По имущественному страхованию</w:t>
            </w:r>
          </w:p>
        </w:tc>
        <w:tc>
          <w:tcPr>
            <w:tcW w:w="1132"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187309</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192631</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659367</w:t>
            </w:r>
          </w:p>
        </w:tc>
        <w:tc>
          <w:tcPr>
            <w:tcW w:w="113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750207</w:t>
            </w:r>
          </w:p>
        </w:tc>
        <w:tc>
          <w:tcPr>
            <w:tcW w:w="1130"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1752327</w:t>
            </w:r>
          </w:p>
        </w:tc>
        <w:tc>
          <w:tcPr>
            <w:tcW w:w="116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1837</w:t>
            </w:r>
          </w:p>
        </w:tc>
      </w:tr>
      <w:tr w:rsidR="009F2AA5" w:rsidRPr="00F92763" w:rsidTr="00B10B60">
        <w:trPr>
          <w:jc w:val="right"/>
        </w:trPr>
        <w:tc>
          <w:tcPr>
            <w:tcW w:w="2686" w:type="dxa"/>
          </w:tcPr>
          <w:p w:rsidR="009F2AA5" w:rsidRPr="00F92763" w:rsidRDefault="009F2AA5" w:rsidP="00B10B60">
            <w:pPr>
              <w:pStyle w:val="21"/>
              <w:spacing w:after="0" w:line="240" w:lineRule="auto"/>
              <w:jc w:val="both"/>
              <w:rPr>
                <w:rFonts w:ascii="Times New Roman" w:hAnsi="Times New Roman" w:cs="Times New Roman"/>
                <w:sz w:val="24"/>
              </w:rPr>
            </w:pPr>
            <w:r w:rsidRPr="00F92763">
              <w:rPr>
                <w:rFonts w:ascii="Times New Roman" w:hAnsi="Times New Roman" w:cs="Times New Roman"/>
                <w:sz w:val="24"/>
              </w:rPr>
              <w:t>По страхованию ответственности</w:t>
            </w:r>
          </w:p>
        </w:tc>
        <w:tc>
          <w:tcPr>
            <w:tcW w:w="1132"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876</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w:t>
            </w:r>
          </w:p>
        </w:tc>
        <w:tc>
          <w:tcPr>
            <w:tcW w:w="1056"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525</w:t>
            </w:r>
          </w:p>
        </w:tc>
        <w:tc>
          <w:tcPr>
            <w:tcW w:w="113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585</w:t>
            </w:r>
          </w:p>
        </w:tc>
        <w:tc>
          <w:tcPr>
            <w:tcW w:w="1130"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53897</w:t>
            </w:r>
          </w:p>
        </w:tc>
        <w:tc>
          <w:tcPr>
            <w:tcW w:w="1163" w:type="dxa"/>
          </w:tcPr>
          <w:p w:rsidR="009F2AA5" w:rsidRPr="00F92763" w:rsidRDefault="009F2AA5" w:rsidP="00B10B60">
            <w:pPr>
              <w:pStyle w:val="21"/>
              <w:spacing w:after="0" w:line="240" w:lineRule="auto"/>
              <w:rPr>
                <w:rFonts w:ascii="Times New Roman" w:hAnsi="Times New Roman" w:cs="Times New Roman"/>
                <w:sz w:val="24"/>
              </w:rPr>
            </w:pPr>
            <w:r w:rsidRPr="00F92763">
              <w:rPr>
                <w:rFonts w:ascii="Times New Roman" w:hAnsi="Times New Roman" w:cs="Times New Roman"/>
                <w:sz w:val="24"/>
              </w:rPr>
              <w:t>19393</w:t>
            </w:r>
          </w:p>
        </w:tc>
      </w:tr>
    </w:tbl>
    <w:p w:rsidR="009F2AA5" w:rsidRPr="00F92763" w:rsidRDefault="009F2AA5" w:rsidP="009F2AA5">
      <w:pPr>
        <w:spacing w:line="360" w:lineRule="auto"/>
        <w:ind w:firstLine="709"/>
        <w:jc w:val="both"/>
        <w:rPr>
          <w:rFonts w:ascii="Times New Roman" w:hAnsi="Times New Roman" w:cs="Times New Roman"/>
          <w:sz w:val="28"/>
        </w:rPr>
      </w:pPr>
    </w:p>
    <w:p w:rsidR="009F2AA5" w:rsidRPr="00F92763" w:rsidRDefault="009F2AA5" w:rsidP="009F2AA5">
      <w:pPr>
        <w:spacing w:line="360" w:lineRule="auto"/>
        <w:ind w:firstLine="708"/>
        <w:jc w:val="both"/>
        <w:rPr>
          <w:rFonts w:ascii="Times New Roman" w:hAnsi="Times New Roman" w:cs="Times New Roman"/>
          <w:sz w:val="28"/>
          <w:szCs w:val="28"/>
        </w:rPr>
      </w:pPr>
      <w:r w:rsidRPr="00F92763">
        <w:rPr>
          <w:rFonts w:ascii="Times New Roman" w:hAnsi="Times New Roman" w:cs="Times New Roman"/>
          <w:sz w:val="28"/>
          <w:szCs w:val="28"/>
        </w:rPr>
        <w:t xml:space="preserve">Главная цель страховой компании при формировании страхового портфеля состоит в достижении оптимального соотношения риска и дохода. Сбалансированный страховой портфель компании оценивается как соотношение сумм нетто-премий к объему брутто-премии и изменению резерва незаработанной премии. </w:t>
      </w:r>
    </w:p>
    <w:p w:rsidR="009F2AA5" w:rsidRPr="00F92763" w:rsidRDefault="009F2AA5" w:rsidP="009F2AA5">
      <w:pPr>
        <w:spacing w:line="360" w:lineRule="auto"/>
        <w:ind w:firstLine="708"/>
        <w:jc w:val="both"/>
        <w:rPr>
          <w:rFonts w:ascii="Times New Roman" w:hAnsi="Times New Roman" w:cs="Times New Roman"/>
          <w:sz w:val="28"/>
          <w:szCs w:val="28"/>
        </w:rPr>
      </w:pPr>
      <w:r w:rsidRPr="00F92763">
        <w:rPr>
          <w:rFonts w:ascii="Times New Roman" w:hAnsi="Times New Roman" w:cs="Times New Roman"/>
          <w:sz w:val="28"/>
          <w:szCs w:val="28"/>
        </w:rPr>
        <w:t>По состоянию на 31.12.2013 г. коэффициент сбалансированного портфеля страховой компании составляет:</w:t>
      </w:r>
    </w:p>
    <w:p w:rsidR="009F2AA5" w:rsidRPr="00F92763" w:rsidRDefault="009F2AA5" w:rsidP="009F2AA5">
      <w:pPr>
        <w:spacing w:line="360" w:lineRule="auto"/>
        <w:jc w:val="both"/>
        <w:rPr>
          <w:rFonts w:ascii="Times New Roman" w:hAnsi="Times New Roman" w:cs="Times New Roman"/>
          <w:sz w:val="28"/>
          <w:szCs w:val="28"/>
        </w:rPr>
      </w:pPr>
    </w:p>
    <w:tbl>
      <w:tblPr>
        <w:tblStyle w:val="af4"/>
        <w:tblW w:w="9993" w:type="dxa"/>
        <w:tblLook w:val="01E0"/>
      </w:tblPr>
      <w:tblGrid>
        <w:gridCol w:w="4644"/>
        <w:gridCol w:w="422"/>
        <w:gridCol w:w="2463"/>
        <w:gridCol w:w="2464"/>
      </w:tblGrid>
      <w:tr w:rsidR="009F2AA5" w:rsidRPr="00F92763" w:rsidTr="00B10B60">
        <w:tc>
          <w:tcPr>
            <w:tcW w:w="4644" w:type="dxa"/>
            <w:tcBorders>
              <w:top w:val="nil"/>
              <w:left w:val="nil"/>
              <w:bottom w:val="single" w:sz="4" w:space="0" w:color="auto"/>
              <w:right w:val="nil"/>
            </w:tcBorders>
            <w:vAlign w:val="center"/>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1 551 654 (нетто перестрахование)</w:t>
            </w:r>
          </w:p>
        </w:tc>
        <w:tc>
          <w:tcPr>
            <w:tcW w:w="422" w:type="dxa"/>
            <w:vMerge w:val="restart"/>
            <w:vAlign w:val="center"/>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w:t>
            </w:r>
          </w:p>
        </w:tc>
        <w:tc>
          <w:tcPr>
            <w:tcW w:w="2463" w:type="dxa"/>
            <w:tcBorders>
              <w:top w:val="nil"/>
              <w:left w:val="nil"/>
              <w:bottom w:val="single" w:sz="4" w:space="0" w:color="auto"/>
              <w:right w:val="nil"/>
            </w:tcBorders>
            <w:vAlign w:val="center"/>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1 551 654</w:t>
            </w:r>
          </w:p>
        </w:tc>
        <w:tc>
          <w:tcPr>
            <w:tcW w:w="2464" w:type="dxa"/>
            <w:vMerge w:val="restart"/>
            <w:vAlign w:val="center"/>
          </w:tcPr>
          <w:p w:rsidR="009F2AA5" w:rsidRPr="00F92763" w:rsidRDefault="009F2AA5" w:rsidP="00B10B60">
            <w:pPr>
              <w:rPr>
                <w:rFonts w:ascii="Times New Roman" w:hAnsi="Times New Roman" w:cs="Times New Roman"/>
              </w:rPr>
            </w:pPr>
            <w:r w:rsidRPr="00F92763">
              <w:rPr>
                <w:rFonts w:ascii="Times New Roman" w:hAnsi="Times New Roman" w:cs="Times New Roman"/>
              </w:rPr>
              <w:t>= 0.94                   (1)</w:t>
            </w:r>
          </w:p>
        </w:tc>
      </w:tr>
      <w:tr w:rsidR="009F2AA5" w:rsidRPr="00F92763" w:rsidTr="00B10B60">
        <w:tc>
          <w:tcPr>
            <w:tcW w:w="4644" w:type="dxa"/>
            <w:tcBorders>
              <w:top w:val="single" w:sz="4" w:space="0" w:color="auto"/>
              <w:left w:val="nil"/>
              <w:bottom w:val="nil"/>
              <w:right w:val="nil"/>
            </w:tcBorders>
          </w:tcPr>
          <w:p w:rsidR="009F2AA5" w:rsidRPr="00F92763" w:rsidRDefault="009F2AA5" w:rsidP="00B10B60">
            <w:pPr>
              <w:jc w:val="both"/>
              <w:rPr>
                <w:rFonts w:ascii="Times New Roman" w:hAnsi="Times New Roman" w:cs="Times New Roman"/>
              </w:rPr>
            </w:pPr>
            <w:r w:rsidRPr="00F92763">
              <w:rPr>
                <w:rFonts w:ascii="Times New Roman" w:hAnsi="Times New Roman" w:cs="Times New Roman"/>
              </w:rPr>
              <w:t>1 807 871 (стра</w:t>
            </w:r>
            <w:r w:rsidRPr="00F92763">
              <w:rPr>
                <w:rFonts w:ascii="Times New Roman" w:hAnsi="Times New Roman" w:cs="Times New Roman"/>
              </w:rPr>
              <w:softHyphen/>
              <w:t>хо</w:t>
            </w:r>
            <w:r w:rsidRPr="00F92763">
              <w:rPr>
                <w:rFonts w:ascii="Times New Roman" w:hAnsi="Times New Roman" w:cs="Times New Roman"/>
              </w:rPr>
              <w:softHyphen/>
              <w:t>вые пре</w:t>
            </w:r>
            <w:r w:rsidRPr="00F92763">
              <w:rPr>
                <w:rFonts w:ascii="Times New Roman" w:hAnsi="Times New Roman" w:cs="Times New Roman"/>
              </w:rPr>
              <w:softHyphen/>
              <w:t>мии — всего) + (161 449) (Из</w:t>
            </w:r>
            <w:r w:rsidRPr="00F92763">
              <w:rPr>
                <w:rFonts w:ascii="Times New Roman" w:hAnsi="Times New Roman" w:cs="Times New Roman"/>
              </w:rPr>
              <w:softHyphen/>
              <w:t>ме</w:t>
            </w:r>
            <w:r w:rsidRPr="00F92763">
              <w:rPr>
                <w:rFonts w:ascii="Times New Roman" w:hAnsi="Times New Roman" w:cs="Times New Roman"/>
              </w:rPr>
              <w:softHyphen/>
              <w:t>не</w:t>
            </w:r>
            <w:r w:rsidRPr="00F92763">
              <w:rPr>
                <w:rFonts w:ascii="Times New Roman" w:hAnsi="Times New Roman" w:cs="Times New Roman"/>
              </w:rPr>
              <w:softHyphen/>
              <w:t>ние ре</w:t>
            </w:r>
            <w:r w:rsidRPr="00F92763">
              <w:rPr>
                <w:rFonts w:ascii="Times New Roman" w:hAnsi="Times New Roman" w:cs="Times New Roman"/>
              </w:rPr>
              <w:softHyphen/>
              <w:t>зер</w:t>
            </w:r>
            <w:r w:rsidRPr="00F92763">
              <w:rPr>
                <w:rFonts w:ascii="Times New Roman" w:hAnsi="Times New Roman" w:cs="Times New Roman"/>
              </w:rPr>
              <w:softHyphen/>
              <w:t>ва не</w:t>
            </w:r>
            <w:r w:rsidRPr="00F92763">
              <w:rPr>
                <w:rFonts w:ascii="Times New Roman" w:hAnsi="Times New Roman" w:cs="Times New Roman"/>
              </w:rPr>
              <w:softHyphen/>
              <w:t>за</w:t>
            </w:r>
            <w:r w:rsidRPr="00F92763">
              <w:rPr>
                <w:rFonts w:ascii="Times New Roman" w:hAnsi="Times New Roman" w:cs="Times New Roman"/>
              </w:rPr>
              <w:softHyphen/>
              <w:t>ра</w:t>
            </w:r>
            <w:r w:rsidRPr="00F92763">
              <w:rPr>
                <w:rFonts w:ascii="Times New Roman" w:hAnsi="Times New Roman" w:cs="Times New Roman"/>
              </w:rPr>
              <w:softHyphen/>
              <w:t>бо</w:t>
            </w:r>
            <w:r w:rsidRPr="00F92763">
              <w:rPr>
                <w:rFonts w:ascii="Times New Roman" w:hAnsi="Times New Roman" w:cs="Times New Roman"/>
              </w:rPr>
              <w:softHyphen/>
              <w:t>тан</w:t>
            </w:r>
            <w:r w:rsidRPr="00F92763">
              <w:rPr>
                <w:rFonts w:ascii="Times New Roman" w:hAnsi="Times New Roman" w:cs="Times New Roman"/>
              </w:rPr>
              <w:softHyphen/>
              <w:t>ной пре</w:t>
            </w:r>
            <w:r w:rsidRPr="00F92763">
              <w:rPr>
                <w:rFonts w:ascii="Times New Roman" w:hAnsi="Times New Roman" w:cs="Times New Roman"/>
              </w:rPr>
              <w:softHyphen/>
              <w:t>мии — нетто перестрахование)</w:t>
            </w:r>
          </w:p>
        </w:tc>
        <w:tc>
          <w:tcPr>
            <w:tcW w:w="0" w:type="auto"/>
            <w:vMerge/>
            <w:vAlign w:val="center"/>
          </w:tcPr>
          <w:p w:rsidR="009F2AA5" w:rsidRPr="00F92763" w:rsidRDefault="009F2AA5" w:rsidP="00B10B60">
            <w:pPr>
              <w:rPr>
                <w:rFonts w:ascii="Times New Roman" w:hAnsi="Times New Roman" w:cs="Times New Roman"/>
              </w:rPr>
            </w:pPr>
          </w:p>
        </w:tc>
        <w:tc>
          <w:tcPr>
            <w:tcW w:w="2463" w:type="dxa"/>
            <w:tcBorders>
              <w:top w:val="single" w:sz="4" w:space="0" w:color="auto"/>
              <w:left w:val="nil"/>
              <w:bottom w:val="nil"/>
              <w:right w:val="nil"/>
            </w:tcBorders>
            <w:vAlign w:val="center"/>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1 646 422</w:t>
            </w:r>
          </w:p>
        </w:tc>
        <w:tc>
          <w:tcPr>
            <w:tcW w:w="0" w:type="auto"/>
            <w:vMerge/>
            <w:vAlign w:val="center"/>
          </w:tcPr>
          <w:p w:rsidR="009F2AA5" w:rsidRPr="00F92763" w:rsidRDefault="009F2AA5" w:rsidP="00B10B60">
            <w:pPr>
              <w:rPr>
                <w:rFonts w:ascii="Times New Roman" w:hAnsi="Times New Roman" w:cs="Times New Roman"/>
              </w:rPr>
            </w:pPr>
          </w:p>
        </w:tc>
      </w:tr>
    </w:tbl>
    <w:p w:rsidR="009F2AA5" w:rsidRPr="00F92763" w:rsidRDefault="009F2AA5" w:rsidP="009F2AA5">
      <w:pPr>
        <w:spacing w:line="360" w:lineRule="auto"/>
        <w:ind w:firstLine="709"/>
        <w:jc w:val="both"/>
        <w:rPr>
          <w:rFonts w:ascii="Times New Roman" w:hAnsi="Times New Roman" w:cs="Times New Roman"/>
          <w:sz w:val="28"/>
        </w:rPr>
      </w:pP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В общем, и по страхованию иному, чем страхование жизни постоянно происходит стабильный рост страховых взносов. В 2011 году наблюдается резкое увеличение объемов страховых взносов по личному виду виду страхования. Затем наблюдается постепенный рост, но в общем объеме взносов он незначителен. Такая тенденция объясняется не развитостью и низким спросом на данный вид страхования в целом по стране, но то, что уже </w:t>
      </w:r>
      <w:r w:rsidRPr="00F92763">
        <w:rPr>
          <w:rFonts w:ascii="Times New Roman" w:hAnsi="Times New Roman" w:cs="Times New Roman"/>
          <w:sz w:val="28"/>
        </w:rPr>
        <w:lastRenderedPageBreak/>
        <w:t>есть и сохраняется динамика роста, говорит о плодотворной деятельности компании в этой области.</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2013 год отмечается финансово благоприятным в области страхования ответственности, в большей мере высокий скачок роста объясняется профессиональной рабой отдела развития рисковых видов страхования, а также развитием региональных отделов. </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Наибольший удельный вес в страховых премиях занимают взносы по имущественному виду страхования, и как уже отмечалось, основным источником поступлений является страхование сельскохозяйственных культур и урожая. На 2013 год приходится 1996 заключенных договоров.   </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 xml:space="preserve">Так же необходимо отметить, что часть страховых взносов была передана в перестрахование и составила </w:t>
      </w:r>
      <w:r w:rsidRPr="00F92763">
        <w:rPr>
          <w:rFonts w:ascii="Times New Roman" w:hAnsi="Times New Roman" w:cs="Times New Roman"/>
          <w:sz w:val="28"/>
          <w:szCs w:val="28"/>
        </w:rPr>
        <w:t>256217</w:t>
      </w:r>
      <w:r w:rsidRPr="00F92763">
        <w:rPr>
          <w:rFonts w:ascii="Times New Roman" w:hAnsi="Times New Roman" w:cs="Times New Roman"/>
          <w:sz w:val="28"/>
        </w:rPr>
        <w:t xml:space="preserve"> тыс. рублей. И эта тенденция вполне объяснима, т.к. именно в рисковых видах страхования содержатся наиболее крупные риски, которые самостоятельно страховая компания покрыть не сможет.</w:t>
      </w:r>
    </w:p>
    <w:p w:rsidR="009F2AA5" w:rsidRPr="00F92763" w:rsidRDefault="009F2AA5" w:rsidP="009F2AA5">
      <w:pPr>
        <w:spacing w:line="360" w:lineRule="auto"/>
        <w:ind w:firstLine="709"/>
        <w:jc w:val="both"/>
        <w:rPr>
          <w:rFonts w:ascii="Times New Roman" w:hAnsi="Times New Roman" w:cs="Times New Roman"/>
          <w:sz w:val="28"/>
        </w:rPr>
      </w:pPr>
      <w:r w:rsidRPr="00F92763">
        <w:rPr>
          <w:rFonts w:ascii="Times New Roman" w:hAnsi="Times New Roman" w:cs="Times New Roman"/>
          <w:sz w:val="28"/>
        </w:rPr>
        <w:t>Изменение балансовых данных (отдельных статей активов и источников финансирования деятельности компании) за отчетный период коррелирует с показателями отчета о прибылях и убытках, что позволяет рассчитать эффект от изменения объема и рентабельности текущих операций на финансовое состояние и величину ресурсного потенциала фирмы.</w:t>
      </w:r>
    </w:p>
    <w:p w:rsidR="009F2AA5" w:rsidRPr="00F92763" w:rsidRDefault="009F2AA5" w:rsidP="009F2AA5">
      <w:pPr>
        <w:spacing w:line="360" w:lineRule="auto"/>
        <w:ind w:firstLine="709"/>
        <w:jc w:val="both"/>
        <w:rPr>
          <w:rFonts w:ascii="Times New Roman" w:hAnsi="Times New Roman" w:cs="Times New Roman"/>
          <w:sz w:val="20"/>
          <w:szCs w:val="20"/>
        </w:rPr>
      </w:pPr>
      <w:r w:rsidRPr="00F92763">
        <w:rPr>
          <w:rFonts w:ascii="Times New Roman" w:hAnsi="Times New Roman" w:cs="Times New Roman"/>
          <w:sz w:val="28"/>
        </w:rPr>
        <w:t xml:space="preserve">Активы СК Царица возросли на 79% и достигли </w:t>
      </w:r>
      <w:r w:rsidRPr="00F92763">
        <w:rPr>
          <w:rFonts w:ascii="Times New Roman" w:hAnsi="Times New Roman" w:cs="Times New Roman"/>
          <w:sz w:val="28"/>
          <w:szCs w:val="28"/>
        </w:rPr>
        <w:t>2126220 тыс. рублей.</w:t>
      </w:r>
    </w:p>
    <w:p w:rsidR="009F2AA5" w:rsidRPr="00F92763" w:rsidRDefault="009F2AA5" w:rsidP="009F2AA5">
      <w:pPr>
        <w:spacing w:line="360" w:lineRule="auto"/>
        <w:jc w:val="center"/>
        <w:rPr>
          <w:rFonts w:ascii="Times New Roman" w:hAnsi="Times New Roman" w:cs="Times New Roman"/>
          <w:b/>
          <w:sz w:val="28"/>
        </w:rPr>
      </w:pPr>
      <w:r w:rsidRPr="00F92763">
        <w:rPr>
          <w:rFonts w:ascii="Times New Roman" w:hAnsi="Times New Roman" w:cs="Times New Roman"/>
          <w:sz w:val="28"/>
        </w:rPr>
        <w:t>Таблица 4 - Динамика основных финансовых показателей СК «Царица» (тыс.руб.)</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064"/>
        <w:gridCol w:w="1254"/>
        <w:gridCol w:w="1114"/>
        <w:gridCol w:w="1108"/>
        <w:gridCol w:w="1108"/>
        <w:gridCol w:w="1540"/>
      </w:tblGrid>
      <w:tr w:rsidR="009F2AA5" w:rsidRPr="00F92763" w:rsidTr="00B10B60">
        <w:trPr>
          <w:jc w:val="right"/>
        </w:trPr>
        <w:tc>
          <w:tcPr>
            <w:tcW w:w="2382" w:type="dxa"/>
            <w:vMerge w:val="restart"/>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Наименование показателя</w:t>
            </w:r>
          </w:p>
        </w:tc>
        <w:tc>
          <w:tcPr>
            <w:tcW w:w="7188" w:type="dxa"/>
            <w:gridSpan w:val="6"/>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Года</w:t>
            </w:r>
          </w:p>
        </w:tc>
      </w:tr>
      <w:tr w:rsidR="009F2AA5" w:rsidRPr="00F92763" w:rsidTr="00B10B60">
        <w:trPr>
          <w:jc w:val="right"/>
        </w:trPr>
        <w:tc>
          <w:tcPr>
            <w:tcW w:w="0" w:type="auto"/>
            <w:vMerge/>
            <w:vAlign w:val="center"/>
          </w:tcPr>
          <w:p w:rsidR="009F2AA5" w:rsidRPr="00F92763" w:rsidRDefault="009F2AA5" w:rsidP="00B10B60">
            <w:pPr>
              <w:rPr>
                <w:rFonts w:ascii="Times New Roman" w:hAnsi="Times New Roman" w:cs="Times New Roman"/>
              </w:rPr>
            </w:pP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2009</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2010</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2011</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2012</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2013</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01.04.2014</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Оборотные средства, тыс.руб.</w:t>
            </w:r>
          </w:p>
        </w:tc>
        <w:tc>
          <w:tcPr>
            <w:tcW w:w="1064"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63384</w:t>
            </w:r>
          </w:p>
        </w:tc>
        <w:tc>
          <w:tcPr>
            <w:tcW w:w="1254"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214894</w:t>
            </w:r>
          </w:p>
        </w:tc>
        <w:tc>
          <w:tcPr>
            <w:tcW w:w="1114"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64524</w:t>
            </w:r>
          </w:p>
        </w:tc>
        <w:tc>
          <w:tcPr>
            <w:tcW w:w="1108"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6899</w:t>
            </w:r>
          </w:p>
        </w:tc>
        <w:tc>
          <w:tcPr>
            <w:tcW w:w="1108"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6568</w:t>
            </w:r>
          </w:p>
        </w:tc>
        <w:tc>
          <w:tcPr>
            <w:tcW w:w="1540" w:type="dxa"/>
          </w:tcPr>
          <w:p w:rsidR="009F2AA5" w:rsidRPr="00F92763" w:rsidRDefault="009F2AA5" w:rsidP="00B10B60">
            <w:pPr>
              <w:jc w:val="center"/>
              <w:rPr>
                <w:rFonts w:ascii="Times New Roman" w:hAnsi="Times New Roman" w:cs="Times New Roman"/>
              </w:rPr>
            </w:pPr>
            <w:r w:rsidRPr="00F92763">
              <w:rPr>
                <w:rFonts w:ascii="Times New Roman" w:hAnsi="Times New Roman" w:cs="Times New Roman"/>
              </w:rPr>
              <w:t>4249</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Уставный капитал</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29000</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500000</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5000000</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500000</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500000</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500000</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 xml:space="preserve">Общая стоимость акций эмитента, выкупленных для </w:t>
            </w:r>
            <w:r w:rsidRPr="00F92763">
              <w:rPr>
                <w:rFonts w:ascii="Times New Roman" w:hAnsi="Times New Roman" w:cs="Times New Roman"/>
              </w:rPr>
              <w:lastRenderedPageBreak/>
              <w:t>последующей перепродажи</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lastRenderedPageBreak/>
              <w:t>---</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lastRenderedPageBreak/>
              <w:t>Резервный капитал</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247</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258</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269</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278</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290</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290</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Добавочный капитал</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7973</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7889</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5889</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3888</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2974</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2147</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Нераспределенная прибыль</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109</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476</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696</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848</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918</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1092</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Средства целевого финансирования</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w:t>
            </w:r>
          </w:p>
        </w:tc>
      </w:tr>
      <w:tr w:rsidR="009F2AA5" w:rsidRPr="00F92763" w:rsidTr="00B10B60">
        <w:trPr>
          <w:jc w:val="right"/>
        </w:trPr>
        <w:tc>
          <w:tcPr>
            <w:tcW w:w="2382" w:type="dxa"/>
          </w:tcPr>
          <w:p w:rsidR="009F2AA5" w:rsidRPr="00F92763" w:rsidRDefault="009F2AA5" w:rsidP="00B10B60">
            <w:pPr>
              <w:spacing w:line="360" w:lineRule="auto"/>
              <w:jc w:val="both"/>
              <w:rPr>
                <w:rFonts w:ascii="Times New Roman" w:hAnsi="Times New Roman" w:cs="Times New Roman"/>
              </w:rPr>
            </w:pPr>
            <w:r w:rsidRPr="00F92763">
              <w:rPr>
                <w:rFonts w:ascii="Times New Roman" w:hAnsi="Times New Roman" w:cs="Times New Roman"/>
              </w:rPr>
              <w:t>Общая сумма капитала</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37329</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508623</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506854</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505014</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504182</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503529</w:t>
            </w:r>
          </w:p>
        </w:tc>
      </w:tr>
      <w:tr w:rsidR="009F2AA5" w:rsidRPr="00F92763" w:rsidTr="00B10B60">
        <w:trPr>
          <w:jc w:val="right"/>
        </w:trPr>
        <w:tc>
          <w:tcPr>
            <w:tcW w:w="2382" w:type="dxa"/>
          </w:tcPr>
          <w:p w:rsidR="009F2AA5" w:rsidRPr="00F92763" w:rsidRDefault="009F2AA5" w:rsidP="00B10B60">
            <w:pPr>
              <w:spacing w:line="360" w:lineRule="auto"/>
              <w:rPr>
                <w:rFonts w:ascii="Times New Roman" w:hAnsi="Times New Roman" w:cs="Times New Roman"/>
              </w:rPr>
            </w:pPr>
            <w:r w:rsidRPr="00F92763">
              <w:rPr>
                <w:rFonts w:ascii="Times New Roman" w:hAnsi="Times New Roman" w:cs="Times New Roman"/>
              </w:rPr>
              <w:t>Собственные средства</w:t>
            </w:r>
          </w:p>
        </w:tc>
        <w:tc>
          <w:tcPr>
            <w:tcW w:w="106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33 731</w:t>
            </w:r>
          </w:p>
        </w:tc>
        <w:tc>
          <w:tcPr>
            <w:tcW w:w="125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503 257</w:t>
            </w:r>
          </w:p>
        </w:tc>
        <w:tc>
          <w:tcPr>
            <w:tcW w:w="1114"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497092</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496855</w:t>
            </w:r>
          </w:p>
        </w:tc>
        <w:tc>
          <w:tcPr>
            <w:tcW w:w="1108"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488519</w:t>
            </w:r>
          </w:p>
        </w:tc>
        <w:tc>
          <w:tcPr>
            <w:tcW w:w="1540" w:type="dxa"/>
          </w:tcPr>
          <w:p w:rsidR="009F2AA5" w:rsidRPr="00F92763" w:rsidRDefault="009F2AA5" w:rsidP="00B10B60">
            <w:pPr>
              <w:spacing w:line="360" w:lineRule="auto"/>
              <w:jc w:val="center"/>
              <w:rPr>
                <w:rFonts w:ascii="Times New Roman" w:hAnsi="Times New Roman" w:cs="Times New Roman"/>
              </w:rPr>
            </w:pPr>
            <w:r w:rsidRPr="00F92763">
              <w:rPr>
                <w:rFonts w:ascii="Times New Roman" w:hAnsi="Times New Roman" w:cs="Times New Roman"/>
              </w:rPr>
              <w:t>489268</w:t>
            </w:r>
          </w:p>
          <w:p w:rsidR="009F2AA5" w:rsidRPr="00F92763" w:rsidRDefault="009F2AA5" w:rsidP="00B10B60">
            <w:pPr>
              <w:spacing w:line="360" w:lineRule="auto"/>
              <w:jc w:val="center"/>
              <w:rPr>
                <w:rFonts w:ascii="Times New Roman" w:hAnsi="Times New Roman" w:cs="Times New Roman"/>
              </w:rPr>
            </w:pPr>
          </w:p>
        </w:tc>
      </w:tr>
      <w:tr w:rsidR="009F2AA5" w:rsidRPr="00F92763" w:rsidTr="00B10B60">
        <w:trPr>
          <w:jc w:val="right"/>
        </w:trPr>
        <w:tc>
          <w:tcPr>
            <w:tcW w:w="2382" w:type="dxa"/>
          </w:tcPr>
          <w:p w:rsidR="009F2AA5" w:rsidRPr="00F92763" w:rsidRDefault="009F2AA5" w:rsidP="00B10B60">
            <w:pPr>
              <w:spacing w:line="360" w:lineRule="auto"/>
              <w:rPr>
                <w:rFonts w:ascii="Times New Roman" w:hAnsi="Times New Roman" w:cs="Times New Roman"/>
              </w:rPr>
            </w:pPr>
            <w:r w:rsidRPr="00F92763">
              <w:rPr>
                <w:rFonts w:ascii="Times New Roman" w:hAnsi="Times New Roman" w:cs="Times New Roman"/>
              </w:rPr>
              <w:t>Активы</w:t>
            </w:r>
          </w:p>
        </w:tc>
        <w:tc>
          <w:tcPr>
            <w:tcW w:w="1064"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454223</w:t>
            </w:r>
          </w:p>
        </w:tc>
        <w:tc>
          <w:tcPr>
            <w:tcW w:w="1254"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928675</w:t>
            </w:r>
          </w:p>
        </w:tc>
        <w:tc>
          <w:tcPr>
            <w:tcW w:w="1114"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1175783</w:t>
            </w:r>
          </w:p>
        </w:tc>
        <w:tc>
          <w:tcPr>
            <w:tcW w:w="1108"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1520855</w:t>
            </w:r>
          </w:p>
        </w:tc>
        <w:tc>
          <w:tcPr>
            <w:tcW w:w="1108"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2335752</w:t>
            </w:r>
          </w:p>
        </w:tc>
        <w:tc>
          <w:tcPr>
            <w:tcW w:w="1540" w:type="dxa"/>
          </w:tcPr>
          <w:p w:rsidR="009F2AA5" w:rsidRPr="00F92763" w:rsidRDefault="009F2AA5" w:rsidP="00B10B60">
            <w:pPr>
              <w:pStyle w:val="21"/>
              <w:spacing w:after="0"/>
              <w:rPr>
                <w:rFonts w:ascii="Times New Roman" w:hAnsi="Times New Roman" w:cs="Times New Roman"/>
                <w:b/>
                <w:sz w:val="24"/>
                <w:szCs w:val="24"/>
              </w:rPr>
            </w:pPr>
            <w:r w:rsidRPr="00F92763">
              <w:rPr>
                <w:rFonts w:ascii="Times New Roman" w:hAnsi="Times New Roman" w:cs="Times New Roman"/>
                <w:b/>
                <w:sz w:val="24"/>
                <w:szCs w:val="24"/>
              </w:rPr>
              <w:t>2126220</w:t>
            </w:r>
          </w:p>
        </w:tc>
      </w:tr>
    </w:tbl>
    <w:p w:rsidR="009F2AA5" w:rsidRPr="00F92763" w:rsidRDefault="009F2AA5" w:rsidP="009F2AA5">
      <w:pPr>
        <w:spacing w:line="360" w:lineRule="auto"/>
        <w:jc w:val="both"/>
        <w:rPr>
          <w:rFonts w:ascii="Times New Roman" w:hAnsi="Times New Roman" w:cs="Times New Roman"/>
          <w:sz w:val="28"/>
          <w:szCs w:val="28"/>
          <w:lang w:val="en-US"/>
        </w:rPr>
      </w:pPr>
    </w:p>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Структура и размер оборотных  средств:</w:t>
      </w:r>
    </w:p>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Структура оборотных средств на 01.04.2014г. представлена следующим образом:</w:t>
      </w:r>
    </w:p>
    <w:p w:rsidR="009F2AA5" w:rsidRPr="00F92763" w:rsidRDefault="009F2AA5" w:rsidP="009F2AA5">
      <w:pPr>
        <w:numPr>
          <w:ilvl w:val="0"/>
          <w:numId w:val="3"/>
        </w:numPr>
        <w:spacing w:line="360" w:lineRule="auto"/>
        <w:ind w:left="0" w:firstLine="709"/>
        <w:jc w:val="both"/>
        <w:rPr>
          <w:rFonts w:ascii="Times New Roman" w:hAnsi="Times New Roman" w:cs="Times New Roman"/>
          <w:sz w:val="28"/>
          <w:szCs w:val="28"/>
        </w:rPr>
      </w:pPr>
      <w:r w:rsidRPr="00F92763">
        <w:rPr>
          <w:rFonts w:ascii="Times New Roman" w:hAnsi="Times New Roman" w:cs="Times New Roman"/>
          <w:sz w:val="28"/>
          <w:szCs w:val="28"/>
        </w:rPr>
        <w:t>запасы - 2894 тыс. руб.</w:t>
      </w:r>
    </w:p>
    <w:p w:rsidR="009F2AA5" w:rsidRPr="00F92763" w:rsidRDefault="009F2AA5" w:rsidP="009F2AA5">
      <w:pPr>
        <w:numPr>
          <w:ilvl w:val="0"/>
          <w:numId w:val="3"/>
        </w:numPr>
        <w:spacing w:line="360" w:lineRule="auto"/>
        <w:ind w:left="0" w:firstLine="709"/>
        <w:jc w:val="both"/>
        <w:rPr>
          <w:rFonts w:ascii="Times New Roman" w:hAnsi="Times New Roman" w:cs="Times New Roman"/>
          <w:sz w:val="28"/>
          <w:szCs w:val="28"/>
        </w:rPr>
      </w:pPr>
      <w:r w:rsidRPr="00F92763">
        <w:rPr>
          <w:rFonts w:ascii="Times New Roman" w:hAnsi="Times New Roman" w:cs="Times New Roman"/>
          <w:sz w:val="28"/>
          <w:szCs w:val="28"/>
        </w:rPr>
        <w:t>денежные средства – 1355 тыс. руб.</w:t>
      </w:r>
    </w:p>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Оборотные средства финансируются за счет собственных источников финансирования.</w:t>
      </w:r>
    </w:p>
    <w:p w:rsidR="009F2AA5" w:rsidRPr="00F92763" w:rsidRDefault="009F2AA5" w:rsidP="009F2AA5">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Балансовая стоимость основных средств по состоянию на 01.01.2014г. составила 17 940 тыс. руб. Величина начисленного износа – 5 373 тыс. руб., что на 3% превышает аналогичный показатель предыдущего года. Увеличение вложений в основные средства объясняется тем, что в 2013 году ряд филиалов Царицы переехал в новые офисы, повысилась техническая оснащенность компании, обновился автопарк Царицы. Чистые активы общества на конец 2013 года составили 504 182 тыс. руб., за отчетный период они уменьшились на 832 тыс. руб. Чистые активы общества превышают сумму его уставного капитала на 4 182 тыс. руб.</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lastRenderedPageBreak/>
        <w:t xml:space="preserve">В последние годы Страховая компания </w:t>
      </w:r>
      <w:r w:rsidR="00114800" w:rsidRPr="00F92763">
        <w:rPr>
          <w:rFonts w:ascii="Times New Roman" w:hAnsi="Times New Roman" w:cs="Times New Roman"/>
          <w:sz w:val="28"/>
        </w:rPr>
        <w:t>«</w:t>
      </w:r>
      <w:r w:rsidRPr="00F92763">
        <w:rPr>
          <w:rFonts w:ascii="Times New Roman" w:hAnsi="Times New Roman" w:cs="Times New Roman"/>
          <w:sz w:val="28"/>
        </w:rPr>
        <w:t>Царица</w:t>
      </w:r>
      <w:r w:rsidR="00114800" w:rsidRPr="00F92763">
        <w:rPr>
          <w:rFonts w:ascii="Times New Roman" w:hAnsi="Times New Roman" w:cs="Times New Roman"/>
          <w:sz w:val="28"/>
        </w:rPr>
        <w:t>»</w:t>
      </w:r>
      <w:r w:rsidRPr="00F92763">
        <w:rPr>
          <w:rFonts w:ascii="Times New Roman" w:hAnsi="Times New Roman" w:cs="Times New Roman"/>
          <w:sz w:val="28"/>
        </w:rPr>
        <w:t xml:space="preserve"> проводила большую работу по снижению уровня дебиторской задолженности, которая связана с заключением долгосрочных договоров страхования, таких, как, например, договоры страхования при ипотечном кредитовании. В отчетном периоде продолжилось сокращение доли дебиторской задолженности по договорам страхования. На 01.01.2010 года этот показатель составил 14,4%.</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Собственные средства СК «Царица» в 2013 году сократились до 488519 тыс. рублей и такая тенденция незначительного сокращения наблюдается в хронологии показателей с 2010 года. По итогам отчетного периода собственные средства на 99,1% состояли из уставного капитала, на 0,2% - из нераспределенной прибыли, на 0,1% - из резервных фондов, образованных в соответствии с законодательством, и на 0,6% - из добавочного капитала.</w:t>
      </w:r>
    </w:p>
    <w:p w:rsidR="009F2AA5" w:rsidRPr="00F92763" w:rsidRDefault="009F2AA5" w:rsidP="009F2AA5">
      <w:pPr>
        <w:shd w:val="clear" w:color="auto" w:fill="FFFFFF"/>
        <w:spacing w:line="360" w:lineRule="auto"/>
        <w:ind w:firstLine="709"/>
        <w:jc w:val="both"/>
        <w:rPr>
          <w:rFonts w:ascii="Times New Roman" w:hAnsi="Times New Roman" w:cs="Times New Roman"/>
          <w:sz w:val="28"/>
        </w:rPr>
      </w:pPr>
      <w:r w:rsidRPr="00F92763">
        <w:rPr>
          <w:rFonts w:ascii="Times New Roman" w:hAnsi="Times New Roman" w:cs="Times New Roman"/>
          <w:sz w:val="28"/>
        </w:rPr>
        <w:t>Шестикратный рост объема собственных средств компании в 2010 году произошел за счет увеличения уставного капитала Царицы: с 29000 до 500000 тыс. рублей. Рост уставного капитала компании свидетельствует о динамичном развитии и является условием дальнейшего увеличения объемов деятельности компании. Не смотря на незначительное сокращение собственных средств, по величине уставного капитала Страховая компания Царица сегодня продолжает занимать прочные позиции среди средних показателей  отечественного страхового рынка. По итогам 2013 года Царица  входит в число наиболее рентабельных страховых компаний по южному федеральному округу.</w:t>
      </w:r>
    </w:p>
    <w:p w:rsidR="009F2AA5" w:rsidRPr="00F92763" w:rsidRDefault="009F2AA5" w:rsidP="009F2AA5">
      <w:pPr>
        <w:spacing w:line="360" w:lineRule="auto"/>
        <w:jc w:val="center"/>
        <w:rPr>
          <w:rFonts w:ascii="Times New Roman" w:hAnsi="Times New Roman" w:cs="Times New Roman"/>
          <w:color w:val="auto"/>
          <w:sz w:val="28"/>
          <w:szCs w:val="28"/>
        </w:rPr>
      </w:pPr>
    </w:p>
    <w:p w:rsidR="00FE38DF" w:rsidRPr="00F92763" w:rsidRDefault="00FE38DF" w:rsidP="00FE38DF">
      <w:pPr>
        <w:pStyle w:val="1"/>
        <w:spacing w:before="0" w:line="360" w:lineRule="auto"/>
        <w:jc w:val="center"/>
        <w:rPr>
          <w:rFonts w:ascii="Times New Roman" w:hAnsi="Times New Roman" w:cs="Times New Roman"/>
          <w:color w:val="auto"/>
        </w:rPr>
      </w:pPr>
      <w:bookmarkStart w:id="11" w:name="_Toc398627626"/>
      <w:r w:rsidRPr="00F92763">
        <w:rPr>
          <w:rFonts w:ascii="Times New Roman" w:hAnsi="Times New Roman" w:cs="Times New Roman"/>
          <w:color w:val="auto"/>
        </w:rPr>
        <w:t>2.2. Специфика налогообложения</w:t>
      </w:r>
      <w:bookmarkEnd w:id="11"/>
    </w:p>
    <w:p w:rsidR="00FE38DF" w:rsidRPr="00F92763" w:rsidRDefault="00FE38DF" w:rsidP="00114800">
      <w:pPr>
        <w:spacing w:line="360" w:lineRule="auto"/>
        <w:ind w:firstLine="709"/>
        <w:jc w:val="center"/>
        <w:rPr>
          <w:rFonts w:ascii="Times New Roman" w:hAnsi="Times New Roman" w:cs="Times New Roman"/>
          <w:color w:val="auto"/>
          <w:sz w:val="28"/>
          <w:szCs w:val="28"/>
        </w:rPr>
      </w:pP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Доходы, которые </w:t>
      </w:r>
      <w:r w:rsidR="00114800" w:rsidRPr="00F92763">
        <w:rPr>
          <w:rFonts w:ascii="Times New Roman" w:hAnsi="Times New Roman" w:cs="Times New Roman"/>
          <w:sz w:val="28"/>
        </w:rPr>
        <w:t xml:space="preserve">СК «Царица» </w:t>
      </w:r>
      <w:r w:rsidRPr="00F92763">
        <w:rPr>
          <w:rStyle w:val="afe"/>
          <w:rFonts w:ascii="Times New Roman" w:hAnsi="Times New Roman"/>
          <w:b w:val="0"/>
          <w:color w:val="000000" w:themeColor="text1"/>
          <w:sz w:val="28"/>
          <w:szCs w:val="28"/>
        </w:rPr>
        <w:t>отража</w:t>
      </w:r>
      <w:r w:rsidR="00114800" w:rsidRPr="00F92763">
        <w:rPr>
          <w:rStyle w:val="afe"/>
          <w:rFonts w:ascii="Times New Roman" w:hAnsi="Times New Roman"/>
          <w:b w:val="0"/>
          <w:color w:val="000000" w:themeColor="text1"/>
          <w:sz w:val="28"/>
          <w:szCs w:val="28"/>
        </w:rPr>
        <w:t>е</w:t>
      </w:r>
      <w:r w:rsidRPr="00F92763">
        <w:rPr>
          <w:rStyle w:val="afe"/>
          <w:rFonts w:ascii="Times New Roman" w:hAnsi="Times New Roman"/>
          <w:b w:val="0"/>
          <w:color w:val="000000" w:themeColor="text1"/>
          <w:sz w:val="28"/>
          <w:szCs w:val="28"/>
        </w:rPr>
        <w:t xml:space="preserve">т в налоговом учете, условно можно разделить на две группы. Первая группа — доходы, связанные с производством и реализацией (ст. 249 НК РФ), и вне реализационные доходы (ст. 250 НК РФ). Такие доходы отражаются в общеустановленном порядке. </w:t>
      </w:r>
      <w:r w:rsidRPr="00F92763">
        <w:rPr>
          <w:rStyle w:val="afe"/>
          <w:rFonts w:ascii="Times New Roman" w:hAnsi="Times New Roman"/>
          <w:b w:val="0"/>
          <w:color w:val="000000" w:themeColor="text1"/>
          <w:sz w:val="28"/>
          <w:szCs w:val="28"/>
        </w:rPr>
        <w:lastRenderedPageBreak/>
        <w:t>Вторая группа — доходы от страховой деятельности, упомянутые в статье 293 Налогового кодекса, которые учитываются в особом порядке.</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К ним, в частности, относятся:</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страховые премии (взносы) по договорам страхования;</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вознаграждения за оказание услуг страхового агента, брокера;</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вознаграждения, полученные страховщиком за осмотр принимаемого в страхование имущества и выдачу заключений об оценке страхового риска, а также за определение причин, характера и размеров убытков при страховом событии.</w:t>
      </w:r>
    </w:p>
    <w:p w:rsidR="00B10B60" w:rsidRPr="00F92763" w:rsidRDefault="00850277"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По </w:t>
      </w:r>
      <w:r w:rsidR="00B10B60" w:rsidRPr="00F92763">
        <w:rPr>
          <w:rStyle w:val="afe"/>
          <w:rFonts w:ascii="Times New Roman" w:hAnsi="Times New Roman"/>
          <w:b w:val="0"/>
          <w:color w:val="000000" w:themeColor="text1"/>
          <w:sz w:val="28"/>
          <w:szCs w:val="28"/>
        </w:rPr>
        <w:t>метод</w:t>
      </w:r>
      <w:r w:rsidRPr="00F92763">
        <w:rPr>
          <w:rStyle w:val="afe"/>
          <w:rFonts w:ascii="Times New Roman" w:hAnsi="Times New Roman"/>
          <w:b w:val="0"/>
          <w:color w:val="000000" w:themeColor="text1"/>
          <w:sz w:val="28"/>
          <w:szCs w:val="28"/>
        </w:rPr>
        <w:t>у</w:t>
      </w:r>
      <w:r w:rsidR="00B10B60" w:rsidRPr="00F92763">
        <w:rPr>
          <w:rStyle w:val="afe"/>
          <w:rFonts w:ascii="Times New Roman" w:hAnsi="Times New Roman"/>
          <w:b w:val="0"/>
          <w:color w:val="000000" w:themeColor="text1"/>
          <w:sz w:val="28"/>
          <w:szCs w:val="28"/>
        </w:rPr>
        <w:t xml:space="preserve"> начисления расходы в виде страховых выплат по договору учитываются на дату возникновения у </w:t>
      </w:r>
      <w:r w:rsidR="00114800" w:rsidRPr="00F92763">
        <w:rPr>
          <w:rFonts w:ascii="Times New Roman" w:hAnsi="Times New Roman" w:cs="Times New Roman"/>
          <w:sz w:val="28"/>
        </w:rPr>
        <w:t xml:space="preserve">СК «Царица» </w:t>
      </w:r>
      <w:r w:rsidR="00B10B60" w:rsidRPr="00F92763">
        <w:rPr>
          <w:rStyle w:val="afe"/>
          <w:rFonts w:ascii="Times New Roman" w:hAnsi="Times New Roman"/>
          <w:b w:val="0"/>
          <w:color w:val="000000" w:themeColor="text1"/>
          <w:sz w:val="28"/>
          <w:szCs w:val="28"/>
        </w:rPr>
        <w:t>обязательства по выплате страхового возмещения в пользу страхователя (выгода приобретателя) по фактически наступившему страховому случаю (ст. 330 НК РФ). Размер сумм страховых выплат определяется в соответствии с Законом РФ от 27.11.92 № 4015-1 «Об организации страхово</w:t>
      </w:r>
      <w:r w:rsidR="00114800" w:rsidRPr="00F92763">
        <w:rPr>
          <w:rStyle w:val="afe"/>
          <w:rFonts w:ascii="Times New Roman" w:hAnsi="Times New Roman"/>
          <w:b w:val="0"/>
          <w:color w:val="000000" w:themeColor="text1"/>
          <w:sz w:val="28"/>
          <w:szCs w:val="28"/>
        </w:rPr>
        <w:t>го дела в Российской Федерации»</w:t>
      </w:r>
      <w:r w:rsidR="00B10B60" w:rsidRPr="00F92763">
        <w:rPr>
          <w:rStyle w:val="afe"/>
          <w:rFonts w:ascii="Times New Roman" w:hAnsi="Times New Roman"/>
          <w:b w:val="0"/>
          <w:color w:val="000000" w:themeColor="text1"/>
          <w:sz w:val="28"/>
          <w:szCs w:val="28"/>
        </w:rPr>
        <w:t>. Расходы, связанные с оказанием услуг страхового агента, эксперта, аварийного комиссара и т. п., признаются на дату подписания акта приемки-передачи услуг. Это следует из пункта 2 статьи 272 НК РФ.</w:t>
      </w:r>
    </w:p>
    <w:p w:rsidR="00B10B60" w:rsidRPr="00F92763" w:rsidRDefault="00114800" w:rsidP="00114800">
      <w:pPr>
        <w:spacing w:line="360" w:lineRule="auto"/>
        <w:ind w:firstLine="709"/>
        <w:jc w:val="both"/>
        <w:rPr>
          <w:rStyle w:val="afe"/>
          <w:rFonts w:ascii="Times New Roman" w:hAnsi="Times New Roman"/>
          <w:b w:val="0"/>
          <w:color w:val="000000" w:themeColor="text1"/>
          <w:sz w:val="28"/>
          <w:szCs w:val="28"/>
        </w:rPr>
      </w:pPr>
      <w:r w:rsidRPr="00F92763">
        <w:rPr>
          <w:rFonts w:ascii="Times New Roman" w:hAnsi="Times New Roman" w:cs="Times New Roman"/>
          <w:sz w:val="28"/>
        </w:rPr>
        <w:t xml:space="preserve">СК «Царица» </w:t>
      </w:r>
      <w:r w:rsidR="00B10B60" w:rsidRPr="00F92763">
        <w:rPr>
          <w:rStyle w:val="afe"/>
          <w:rFonts w:ascii="Times New Roman" w:hAnsi="Times New Roman"/>
          <w:b w:val="0"/>
          <w:color w:val="000000" w:themeColor="text1"/>
          <w:sz w:val="28"/>
          <w:szCs w:val="28"/>
        </w:rPr>
        <w:t>обязан</w:t>
      </w:r>
      <w:r w:rsidRPr="00F92763">
        <w:rPr>
          <w:rStyle w:val="afe"/>
          <w:rFonts w:ascii="Times New Roman" w:hAnsi="Times New Roman"/>
          <w:b w:val="0"/>
          <w:color w:val="000000" w:themeColor="text1"/>
          <w:sz w:val="28"/>
          <w:szCs w:val="28"/>
        </w:rPr>
        <w:t>а</w:t>
      </w:r>
      <w:r w:rsidR="00B10B60" w:rsidRPr="00F92763">
        <w:rPr>
          <w:rStyle w:val="afe"/>
          <w:rFonts w:ascii="Times New Roman" w:hAnsi="Times New Roman"/>
          <w:b w:val="0"/>
          <w:color w:val="000000" w:themeColor="text1"/>
          <w:sz w:val="28"/>
          <w:szCs w:val="28"/>
        </w:rPr>
        <w:t xml:space="preserve"> формировать страховые резервы для выполнения своих обязательств перед страхователями, как того требует пункт 26 Закона № 4015-1. Суммы отчислений в такие резервы относятся к вне реализационным расходам по страховой деятельности (подп. 1 п. 2 ст. 294 НК РФ).</w:t>
      </w:r>
    </w:p>
    <w:p w:rsidR="00010118" w:rsidRPr="00F92763" w:rsidRDefault="00010118" w:rsidP="00010118">
      <w:pPr>
        <w:spacing w:line="360" w:lineRule="auto"/>
        <w:ind w:firstLine="720"/>
        <w:jc w:val="both"/>
        <w:rPr>
          <w:rFonts w:ascii="Times New Roman" w:hAnsi="Times New Roman" w:cs="Times New Roman"/>
          <w:sz w:val="28"/>
          <w:szCs w:val="28"/>
        </w:rPr>
      </w:pPr>
      <w:r w:rsidRPr="00F92763">
        <w:rPr>
          <w:rFonts w:ascii="Times New Roman" w:hAnsi="Times New Roman" w:cs="Times New Roman"/>
          <w:sz w:val="28"/>
          <w:szCs w:val="28"/>
        </w:rPr>
        <w:t xml:space="preserve">Свою основную функцию – выполнение обязательств по страховым выплатам – страховая компания реализует в первую очередь за счет сформированных страховых резервов. Страховые резервы компании построены с учетом специфики рисков, покрываемых отдельными видами страхования, заключаемых договоров страхования, а также особенностей страховых обязательств. Для покрытия трудноизмеримых рисков помимо </w:t>
      </w:r>
      <w:r w:rsidRPr="00F92763">
        <w:rPr>
          <w:rFonts w:ascii="Times New Roman" w:hAnsi="Times New Roman" w:cs="Times New Roman"/>
          <w:sz w:val="28"/>
          <w:szCs w:val="28"/>
        </w:rPr>
        <w:lastRenderedPageBreak/>
        <w:t xml:space="preserve">резерва незаработанной премии и резервов убытков страховой компанией на 31.12.2013 г. был сформирован стабилизационный резерв. </w:t>
      </w:r>
    </w:p>
    <w:p w:rsidR="00010118" w:rsidRPr="00F92763" w:rsidRDefault="00010118" w:rsidP="00010118">
      <w:pPr>
        <w:spacing w:line="360" w:lineRule="auto"/>
        <w:ind w:firstLine="720"/>
        <w:jc w:val="both"/>
        <w:rPr>
          <w:rFonts w:ascii="Times New Roman" w:hAnsi="Times New Roman" w:cs="Times New Roman"/>
          <w:sz w:val="28"/>
        </w:rPr>
      </w:pPr>
      <w:r w:rsidRPr="00F92763">
        <w:rPr>
          <w:rFonts w:ascii="Times New Roman" w:hAnsi="Times New Roman" w:cs="Times New Roman"/>
          <w:sz w:val="28"/>
        </w:rPr>
        <w:t xml:space="preserve">Страховые резервы СК «Царица» по сравнению с 2011 годом возросли на 39% и на 01.01.2014 года составили </w:t>
      </w:r>
      <w:r w:rsidRPr="00F92763">
        <w:rPr>
          <w:rFonts w:ascii="Times New Roman" w:hAnsi="Times New Roman" w:cs="Times New Roman"/>
          <w:sz w:val="28"/>
          <w:szCs w:val="28"/>
        </w:rPr>
        <w:t>1 824 877 тыс. рублей</w:t>
      </w:r>
      <w:r w:rsidRPr="00F92763">
        <w:rPr>
          <w:rFonts w:ascii="Times New Roman" w:hAnsi="Times New Roman" w:cs="Times New Roman"/>
          <w:sz w:val="28"/>
        </w:rPr>
        <w:t xml:space="preserve">. Сформированные страховые резервы позволяют Царице оперативно отвечать по своим обязательствам в условиях постоянного увеличения объема страховых операций и расширения клиентской базы компании. </w:t>
      </w:r>
    </w:p>
    <w:p w:rsidR="00010118" w:rsidRPr="00F92763" w:rsidRDefault="00010118" w:rsidP="00010118">
      <w:pPr>
        <w:spacing w:line="360" w:lineRule="auto"/>
        <w:ind w:firstLine="720"/>
        <w:jc w:val="center"/>
        <w:rPr>
          <w:rFonts w:ascii="Times New Roman" w:hAnsi="Times New Roman" w:cs="Times New Roman"/>
          <w:b/>
          <w:sz w:val="28"/>
          <w:szCs w:val="28"/>
        </w:rPr>
      </w:pPr>
      <w:r w:rsidRPr="00F92763">
        <w:rPr>
          <w:rFonts w:ascii="Times New Roman" w:hAnsi="Times New Roman" w:cs="Times New Roman"/>
          <w:sz w:val="28"/>
        </w:rPr>
        <w:t>Таблица 5 - Страховые резервы Царицы в 2013 году (тыс.руб.)</w:t>
      </w:r>
    </w:p>
    <w:tbl>
      <w:tblPr>
        <w:tblpPr w:leftFromText="180" w:rightFromText="180" w:vertAnchor="text" w:horzAnchor="margin" w:tblpXSpec="right"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2976"/>
        <w:gridCol w:w="2736"/>
      </w:tblGrid>
      <w:tr w:rsidR="00010118" w:rsidRPr="00F92763" w:rsidTr="00E16257">
        <w:tc>
          <w:tcPr>
            <w:tcW w:w="3828"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Вид резерва</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Размер резервов по состоянию на 01.01.2013г</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Размер резервов по состоянию на 01.01.2014г</w:t>
            </w:r>
          </w:p>
        </w:tc>
      </w:tr>
      <w:tr w:rsidR="00010118" w:rsidRPr="00F92763" w:rsidTr="00E16257">
        <w:tc>
          <w:tcPr>
            <w:tcW w:w="3828" w:type="dxa"/>
          </w:tcPr>
          <w:p w:rsidR="00010118" w:rsidRPr="00F92763" w:rsidRDefault="00010118" w:rsidP="00E16257">
            <w:pPr>
              <w:rPr>
                <w:rFonts w:ascii="Times New Roman" w:hAnsi="Times New Roman" w:cs="Times New Roman"/>
              </w:rPr>
            </w:pPr>
            <w:r w:rsidRPr="00F92763">
              <w:rPr>
                <w:rFonts w:ascii="Times New Roman" w:hAnsi="Times New Roman" w:cs="Times New Roman"/>
              </w:rPr>
              <w:t xml:space="preserve">Резерв незаработанной премии </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285 596</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538 716</w:t>
            </w:r>
          </w:p>
        </w:tc>
      </w:tr>
      <w:tr w:rsidR="00010118" w:rsidRPr="00F92763" w:rsidTr="00E16257">
        <w:tc>
          <w:tcPr>
            <w:tcW w:w="3828" w:type="dxa"/>
          </w:tcPr>
          <w:p w:rsidR="00010118" w:rsidRPr="00F92763" w:rsidRDefault="00010118" w:rsidP="00E16257">
            <w:pPr>
              <w:rPr>
                <w:rFonts w:ascii="Times New Roman" w:hAnsi="Times New Roman" w:cs="Times New Roman"/>
              </w:rPr>
            </w:pPr>
            <w:r w:rsidRPr="00F92763">
              <w:rPr>
                <w:rFonts w:ascii="Times New Roman" w:hAnsi="Times New Roman" w:cs="Times New Roman"/>
              </w:rPr>
              <w:t xml:space="preserve">Резерв произошедших, но не заявленных убытков </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4283</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373 779</w:t>
            </w:r>
          </w:p>
        </w:tc>
      </w:tr>
      <w:tr w:rsidR="00010118" w:rsidRPr="00F92763" w:rsidTr="00E16257">
        <w:tc>
          <w:tcPr>
            <w:tcW w:w="3828" w:type="dxa"/>
          </w:tcPr>
          <w:p w:rsidR="00010118" w:rsidRPr="00F92763" w:rsidRDefault="00010118" w:rsidP="00E16257">
            <w:pPr>
              <w:rPr>
                <w:rFonts w:ascii="Times New Roman" w:hAnsi="Times New Roman" w:cs="Times New Roman"/>
              </w:rPr>
            </w:pPr>
            <w:r w:rsidRPr="00F92763">
              <w:rPr>
                <w:rFonts w:ascii="Times New Roman" w:hAnsi="Times New Roman" w:cs="Times New Roman"/>
              </w:rPr>
              <w:t>Резерв заявленных, но неурегулированных убытков</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821731</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851 861</w:t>
            </w:r>
          </w:p>
        </w:tc>
      </w:tr>
      <w:tr w:rsidR="00010118" w:rsidRPr="00F92763" w:rsidTr="00E16257">
        <w:tc>
          <w:tcPr>
            <w:tcW w:w="3828" w:type="dxa"/>
          </w:tcPr>
          <w:p w:rsidR="00010118" w:rsidRPr="00F92763" w:rsidRDefault="00010118" w:rsidP="00E16257">
            <w:pPr>
              <w:rPr>
                <w:rFonts w:ascii="Times New Roman" w:hAnsi="Times New Roman" w:cs="Times New Roman"/>
              </w:rPr>
            </w:pPr>
            <w:r w:rsidRPr="00F92763">
              <w:rPr>
                <w:rFonts w:ascii="Times New Roman" w:hAnsi="Times New Roman" w:cs="Times New Roman"/>
              </w:rPr>
              <w:t xml:space="preserve">Стабилизационный резерв </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644</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60 521</w:t>
            </w:r>
          </w:p>
        </w:tc>
      </w:tr>
      <w:tr w:rsidR="00010118" w:rsidRPr="00F92763" w:rsidTr="00E16257">
        <w:tc>
          <w:tcPr>
            <w:tcW w:w="3828" w:type="dxa"/>
          </w:tcPr>
          <w:p w:rsidR="00010118" w:rsidRPr="00F92763" w:rsidRDefault="00010118" w:rsidP="00E16257">
            <w:pPr>
              <w:rPr>
                <w:rFonts w:ascii="Times New Roman" w:hAnsi="Times New Roman" w:cs="Times New Roman"/>
              </w:rPr>
            </w:pPr>
            <w:r w:rsidRPr="00F92763">
              <w:rPr>
                <w:rFonts w:ascii="Times New Roman" w:hAnsi="Times New Roman" w:cs="Times New Roman"/>
              </w:rPr>
              <w:t>Итого:</w:t>
            </w:r>
          </w:p>
        </w:tc>
        <w:tc>
          <w:tcPr>
            <w:tcW w:w="297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1 112 254</w:t>
            </w:r>
          </w:p>
        </w:tc>
        <w:tc>
          <w:tcPr>
            <w:tcW w:w="2736" w:type="dxa"/>
          </w:tcPr>
          <w:p w:rsidR="00010118" w:rsidRPr="00F92763" w:rsidRDefault="00010118" w:rsidP="00E16257">
            <w:pPr>
              <w:jc w:val="center"/>
              <w:rPr>
                <w:rFonts w:ascii="Times New Roman" w:hAnsi="Times New Roman" w:cs="Times New Roman"/>
              </w:rPr>
            </w:pPr>
            <w:r w:rsidRPr="00F92763">
              <w:rPr>
                <w:rFonts w:ascii="Times New Roman" w:hAnsi="Times New Roman" w:cs="Times New Roman"/>
              </w:rPr>
              <w:t>1 824 877</w:t>
            </w:r>
          </w:p>
        </w:tc>
      </w:tr>
    </w:tbl>
    <w:p w:rsidR="00010118" w:rsidRPr="00F92763" w:rsidRDefault="00010118" w:rsidP="00010118">
      <w:pPr>
        <w:shd w:val="clear" w:color="auto" w:fill="FFFFFF"/>
        <w:spacing w:line="360" w:lineRule="auto"/>
        <w:ind w:firstLine="709"/>
        <w:jc w:val="both"/>
        <w:rPr>
          <w:rFonts w:ascii="Times New Roman" w:hAnsi="Times New Roman" w:cs="Times New Roman"/>
          <w:sz w:val="28"/>
        </w:rPr>
      </w:pPr>
    </w:p>
    <w:p w:rsidR="00B10B60" w:rsidRPr="00F92763" w:rsidRDefault="00010118"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Резервы </w:t>
      </w:r>
      <w:r w:rsidR="00B10B60" w:rsidRPr="00F92763">
        <w:rPr>
          <w:rStyle w:val="afe"/>
          <w:rFonts w:ascii="Times New Roman" w:hAnsi="Times New Roman"/>
          <w:b w:val="0"/>
          <w:color w:val="000000" w:themeColor="text1"/>
          <w:sz w:val="28"/>
          <w:szCs w:val="28"/>
        </w:rPr>
        <w:t>по страхованию иному, чем страхование жизни, формируются по Правилам формирования страховых резервов, утвержденным приказом Минфина России от 11.06.2002 № 51н. Согласно пункту 11 Правил страховщик при составлении бухгалтерской отчетности рассчитывает страховые резервы на конец отчетного периода. Резерв незаработанной премии в данной ситуации принимается равным величине начисленной страховой премии по договору (п. 17 Правил). На ту же дату суммы отчислений в страховые резервы учитываются и для целей налогового учета (п. 7 ст. 272 НК РФ). Конечно, при условии, что на эту дату по данному договору у страховщика возникла ответственность перед страхователем.</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Логика рассуждений такова. К доходам страховой организации в целях налогообложения прибыли относятся доходы в виде страховых премий по договору страхования (подп. 1 п. 2 ст. 293 НК РФ). Эти доходы признаются </w:t>
      </w:r>
      <w:r w:rsidRPr="00F92763">
        <w:rPr>
          <w:rStyle w:val="afe"/>
          <w:rFonts w:ascii="Times New Roman" w:hAnsi="Times New Roman"/>
          <w:b w:val="0"/>
          <w:color w:val="000000" w:themeColor="text1"/>
          <w:sz w:val="28"/>
          <w:szCs w:val="28"/>
        </w:rPr>
        <w:lastRenderedPageBreak/>
        <w:t>на дату возникновения ответственности страховщика перед страхователем по заключенному договору (ст. 330 НК РФ).</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При определении налоговой базы налогоплательщики, использующие метод начисления, не учитывают доходы в виде имущества, имущественных прав, работ или услуг, которые получены от других лиц в порядке предварительной оплаты товаров (работ, услуг). Об этом сказано в подпункте 1 пункта 1 статьи 251 НК РФ.</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Таким образом, отраженные в бухгалтерском учете страховые взносы по договору, в котором предусмотрено, что ответственность у страховщика наступает позднее даты начисления страховой премии (взносов), будут признаны доходом для целей налогообложения в том отчетном (налоговом) периоде, в котором эта ответственность возникнет. Соответственно тогда же будут признаны расходами для целей налогообложения прибыли и отчисления в страховые резервы по данному договору. Поясним сказанное на примере страховой организации, которая формирует резерв незаработанных премий.</w:t>
      </w:r>
    </w:p>
    <w:p w:rsidR="00B10B60" w:rsidRPr="00F92763" w:rsidRDefault="00010118"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К примеру, между </w:t>
      </w:r>
      <w:r w:rsidRPr="00F92763">
        <w:rPr>
          <w:rFonts w:ascii="Times New Roman" w:hAnsi="Times New Roman" w:cs="Times New Roman"/>
          <w:sz w:val="28"/>
        </w:rPr>
        <w:t xml:space="preserve">СК «Царица» </w:t>
      </w:r>
      <w:r w:rsidR="00B10B60" w:rsidRPr="00F92763">
        <w:rPr>
          <w:rStyle w:val="afe"/>
          <w:rFonts w:ascii="Times New Roman" w:hAnsi="Times New Roman"/>
          <w:b w:val="0"/>
          <w:color w:val="000000" w:themeColor="text1"/>
          <w:sz w:val="28"/>
          <w:szCs w:val="28"/>
        </w:rPr>
        <w:t>и страхователем заключен договор страхования имущества. В договоре определена сумма страховой премии — 50 000 руб. и дата ее начисления — 26 сентября 20</w:t>
      </w:r>
      <w:r w:rsidRPr="00F92763">
        <w:rPr>
          <w:rStyle w:val="afe"/>
          <w:rFonts w:ascii="Times New Roman" w:hAnsi="Times New Roman"/>
          <w:b w:val="0"/>
          <w:color w:val="000000" w:themeColor="text1"/>
          <w:sz w:val="28"/>
          <w:szCs w:val="28"/>
        </w:rPr>
        <w:t>13</w:t>
      </w:r>
      <w:r w:rsidR="00B10B60" w:rsidRPr="00F92763">
        <w:rPr>
          <w:rStyle w:val="afe"/>
          <w:rFonts w:ascii="Times New Roman" w:hAnsi="Times New Roman"/>
          <w:b w:val="0"/>
          <w:color w:val="000000" w:themeColor="text1"/>
          <w:sz w:val="28"/>
          <w:szCs w:val="28"/>
        </w:rPr>
        <w:t xml:space="preserve"> года. Датой вступления договора в силу (датой начала страхования) считается 15 октября 20</w:t>
      </w:r>
      <w:r w:rsidRPr="00F92763">
        <w:rPr>
          <w:rStyle w:val="afe"/>
          <w:rFonts w:ascii="Times New Roman" w:hAnsi="Times New Roman"/>
          <w:b w:val="0"/>
          <w:color w:val="000000" w:themeColor="text1"/>
          <w:sz w:val="28"/>
          <w:szCs w:val="28"/>
        </w:rPr>
        <w:t>13</w:t>
      </w:r>
      <w:r w:rsidR="00B10B60" w:rsidRPr="00F92763">
        <w:rPr>
          <w:rStyle w:val="afe"/>
          <w:rFonts w:ascii="Times New Roman" w:hAnsi="Times New Roman"/>
          <w:b w:val="0"/>
          <w:color w:val="000000" w:themeColor="text1"/>
          <w:sz w:val="28"/>
          <w:szCs w:val="28"/>
        </w:rPr>
        <w:t xml:space="preserve"> года. В соответствии с пунктом 11 Правил страховщик рассчитал резерв незаработанной премии на конец отчетного периода — 30 сентября 20</w:t>
      </w:r>
      <w:r w:rsidRPr="00F92763">
        <w:rPr>
          <w:rStyle w:val="afe"/>
          <w:rFonts w:ascii="Times New Roman" w:hAnsi="Times New Roman"/>
          <w:b w:val="0"/>
          <w:color w:val="000000" w:themeColor="text1"/>
          <w:sz w:val="28"/>
          <w:szCs w:val="28"/>
        </w:rPr>
        <w:t>13</w:t>
      </w:r>
      <w:r w:rsidR="00B10B60" w:rsidRPr="00F92763">
        <w:rPr>
          <w:rStyle w:val="afe"/>
          <w:rFonts w:ascii="Times New Roman" w:hAnsi="Times New Roman"/>
          <w:b w:val="0"/>
          <w:color w:val="000000" w:themeColor="text1"/>
          <w:sz w:val="28"/>
          <w:szCs w:val="28"/>
        </w:rPr>
        <w:t xml:space="preserve"> года. В резерв включено 50 000 руб. Эта сумма отражена в бухгалтерской отчетности организации за 9 месяцев.</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В данном случае ни доход в виде страховой премии (50 000 руб.), ни расход в виде отчислений в резерв (50 000 руб.) не признаются в налоговом учете страховщика за 9 месяцев 20</w:t>
      </w:r>
      <w:r w:rsidR="00010118" w:rsidRPr="00F92763">
        <w:rPr>
          <w:rStyle w:val="afe"/>
          <w:rFonts w:ascii="Times New Roman" w:hAnsi="Times New Roman"/>
          <w:b w:val="0"/>
          <w:color w:val="000000" w:themeColor="text1"/>
          <w:sz w:val="28"/>
          <w:szCs w:val="28"/>
        </w:rPr>
        <w:t>13</w:t>
      </w:r>
      <w:r w:rsidRPr="00F92763">
        <w:rPr>
          <w:rStyle w:val="afe"/>
          <w:rFonts w:ascii="Times New Roman" w:hAnsi="Times New Roman"/>
          <w:b w:val="0"/>
          <w:color w:val="000000" w:themeColor="text1"/>
          <w:sz w:val="28"/>
          <w:szCs w:val="28"/>
        </w:rPr>
        <w:t xml:space="preserve"> года. Учесть эти суммы страховщик сможет только с 15 октября 20</w:t>
      </w:r>
      <w:r w:rsidR="00010118" w:rsidRPr="00F92763">
        <w:rPr>
          <w:rStyle w:val="afe"/>
          <w:rFonts w:ascii="Times New Roman" w:hAnsi="Times New Roman"/>
          <w:b w:val="0"/>
          <w:color w:val="000000" w:themeColor="text1"/>
          <w:sz w:val="28"/>
          <w:szCs w:val="28"/>
        </w:rPr>
        <w:t>13</w:t>
      </w:r>
      <w:r w:rsidRPr="00F92763">
        <w:rPr>
          <w:rStyle w:val="afe"/>
          <w:rFonts w:ascii="Times New Roman" w:hAnsi="Times New Roman"/>
          <w:b w:val="0"/>
          <w:color w:val="000000" w:themeColor="text1"/>
          <w:sz w:val="28"/>
          <w:szCs w:val="28"/>
        </w:rPr>
        <w:t xml:space="preserve"> года — даты, когда у него возникнет ответственность перед страхователем.</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lastRenderedPageBreak/>
        <w:t>Страховые организации могут формировать фонд предупредительных мероприятий в целях финансирования мероприятий по предупреждению наступления страховых случаев. Основание — статья 26 Закона № 4015-1. При этом необходимо помнить, что формирование такого резерва не связано с выполнением страховщиком страховых обязательств. Поэтому с 2002 года на суммы отчислений в данный резерв не распространяются особенности определения расходов страховых организаций для целей налогообложения прибыли, установленные статьей 294 НК РФ.</w:t>
      </w:r>
    </w:p>
    <w:p w:rsidR="00B10B60" w:rsidRPr="00F92763" w:rsidRDefault="00B10B60" w:rsidP="00114800">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Но имеется ряд особенностей по некоторым видам страхования. Пунктом 6 Указа Президента РФ от 07.07.92 № 750 «Об обязательном личном страховании пассажиров» расходы по финансированию мероприятий по предупреждению несчастных случаев, утраты или повреждения застрахованного имущества на транспорте признаны обязательными. В связи с тем что перечень расходов, признаваемых для целей налогообложения прибыли, открыт, перечисленные средства из указанного выше резерва могут быть учтены страховыми организациями в составе внереализационных расходов в соответствии с подпунктом 20 пункта 1 статьи 265 НК РФ. Это также подтверждено решением Высшего Арбитражного Суда РФ от 18.08.2003 № 8263/03.</w:t>
      </w:r>
    </w:p>
    <w:p w:rsidR="00B10B60" w:rsidRPr="00F92763" w:rsidRDefault="00B10B60" w:rsidP="00114800">
      <w:pPr>
        <w:autoSpaceDE w:val="0"/>
        <w:autoSpaceDN w:val="0"/>
        <w:adjustRightInd w:val="0"/>
        <w:spacing w:line="360" w:lineRule="auto"/>
        <w:ind w:firstLine="709"/>
        <w:jc w:val="both"/>
        <w:rPr>
          <w:rFonts w:ascii="Times New Roman" w:hAnsi="Times New Roman" w:cs="Times New Roman"/>
          <w:color w:val="000000" w:themeColor="text1"/>
          <w:sz w:val="28"/>
          <w:szCs w:val="28"/>
        </w:rPr>
      </w:pPr>
      <w:r w:rsidRPr="00F92763">
        <w:rPr>
          <w:rFonts w:ascii="Times New Roman" w:hAnsi="Times New Roman" w:cs="Times New Roman"/>
          <w:color w:val="000000" w:themeColor="text1"/>
          <w:sz w:val="28"/>
          <w:szCs w:val="28"/>
        </w:rPr>
        <w:t xml:space="preserve">Прибыль </w:t>
      </w:r>
      <w:r w:rsidR="00010118" w:rsidRPr="00F92763">
        <w:rPr>
          <w:rFonts w:ascii="Times New Roman" w:hAnsi="Times New Roman" w:cs="Times New Roman"/>
          <w:sz w:val="28"/>
        </w:rPr>
        <w:t>СК «Царица»</w:t>
      </w:r>
      <w:r w:rsidRPr="00F92763">
        <w:rPr>
          <w:rFonts w:ascii="Times New Roman" w:hAnsi="Times New Roman" w:cs="Times New Roman"/>
          <w:color w:val="000000" w:themeColor="text1"/>
          <w:sz w:val="28"/>
          <w:szCs w:val="28"/>
        </w:rPr>
        <w:t xml:space="preserve">, остающаяся после уплаты налогов и иных обязательных платежей в бюджет, поступает в распоряжение </w:t>
      </w:r>
      <w:r w:rsidR="00010118" w:rsidRPr="00F92763">
        <w:rPr>
          <w:rFonts w:ascii="Times New Roman" w:hAnsi="Times New Roman" w:cs="Times New Roman"/>
          <w:sz w:val="28"/>
        </w:rPr>
        <w:t>СК «Царица»</w:t>
      </w:r>
      <w:r w:rsidRPr="00F92763">
        <w:rPr>
          <w:rFonts w:ascii="Times New Roman" w:hAnsi="Times New Roman" w:cs="Times New Roman"/>
          <w:color w:val="000000" w:themeColor="text1"/>
          <w:sz w:val="28"/>
          <w:szCs w:val="28"/>
        </w:rPr>
        <w:t>.</w:t>
      </w:r>
    </w:p>
    <w:p w:rsidR="00B10B60" w:rsidRPr="00F92763" w:rsidRDefault="00B10B60" w:rsidP="00114800">
      <w:pPr>
        <w:autoSpaceDE w:val="0"/>
        <w:autoSpaceDN w:val="0"/>
        <w:adjustRightInd w:val="0"/>
        <w:spacing w:line="360" w:lineRule="auto"/>
        <w:ind w:firstLine="709"/>
        <w:jc w:val="both"/>
        <w:rPr>
          <w:rFonts w:ascii="Times New Roman" w:hAnsi="Times New Roman" w:cs="Times New Roman"/>
          <w:color w:val="000000" w:themeColor="text1"/>
          <w:sz w:val="28"/>
          <w:szCs w:val="28"/>
        </w:rPr>
      </w:pPr>
      <w:r w:rsidRPr="00F92763">
        <w:rPr>
          <w:rFonts w:ascii="Times New Roman" w:hAnsi="Times New Roman" w:cs="Times New Roman"/>
          <w:color w:val="000000" w:themeColor="text1"/>
          <w:sz w:val="28"/>
          <w:szCs w:val="28"/>
        </w:rPr>
        <w:t xml:space="preserve">Прибыль, остающаяся в распоряжении </w:t>
      </w:r>
      <w:r w:rsidR="00010118" w:rsidRPr="00F92763">
        <w:rPr>
          <w:rFonts w:ascii="Times New Roman" w:hAnsi="Times New Roman" w:cs="Times New Roman"/>
          <w:sz w:val="28"/>
        </w:rPr>
        <w:t>СК «Царица»</w:t>
      </w:r>
      <w:r w:rsidRPr="00F92763">
        <w:rPr>
          <w:rFonts w:ascii="Times New Roman" w:hAnsi="Times New Roman" w:cs="Times New Roman"/>
          <w:color w:val="000000" w:themeColor="text1"/>
          <w:sz w:val="28"/>
          <w:szCs w:val="28"/>
        </w:rPr>
        <w:t xml:space="preserve">, направляется на пополнение фондов </w:t>
      </w:r>
      <w:r w:rsidR="00010118" w:rsidRPr="00F92763">
        <w:rPr>
          <w:rFonts w:ascii="Times New Roman" w:hAnsi="Times New Roman" w:cs="Times New Roman"/>
          <w:sz w:val="28"/>
        </w:rPr>
        <w:t>СК «Царица»</w:t>
      </w:r>
      <w:r w:rsidRPr="00F92763">
        <w:rPr>
          <w:rFonts w:ascii="Times New Roman" w:hAnsi="Times New Roman" w:cs="Times New Roman"/>
          <w:color w:val="000000" w:themeColor="text1"/>
          <w:sz w:val="28"/>
          <w:szCs w:val="28"/>
        </w:rPr>
        <w:t xml:space="preserve">, выплату дивидендов, развитие </w:t>
      </w:r>
      <w:r w:rsidR="00010118" w:rsidRPr="00F92763">
        <w:rPr>
          <w:rFonts w:ascii="Times New Roman" w:hAnsi="Times New Roman" w:cs="Times New Roman"/>
          <w:sz w:val="28"/>
        </w:rPr>
        <w:t xml:space="preserve">СК «Царица» </w:t>
      </w:r>
      <w:r w:rsidRPr="00F92763">
        <w:rPr>
          <w:rFonts w:ascii="Times New Roman" w:hAnsi="Times New Roman" w:cs="Times New Roman"/>
          <w:color w:val="000000" w:themeColor="text1"/>
          <w:sz w:val="28"/>
          <w:szCs w:val="28"/>
        </w:rPr>
        <w:t xml:space="preserve">и на иные цели, предусмотренные законом, настоящим Уставом и внутренними документами </w:t>
      </w:r>
      <w:r w:rsidR="00010118" w:rsidRPr="00F92763">
        <w:rPr>
          <w:rFonts w:ascii="Times New Roman" w:hAnsi="Times New Roman" w:cs="Times New Roman"/>
          <w:sz w:val="28"/>
        </w:rPr>
        <w:t>СК «Царица»</w:t>
      </w:r>
      <w:r w:rsidRPr="00F92763">
        <w:rPr>
          <w:rFonts w:ascii="Times New Roman" w:hAnsi="Times New Roman" w:cs="Times New Roman"/>
          <w:color w:val="000000" w:themeColor="text1"/>
          <w:sz w:val="28"/>
          <w:szCs w:val="28"/>
        </w:rPr>
        <w:t xml:space="preserve">. Убытки </w:t>
      </w:r>
      <w:r w:rsidR="00010118" w:rsidRPr="00F92763">
        <w:rPr>
          <w:rFonts w:ascii="Times New Roman" w:hAnsi="Times New Roman" w:cs="Times New Roman"/>
          <w:sz w:val="28"/>
        </w:rPr>
        <w:t xml:space="preserve">СК «Царица» </w:t>
      </w:r>
      <w:r w:rsidRPr="00F92763">
        <w:rPr>
          <w:rFonts w:ascii="Times New Roman" w:hAnsi="Times New Roman" w:cs="Times New Roman"/>
          <w:color w:val="000000" w:themeColor="text1"/>
          <w:sz w:val="28"/>
          <w:szCs w:val="28"/>
        </w:rPr>
        <w:t>покрываются за счет его имущества в установленном законом порядке.</w:t>
      </w:r>
    </w:p>
    <w:p w:rsidR="00B10B60" w:rsidRPr="00F92763" w:rsidRDefault="00B10B60" w:rsidP="00FE38DF">
      <w:pPr>
        <w:spacing w:line="360" w:lineRule="auto"/>
        <w:jc w:val="center"/>
        <w:rPr>
          <w:rFonts w:ascii="Times New Roman" w:hAnsi="Times New Roman" w:cs="Times New Roman"/>
          <w:color w:val="auto"/>
          <w:sz w:val="28"/>
          <w:szCs w:val="28"/>
        </w:rPr>
      </w:pPr>
    </w:p>
    <w:p w:rsidR="00F92763" w:rsidRDefault="00F92763">
      <w:pPr>
        <w:spacing w:after="200" w:line="276" w:lineRule="auto"/>
        <w:rPr>
          <w:rFonts w:ascii="Times New Roman" w:eastAsiaTheme="majorEastAsia" w:hAnsi="Times New Roman" w:cs="Times New Roman"/>
          <w:b/>
          <w:bCs/>
          <w:color w:val="auto"/>
          <w:sz w:val="28"/>
          <w:szCs w:val="28"/>
        </w:rPr>
      </w:pPr>
      <w:bookmarkStart w:id="12" w:name="_Toc398627627"/>
      <w:r>
        <w:rPr>
          <w:rFonts w:ascii="Times New Roman" w:hAnsi="Times New Roman" w:cs="Times New Roman"/>
          <w:color w:val="auto"/>
        </w:rPr>
        <w:br w:type="page"/>
      </w:r>
    </w:p>
    <w:p w:rsidR="00FE38DF" w:rsidRPr="00F92763" w:rsidRDefault="00FE38DF" w:rsidP="00FE38DF">
      <w:pPr>
        <w:pStyle w:val="1"/>
        <w:spacing w:before="0" w:line="360" w:lineRule="auto"/>
        <w:jc w:val="center"/>
        <w:rPr>
          <w:rFonts w:ascii="Times New Roman" w:hAnsi="Times New Roman" w:cs="Times New Roman"/>
          <w:color w:val="auto"/>
        </w:rPr>
      </w:pPr>
      <w:r w:rsidRPr="00F92763">
        <w:rPr>
          <w:rFonts w:ascii="Times New Roman" w:hAnsi="Times New Roman" w:cs="Times New Roman"/>
          <w:color w:val="auto"/>
        </w:rPr>
        <w:lastRenderedPageBreak/>
        <w:t>2.3. Налоговое планирование</w:t>
      </w:r>
      <w:bookmarkEnd w:id="12"/>
    </w:p>
    <w:p w:rsidR="00FE38DF" w:rsidRPr="00F92763" w:rsidRDefault="00FE38DF" w:rsidP="00010118">
      <w:pPr>
        <w:spacing w:line="360" w:lineRule="auto"/>
        <w:ind w:firstLine="709"/>
        <w:jc w:val="both"/>
        <w:rPr>
          <w:rFonts w:ascii="Times New Roman" w:hAnsi="Times New Roman" w:cs="Times New Roman"/>
          <w:sz w:val="28"/>
          <w:szCs w:val="28"/>
        </w:rPr>
      </w:pP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Налоговое планирование - это один из видов активной финансовой политики компаний, направленный на оптимизацию налоговых платежей за счет легальных способов снижения налоговой нагрузки. </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Очевидно, оценить эффективность такой деятельности можно, лишь сопоставив полученный результат в виде реальной экономии на налогах с затраченными на нее средствами. По нашему мнению, эффективность налогового планирования целесообразно определять как отношение финансового результата компании к сумме расходов на уплату налогов и затрат на организацию налогового планирования.</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Оптимизация налогообложения может осуществляться различными методами, в частности:</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1) минимизацией налоговой нагрузки с использованием легальных способов снижения налогов. Среди законных методов наиболее действенными можно признать те, что связаны с учетной политикой (методы признания доходов, методы начисления амортизации, методы резервирования), использование льгот, методы отсрочки налогового платежа;</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2) уменьшением рисков налоговых правонарушений на основе детальной проработки налогового законодательства с учетом позиций фискальных органов и изучения арбитражной практики.</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Таким образом, в определение налогового планирования входят два существенных признака:</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законность, которая предполагает использование только тех методов, способов и приемов налоговой оптимизации, которые не противоречат действующему законодательству;</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активность, то есть инициативная деятельность по выбору наиболее выгодного варианта действий.</w:t>
      </w:r>
    </w:p>
    <w:p w:rsidR="00850277"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 xml:space="preserve">На практике контролирующие органы весьма скептически относятся к налоговой оптимизации, по сути приравнивая ее к уклонению от уплаты налогов. </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Для того чтобы оценить эффективность затрат на снижение налоговой нагрузки </w:t>
      </w:r>
      <w:r w:rsidR="00850277" w:rsidRPr="00F92763">
        <w:rPr>
          <w:rFonts w:ascii="Times New Roman" w:hAnsi="Times New Roman" w:cs="Times New Roman"/>
          <w:sz w:val="28"/>
        </w:rPr>
        <w:t>СК «Царица»</w:t>
      </w:r>
      <w:r w:rsidRPr="00F92763">
        <w:rPr>
          <w:rFonts w:ascii="Times New Roman" w:hAnsi="Times New Roman" w:cs="Times New Roman"/>
          <w:sz w:val="28"/>
          <w:szCs w:val="28"/>
        </w:rPr>
        <w:t xml:space="preserve">, необходимо оценить как систему уплачиваемых ими налогов в целом, так и вес каждого из налогов в структуре платежей. Абсолютным лидером в этой системе является налог на прибыль. Очевидно, что усилия налогового менеджера направлены прежде всего на оптимизацию этого платежа. При этом следует иметь в виду, что существенная часть деятельности </w:t>
      </w:r>
      <w:r w:rsidR="00850277" w:rsidRPr="00F92763">
        <w:rPr>
          <w:rFonts w:ascii="Times New Roman" w:hAnsi="Times New Roman" w:cs="Times New Roman"/>
          <w:sz w:val="28"/>
        </w:rPr>
        <w:t xml:space="preserve">СК «Царица» </w:t>
      </w:r>
      <w:r w:rsidRPr="00F92763">
        <w:rPr>
          <w:rFonts w:ascii="Times New Roman" w:hAnsi="Times New Roman" w:cs="Times New Roman"/>
          <w:sz w:val="28"/>
          <w:szCs w:val="28"/>
        </w:rPr>
        <w:t>аналогична деятельности любой другой организации: страховщики приобретают и сдают в аренду объекты основных средств, выплачивают заработную плату, отправляют сотрудников в командировки и т.д.</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При планировании налога на прибыль необходимо учитывать как специфический состав доходов и расходов </w:t>
      </w:r>
      <w:r w:rsidR="00850277" w:rsidRPr="00F92763">
        <w:rPr>
          <w:rFonts w:ascii="Times New Roman" w:hAnsi="Times New Roman" w:cs="Times New Roman"/>
          <w:sz w:val="28"/>
        </w:rPr>
        <w:t>СК «Царица»</w:t>
      </w:r>
      <w:r w:rsidRPr="00F92763">
        <w:rPr>
          <w:rFonts w:ascii="Times New Roman" w:hAnsi="Times New Roman" w:cs="Times New Roman"/>
          <w:sz w:val="28"/>
          <w:szCs w:val="28"/>
        </w:rPr>
        <w:t>, формирующих налоговую базу, так и их юридическую квалификацию.</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Так, для признания в налоговом учете доходов от реализации страховых услуг необходимо соблюдать определенные правила, вытекающие из специфических отношений страховщиков не только со страхователем, но и с партнерами по бизнесу. Одним из важнейших видов доходов страховых организаций являются страховые премии (взносы) по договорам страхования, сострахования и перестрахования. При этом страховые премии (взносы) по договорам сострахования включаются в состав доходов страховщика (состраховщика) только в размере его доли страховой премии, установленной в договоре сострахования. При учете доходов методом начисления страховые премии (взносы) по договорам страхования, сострахования и перестрахования признаются доходами на дату возникновения ответственности налогоплательщика перед страхователем по заключенному договору исходя из условий договоров страхования, сострахования, перестрахования, вне зависимости от порядка уплаты страхового взноса, </w:t>
      </w:r>
      <w:r w:rsidRPr="00F92763">
        <w:rPr>
          <w:rFonts w:ascii="Times New Roman" w:hAnsi="Times New Roman" w:cs="Times New Roman"/>
          <w:sz w:val="28"/>
          <w:szCs w:val="28"/>
        </w:rPr>
        <w:lastRenderedPageBreak/>
        <w:t>указанного в договоре (за исключением долгосрочных договоров страхования жизни) (ст. 330 НК РФ).</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Страховые премии по договорам перестрахования, принятые в перестрахование от иностранных страховых организаций, находящихся за пределами РФ, признаются для целей налогообложения с учетом требований, изложенных в ст. 311 НК РФ. Суммы налога, уплаченные в соответствии с законодательством иностранных государств за российскую организацию, учитываются при уплате этой организацией налога в РФ. Следует уточнить, что суммы налога будут учитываться, только если есть договор об избежании двойного налогообложения между РФ и страной образования дохода, причем он должен быть ратифицирован обеими сторонами и являться действующим. Сумма налога с дохода, уплаченная российской организацией за пределами РФ, засчитывается в счет уплаты налога на прибыль на территории РФ. К зачету принимается фактически уплаченная сумма в размере, не превышающем сумму налога, рассчитанную исходя из ставки налога, установленной на территории РФ. Превышение фактически уплаченного налога за пределами РФ над расчетной суммой не уменьшает общую сумму налога к уплате в бюджет РФ. Зачет производится при условии представления налогоплательщиком документа, подтверждающего уплату (удержание) налога за пределами Российской Федерации: для налогов, уплаченных самой организацией, - документа, заверенного налоговым органом соответствующего иностранного государства, а для налогов, удержанных в соответствии с законодательством иностранных государств или международным договором налоговыми агентами, - подтверждения налогового агента. Указанное подтверждение действует в течение налогового периода, в котором оно представлено налоговому агенту.</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Доходы, направленные на оплату дополнительных акций (долей)</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К внереализационным доходам, в частности, относятся доходы от долевого участия в других организациях, за исключением дохода, направляемого на оплату дополнительных акций (долей), размещаемых </w:t>
      </w:r>
      <w:r w:rsidRPr="00F92763">
        <w:rPr>
          <w:rFonts w:ascii="Times New Roman" w:hAnsi="Times New Roman" w:cs="Times New Roman"/>
          <w:sz w:val="28"/>
          <w:szCs w:val="28"/>
        </w:rPr>
        <w:lastRenderedPageBreak/>
        <w:t>среди акционеров (участников) организации. Поскольку в данном случае речь идет об операциях, связанных с долевым участием, рассмотрим случай пропорционального размещения акций среди акционеров (участников).</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Доходы по уплате неустойки</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Одним из видов внереализационных доходов являются признанные должником или подлежащие уплате должником на основании решения суда, вступившего в законную силу, штрафы, пени и иные санкции за нарушение договорных обязательств, а также суммы возмещения убытков или ущерба. За нарушения договорных обязательств договором в соответствии со ст. 330 ГК РФ может быть предусмотрена уплата должником кредитору неустойки (штрафа, пени). Неустойка (штраф, пеня) и убытки (определение убытков дано в ст. 15 ГК РФ) могут быть уплачены (возмещены) добровольно либо взысканы в судебном порядке. Статьей 317 НК РФ определено, что доходы в виде причитающихся к получению штрафов, пени и иных санкций за нарушение условий договорных обязательств признаются доходами в соответствии с условиями заключенных договоров. В соответствии с Решением Высшего Арбитражного Суда РФ от 14.08.2003 по делу N 8551/03 в целях исчисления налога на прибыль предполагается учитывать суммы санкций, если они должником признаны, с учетом того, что отсутствие возражений должника к признанию им задолженности не приравнивается.</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Толкование понятия "признанные должником штрафы" в настоящее время дает только судебная практика (п. п. 20 - 22 Постановления Пленума ВС РФ от 12.11.2001 N 15, Пленума ВАС РФ от 15.11.2001 N 18 "О некоторых вопросах, связанных с применением норм Гражданского кодекса Российской Федерации об исковой давности"). В частности, к действиям, свидетельствующим о признании долга, могут относиться:</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признание претензии;</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частичная уплата должником или с его согласия другим лицом основного долга и (или) сумм санкций;</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уплата процентов по основному долгу;</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lastRenderedPageBreak/>
        <w:t>- изменение договора уполномоченным лицом, из которого следует, что должник признает наличие долга, равно как и просьба должника о таком изменении договора (например, об отсрочке или рассрочке платежа);</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акцепт инкассового поручения.</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Следует обратить внимание на то, что указанный перечень дан судебными органами применительно к прерыванию срока исковой давности (ст. 203 ГК РФ) и определяет исключительно действия должника, подтверждающие признание им своего долга. В соответствии с разъяснениями Минфина России в целях признания доходов при исчислении налоговой базы по налогу на прибыль штрафы, пени и иные санкции за нарушение условий договоров считаются признанными должником, если организация уведомила должника о возникновении у него обязательств в соответствии с условиями договора, а последний не опротестовал их (Письмо Минфина России от 21.01.2005 N 03-03-01-04/1/17). Аналогичную позицию высказала ФНС России в Письме от 26.06.2009 N 3-2-09/129.</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Примечание. Неустойка признается доходом в целях налогообложения, если она не опротестована должником.</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Доходы от сдачи имущества в аренду</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Пристального внимания налогового менеджера или бухгалтера организации требуют доходы от сдачи имущества в аренду (субаренду). Если организация операции по передаче имущества в аренду (субаренду) осуществляет на постоянной (систематической) основе, то доходы от таких операций учитываются в составе доходов от реализации услуг в соответствии со ст. 249 НК РФ, а если операции по передаче имущества в аренду носят разовый характер, то доходы от таких операций учитываются в составе внереализационных доходов. Понятие систематичности используется в значении, применяемом в п. 3 ст. 120 НК РФ (два раза и более в течение календарного года). Причем данный порядок применяется для целей налогообложения вне зависимости от способа отражения указанных </w:t>
      </w:r>
      <w:r w:rsidRPr="00F92763">
        <w:rPr>
          <w:rFonts w:ascii="Times New Roman" w:hAnsi="Times New Roman" w:cs="Times New Roman"/>
          <w:sz w:val="28"/>
          <w:szCs w:val="28"/>
        </w:rPr>
        <w:lastRenderedPageBreak/>
        <w:t>операций в бухгалтерском учете ввиду обособленности налогового учета от бухгалтерского.</w:t>
      </w:r>
    </w:p>
    <w:p w:rsidR="00010118"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 xml:space="preserve">Несколько лет не утихают споры по поводу квалификации дохода в виде безвозмездно полученного имущества (работ, услуг) или имущественных прав. При получении имущества (работ, услуг) безвозмездно оценка доходов осуществляется исходя из рыночных цен, определяемых с учетом положений ст. 40 НК РФ, но не ниже определяемой в соответствии с настоящей главой остаточной стоимости - по амортизируемому имуществу и не ниже затрат на производство (приобретение) - по иному имуществу (выполненным работам, оказанным услугам). Информация о ценах должна быть подтверждена налогоплательщиком - получателем имущества (работ, услуг) документально или путем проведения независимой оценки. В п. 2 Информационного письма Высшего Арбитражного Суда РФ от 22.12.2005 N 98 "Обзор практики разрешения арбитражными судами дел, связанных с применением отдельных положений главы 25 Налогового кодекса Российской Федерации" суд признал правомерным решение налогового органа о квалификации суммы экономической выгоды, полученной обществом в связи с безвозмездным пользованием нежилыми помещениями, в качестве внереализационного дохода, учитываемого при исчислении налога на прибыль. В силу нормы п. 8 ст. 250 НК РФ доход в виде безвозмездно полученного имущества (работ, услуг) или имущественных прав признается в качестве внереализационного дохода. Применение п. 8 ст. 250 НК РФ не ограничено только имущественными правами, представляющими собой требования к третьим лицам. Данное положение подлежит применению также и при безвозмездном получении права пользования вещью. Установленный указанной нормой принцип определения дохода при безвозмездном получении имущества, заключающийся в его оценке исходя из рыночных цен, определяемых с учетом положений ст. 40 НК РФ, подлежит применению и при оценке дохода, возникающего при </w:t>
      </w:r>
      <w:r w:rsidRPr="00F92763">
        <w:rPr>
          <w:rFonts w:ascii="Times New Roman" w:hAnsi="Times New Roman" w:cs="Times New Roman"/>
          <w:sz w:val="28"/>
          <w:szCs w:val="28"/>
        </w:rPr>
        <w:lastRenderedPageBreak/>
        <w:t>безвозмездном получении имущественного права, в том числе права пользования вещью.</w:t>
      </w:r>
    </w:p>
    <w:p w:rsidR="009F2AA5" w:rsidRPr="00F92763" w:rsidRDefault="00010118" w:rsidP="00010118">
      <w:pPr>
        <w:spacing w:line="360" w:lineRule="auto"/>
        <w:ind w:firstLine="709"/>
        <w:jc w:val="both"/>
        <w:rPr>
          <w:rFonts w:ascii="Times New Roman" w:hAnsi="Times New Roman" w:cs="Times New Roman"/>
          <w:sz w:val="28"/>
          <w:szCs w:val="28"/>
        </w:rPr>
      </w:pPr>
      <w:r w:rsidRPr="00F92763">
        <w:rPr>
          <w:rFonts w:ascii="Times New Roman" w:hAnsi="Times New Roman" w:cs="Times New Roman"/>
          <w:sz w:val="28"/>
          <w:szCs w:val="28"/>
        </w:rPr>
        <w:t>Непростая ситуация складывается с доходами прошлых лет, выявленными в отчетном (налоговом) периоде. В целях применения п. 10 ст. 250 НК РФ в случае, если по выявленным в отчетном (налоговом) периоде доходам прошлых лет не представляется возможным определить конкретный период совершения ошибок (искажений) в исчислении налоговой базы, указанные доходы отражаются в составе внереализационных доходов, то есть корректируются налоговые обязательства отчетного периода, в котором выявлены ошибки (искажения). В том же случае, если при обнаружении ошибок (искажений) в исчислении налоговой базы, относящихся к прошлым налоговым периодам, возможно определить период совершения ошибок (искажений), перерасчет налоговых обязательств производится в периоде совершения ошибки согласно ст. 54 НК РФ. При этом налогоплательщик обязан представить в налоговый орган уточненную декларацию по форме, действовавшей в соответствующем отчетном (налоговом) периоде.</w:t>
      </w:r>
    </w:p>
    <w:p w:rsidR="009F2AA5" w:rsidRPr="00F92763" w:rsidRDefault="009F2AA5" w:rsidP="00010118">
      <w:pPr>
        <w:spacing w:line="360" w:lineRule="auto"/>
        <w:ind w:firstLine="709"/>
        <w:jc w:val="both"/>
        <w:rPr>
          <w:rFonts w:ascii="Times New Roman" w:hAnsi="Times New Roman" w:cs="Times New Roman"/>
          <w:sz w:val="28"/>
          <w:szCs w:val="28"/>
        </w:rPr>
      </w:pPr>
    </w:p>
    <w:p w:rsidR="009F2AA5" w:rsidRPr="00F92763" w:rsidRDefault="009F2AA5">
      <w:pPr>
        <w:spacing w:after="200" w:line="276" w:lineRule="auto"/>
        <w:rPr>
          <w:rFonts w:ascii="Times New Roman" w:eastAsiaTheme="majorEastAsia" w:hAnsi="Times New Roman" w:cs="Times New Roman"/>
          <w:b/>
          <w:bCs/>
          <w:color w:val="auto"/>
          <w:sz w:val="28"/>
          <w:szCs w:val="28"/>
        </w:rPr>
      </w:pPr>
      <w:r w:rsidRPr="00F92763">
        <w:rPr>
          <w:rFonts w:ascii="Times New Roman" w:hAnsi="Times New Roman" w:cs="Times New Roman"/>
          <w:color w:val="auto"/>
        </w:rPr>
        <w:br w:type="page"/>
      </w:r>
    </w:p>
    <w:p w:rsidR="00FE38DF" w:rsidRPr="00F92763" w:rsidRDefault="00FE38DF" w:rsidP="00FE38DF">
      <w:pPr>
        <w:pStyle w:val="1"/>
        <w:spacing w:before="0" w:line="360" w:lineRule="auto"/>
        <w:jc w:val="center"/>
        <w:rPr>
          <w:rFonts w:ascii="Times New Roman" w:hAnsi="Times New Roman" w:cs="Times New Roman"/>
          <w:color w:val="auto"/>
        </w:rPr>
      </w:pPr>
      <w:bookmarkStart w:id="13" w:name="_Toc398627628"/>
      <w:r w:rsidRPr="00F92763">
        <w:rPr>
          <w:rFonts w:ascii="Times New Roman" w:hAnsi="Times New Roman" w:cs="Times New Roman"/>
          <w:color w:val="auto"/>
        </w:rPr>
        <w:lastRenderedPageBreak/>
        <w:t>Заключение</w:t>
      </w:r>
      <w:bookmarkEnd w:id="13"/>
    </w:p>
    <w:p w:rsidR="00FE38DF" w:rsidRPr="00F92763" w:rsidRDefault="00FE38DF" w:rsidP="00FE38DF">
      <w:pPr>
        <w:spacing w:line="360" w:lineRule="auto"/>
        <w:jc w:val="center"/>
        <w:rPr>
          <w:rFonts w:ascii="Times New Roman" w:hAnsi="Times New Roman" w:cs="Times New Roman"/>
          <w:color w:val="auto"/>
          <w:sz w:val="28"/>
          <w:szCs w:val="28"/>
        </w:rPr>
      </w:pPr>
    </w:p>
    <w:p w:rsidR="00850277" w:rsidRPr="00F92763" w:rsidRDefault="00850277" w:rsidP="00850277">
      <w:pPr>
        <w:widowControl w:val="0"/>
        <w:spacing w:line="360" w:lineRule="auto"/>
        <w:ind w:firstLine="709"/>
        <w:jc w:val="both"/>
        <w:rPr>
          <w:rFonts w:ascii="Times New Roman" w:hAnsi="Times New Roman" w:cs="Times New Roman"/>
          <w:sz w:val="28"/>
          <w:szCs w:val="28"/>
        </w:rPr>
      </w:pPr>
      <w:bookmarkStart w:id="14" w:name="_Toc398627629"/>
      <w:r w:rsidRPr="00F92763">
        <w:rPr>
          <w:rFonts w:ascii="Times New Roman" w:hAnsi="Times New Roman" w:cs="Times New Roman"/>
          <w:sz w:val="28"/>
          <w:szCs w:val="28"/>
        </w:rPr>
        <w:t>Политика в области налогообложения включает в себя как налогообложение самих страховых организаций, так и учет при исчислении налогооблагаемой базы страховых взносов и страховых выплат. Налогообложение страховщиков должно быть организовано так, чтобы оно было не жестче, чем для юридических лиц, занимающихся другими видами деятельности (с точки зрения, как применяемых ставок налогообложения, так и расчета налогооблагаемой базы). Что касается налогообложения страховых операций для потребителей страховых услуг, оно может предусматривать, с одной стороны, предоставление налоговых льгот лицам, уплачивающим страховые взносы, а с другой – уплату налогов с сумм, внесенных страховых взносов или полученных страховых выплат.</w:t>
      </w:r>
    </w:p>
    <w:p w:rsidR="00850277" w:rsidRPr="00F92763" w:rsidRDefault="00850277" w:rsidP="00850277">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 xml:space="preserve">Особенности налогообложения страховых организаций регулируются финансово-правовыми нормами частей первой и второй Налогового кодекса. </w:t>
      </w:r>
    </w:p>
    <w:p w:rsidR="00850277" w:rsidRPr="00F92763" w:rsidRDefault="00850277" w:rsidP="00850277">
      <w:pPr>
        <w:spacing w:line="360" w:lineRule="auto"/>
        <w:ind w:firstLine="709"/>
        <w:jc w:val="both"/>
        <w:rPr>
          <w:rFonts w:ascii="Times New Roman" w:hAnsi="Times New Roman" w:cs="Times New Roman"/>
          <w:noProof/>
          <w:sz w:val="28"/>
        </w:rPr>
      </w:pPr>
      <w:r w:rsidRPr="00F92763">
        <w:rPr>
          <w:rFonts w:ascii="Times New Roman" w:hAnsi="Times New Roman" w:cs="Times New Roman"/>
          <w:noProof/>
          <w:sz w:val="28"/>
        </w:rPr>
        <w:t>Нормативные правовые акты регулируют как порядок формирования доходов страховых организаций (страховщиков) и их расходов для целей налогообложения, так и порядок налогообложения выплат страхователям по договорам страхования, а также порядок формирования расходов страхователей в связи со страхованием.</w:t>
      </w:r>
    </w:p>
    <w:p w:rsidR="00850277" w:rsidRPr="00F92763" w:rsidRDefault="00850277" w:rsidP="00850277">
      <w:pPr>
        <w:shd w:val="clear" w:color="auto" w:fill="FFFFFF"/>
        <w:spacing w:line="360" w:lineRule="auto"/>
        <w:ind w:firstLine="709"/>
        <w:jc w:val="both"/>
        <w:rPr>
          <w:rStyle w:val="apple-converted-space"/>
          <w:rFonts w:ascii="Times New Roman" w:hAnsi="Times New Roman" w:cs="Times New Roman"/>
          <w:sz w:val="28"/>
          <w:szCs w:val="28"/>
          <w:shd w:val="clear" w:color="auto" w:fill="FFFFFF"/>
        </w:rPr>
      </w:pPr>
      <w:r w:rsidRPr="00F92763">
        <w:rPr>
          <w:rFonts w:ascii="Times New Roman" w:hAnsi="Times New Roman" w:cs="Times New Roman"/>
          <w:sz w:val="28"/>
          <w:szCs w:val="28"/>
          <w:shd w:val="clear" w:color="auto" w:fill="FFFFFF"/>
        </w:rPr>
        <w:t xml:space="preserve">ОАО Страховая компания «Царица» работает на страховом рынке более 20 лет. Согласно лицензии Федеральной службы страхового надзора компания вправе осуществлять страхование по 18 видам, включая ОСАГО. Уставный капитал компании составляет 500 миллионов рублей. Объем страховых резервов на начало 2014 года составил 1122,6 млн.руб. Объем собираемых компанией страховых взносов за последние 5 лет увеличился в 5,7 раза. Филиальная сеть компании насчитывает 28 филиалов, в т. ч. 15 из них в регионах РФ. ОАО СК «Царица» является действительным членом Ассоциации аграрных страховщиков России «Агропромстрах», Российского </w:t>
      </w:r>
      <w:r w:rsidRPr="00F92763">
        <w:rPr>
          <w:rFonts w:ascii="Times New Roman" w:hAnsi="Times New Roman" w:cs="Times New Roman"/>
          <w:sz w:val="28"/>
          <w:szCs w:val="28"/>
          <w:shd w:val="clear" w:color="auto" w:fill="FFFFFF"/>
        </w:rPr>
        <w:lastRenderedPageBreak/>
        <w:t>союза автостраховщиков, Международной ассоциации обществ кооперативного и взаимного страхования ICMIF.</w:t>
      </w:r>
      <w:r w:rsidRPr="00F92763">
        <w:rPr>
          <w:rStyle w:val="apple-converted-space"/>
          <w:rFonts w:ascii="Times New Roman" w:hAnsi="Times New Roman" w:cs="Times New Roman"/>
          <w:shd w:val="clear" w:color="auto" w:fill="FFFFFF"/>
        </w:rPr>
        <w:t> </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Доходы, которые </w:t>
      </w:r>
      <w:r w:rsidRPr="00F92763">
        <w:rPr>
          <w:rFonts w:ascii="Times New Roman" w:hAnsi="Times New Roman" w:cs="Times New Roman"/>
          <w:sz w:val="28"/>
        </w:rPr>
        <w:t xml:space="preserve">СК «Царица» </w:t>
      </w:r>
      <w:r w:rsidRPr="00F92763">
        <w:rPr>
          <w:rStyle w:val="afe"/>
          <w:rFonts w:ascii="Times New Roman" w:hAnsi="Times New Roman"/>
          <w:b w:val="0"/>
          <w:color w:val="000000" w:themeColor="text1"/>
          <w:sz w:val="28"/>
          <w:szCs w:val="28"/>
        </w:rPr>
        <w:t>отражает в налоговом учете, условно можно разделить на две группы. Первая группа — доходы, связанные с производством и реализацией (ст. 249 НК РФ), и вне реализационные доходы (ст. 250 НК РФ). Такие доходы отражаются в общеустановленном порядке. Вторая группа — доходы от страховой деятельности, упомянутые в статье 293 Налогового кодекса, которые учитываются в особом порядке.</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К ним, в частности, относятся:</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страховые премии (взносы) по договорам страхования;</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вознаграждения за оказание услуг страхового агента, брокера;</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вознаграждения, полученные страховщиком за осмотр принимаемого в страхование имущества и выдачу заключений об оценке страхового риска, а также за определение причин, характера и размеров убытков при страховом событии.</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Style w:val="afe"/>
          <w:rFonts w:ascii="Times New Roman" w:hAnsi="Times New Roman"/>
          <w:b w:val="0"/>
          <w:color w:val="000000" w:themeColor="text1"/>
          <w:sz w:val="28"/>
          <w:szCs w:val="28"/>
        </w:rPr>
        <w:t xml:space="preserve">По методу начисления расходы в виде страховых выплат по договору учитываются на дату возникновения у </w:t>
      </w:r>
      <w:r w:rsidRPr="00F92763">
        <w:rPr>
          <w:rFonts w:ascii="Times New Roman" w:hAnsi="Times New Roman" w:cs="Times New Roman"/>
          <w:sz w:val="28"/>
        </w:rPr>
        <w:t xml:space="preserve">СК «Царица» </w:t>
      </w:r>
      <w:r w:rsidRPr="00F92763">
        <w:rPr>
          <w:rStyle w:val="afe"/>
          <w:rFonts w:ascii="Times New Roman" w:hAnsi="Times New Roman"/>
          <w:b w:val="0"/>
          <w:color w:val="000000" w:themeColor="text1"/>
          <w:sz w:val="28"/>
          <w:szCs w:val="28"/>
        </w:rPr>
        <w:t>обязательства по выплате страхового возмещения в пользу страхователя (выгода приобретателя) по фактически наступившему страховому случаю (ст. 330 НК РФ). Размер сумм страховых выплат определяется в соответствии с Законом РФ от 27.11.92 № 4015-1 «Об организации страхового дела в Российской Федерации». Расходы, связанные с оказанием услуг страхового агента, эксперта, аварийного комиссара и т. п., признаются на дату подписания акта приемки-передачи услуг. Это следует из пункта 2 статьи 272 НК РФ.</w:t>
      </w:r>
    </w:p>
    <w:p w:rsidR="00850277" w:rsidRPr="00F92763" w:rsidRDefault="00850277" w:rsidP="00850277">
      <w:pPr>
        <w:spacing w:line="360" w:lineRule="auto"/>
        <w:ind w:firstLine="709"/>
        <w:jc w:val="both"/>
        <w:rPr>
          <w:rStyle w:val="afe"/>
          <w:rFonts w:ascii="Times New Roman" w:hAnsi="Times New Roman"/>
          <w:b w:val="0"/>
          <w:color w:val="000000" w:themeColor="text1"/>
          <w:sz w:val="28"/>
          <w:szCs w:val="28"/>
        </w:rPr>
      </w:pPr>
      <w:r w:rsidRPr="00F92763">
        <w:rPr>
          <w:rFonts w:ascii="Times New Roman" w:hAnsi="Times New Roman" w:cs="Times New Roman"/>
          <w:sz w:val="28"/>
        </w:rPr>
        <w:t xml:space="preserve">СК «Царица» </w:t>
      </w:r>
      <w:r w:rsidRPr="00F92763">
        <w:rPr>
          <w:rStyle w:val="afe"/>
          <w:rFonts w:ascii="Times New Roman" w:hAnsi="Times New Roman"/>
          <w:b w:val="0"/>
          <w:color w:val="000000" w:themeColor="text1"/>
          <w:sz w:val="28"/>
          <w:szCs w:val="28"/>
        </w:rPr>
        <w:t>обязана формировать страховые резервы для выполнения своих обязательств перед страхователями, как того требует пункт 26 Закона № 4015-1. Суммы отчислений в такие резервы относятся к вне реализационным расходам по страховой деятельности (подп. 1 п. 2 ст. 294 НК РФ).</w:t>
      </w:r>
    </w:p>
    <w:p w:rsidR="00850277" w:rsidRPr="00F92763" w:rsidRDefault="00850277" w:rsidP="00850277">
      <w:pPr>
        <w:spacing w:line="360" w:lineRule="auto"/>
        <w:ind w:firstLine="720"/>
        <w:jc w:val="both"/>
        <w:rPr>
          <w:rFonts w:ascii="Times New Roman" w:hAnsi="Times New Roman" w:cs="Times New Roman"/>
          <w:sz w:val="28"/>
          <w:szCs w:val="28"/>
        </w:rPr>
      </w:pPr>
      <w:r w:rsidRPr="00F92763">
        <w:rPr>
          <w:rFonts w:ascii="Times New Roman" w:hAnsi="Times New Roman" w:cs="Times New Roman"/>
          <w:sz w:val="28"/>
          <w:szCs w:val="28"/>
        </w:rPr>
        <w:lastRenderedPageBreak/>
        <w:t xml:space="preserve">Свою основную функцию – выполнение обязательств по страховым выплатам – страховая компания реализует в первую очередь за счет сформированных страховых резервов. Страховые резервы компании построены с учетом специфики рисков, покрываемых отдельными видами страхования, заключаемых договоров страхования, а также особенностей страховых обязательств. Для покрытия трудноизмеримых рисков помимо резерва незаработанной премии и резервов убытков страховой компанией на 31.12.2013 г. был сформирован стабилизационный резерв. </w:t>
      </w:r>
    </w:p>
    <w:p w:rsidR="00850277" w:rsidRPr="00F92763" w:rsidRDefault="00850277" w:rsidP="00850277">
      <w:pPr>
        <w:spacing w:line="360" w:lineRule="auto"/>
        <w:ind w:firstLine="720"/>
        <w:jc w:val="both"/>
        <w:rPr>
          <w:rFonts w:ascii="Times New Roman" w:hAnsi="Times New Roman" w:cs="Times New Roman"/>
          <w:sz w:val="28"/>
        </w:rPr>
      </w:pPr>
      <w:r w:rsidRPr="00F92763">
        <w:rPr>
          <w:rFonts w:ascii="Times New Roman" w:hAnsi="Times New Roman" w:cs="Times New Roman"/>
          <w:sz w:val="28"/>
        </w:rPr>
        <w:t xml:space="preserve">Страховые резервы СК «Царица» по сравнению с 2011 годом возросли на 39% и на 01.01.2014 года составили </w:t>
      </w:r>
      <w:r w:rsidRPr="00F92763">
        <w:rPr>
          <w:rFonts w:ascii="Times New Roman" w:hAnsi="Times New Roman" w:cs="Times New Roman"/>
          <w:sz w:val="28"/>
          <w:szCs w:val="28"/>
        </w:rPr>
        <w:t>1 824 877 тыс. рублей</w:t>
      </w:r>
      <w:r w:rsidRPr="00F92763">
        <w:rPr>
          <w:rFonts w:ascii="Times New Roman" w:hAnsi="Times New Roman" w:cs="Times New Roman"/>
          <w:sz w:val="28"/>
        </w:rPr>
        <w:t xml:space="preserve">. Сформированные страховые резервы позволяют Царице оперативно отвечать по своим обязательствам в условиях постоянного увеличения объема страховых операций и расширения клиентской базы компании. </w:t>
      </w:r>
    </w:p>
    <w:p w:rsidR="00850277" w:rsidRPr="00F92763" w:rsidRDefault="00850277" w:rsidP="00FE38DF">
      <w:pPr>
        <w:pStyle w:val="1"/>
        <w:spacing w:before="0" w:line="360" w:lineRule="auto"/>
        <w:jc w:val="center"/>
        <w:rPr>
          <w:rFonts w:ascii="Times New Roman" w:hAnsi="Times New Roman" w:cs="Times New Roman"/>
          <w:color w:val="auto"/>
        </w:rPr>
      </w:pPr>
    </w:p>
    <w:p w:rsidR="00850277" w:rsidRPr="00F92763" w:rsidRDefault="00850277" w:rsidP="00FE38DF">
      <w:pPr>
        <w:pStyle w:val="1"/>
        <w:spacing w:before="0" w:line="360" w:lineRule="auto"/>
        <w:jc w:val="center"/>
        <w:rPr>
          <w:rFonts w:ascii="Times New Roman" w:hAnsi="Times New Roman" w:cs="Times New Roman"/>
          <w:color w:val="auto"/>
        </w:rPr>
      </w:pPr>
    </w:p>
    <w:p w:rsidR="00850277" w:rsidRPr="00F92763" w:rsidRDefault="00850277" w:rsidP="00FE38DF">
      <w:pPr>
        <w:pStyle w:val="1"/>
        <w:spacing w:before="0" w:line="360" w:lineRule="auto"/>
        <w:jc w:val="center"/>
        <w:rPr>
          <w:rFonts w:ascii="Times New Roman" w:hAnsi="Times New Roman" w:cs="Times New Roman"/>
          <w:color w:val="auto"/>
        </w:rPr>
      </w:pPr>
    </w:p>
    <w:p w:rsidR="00850277" w:rsidRPr="00F92763" w:rsidRDefault="00850277">
      <w:pPr>
        <w:spacing w:after="200" w:line="276" w:lineRule="auto"/>
        <w:rPr>
          <w:rFonts w:ascii="Times New Roman" w:eastAsiaTheme="majorEastAsia" w:hAnsi="Times New Roman" w:cs="Times New Roman"/>
          <w:b/>
          <w:bCs/>
          <w:color w:val="auto"/>
          <w:sz w:val="28"/>
          <w:szCs w:val="28"/>
        </w:rPr>
      </w:pPr>
      <w:r w:rsidRPr="00F92763">
        <w:rPr>
          <w:rFonts w:ascii="Times New Roman" w:hAnsi="Times New Roman" w:cs="Times New Roman"/>
          <w:color w:val="auto"/>
        </w:rPr>
        <w:br w:type="page"/>
      </w:r>
    </w:p>
    <w:p w:rsidR="00FE38DF" w:rsidRPr="00F92763" w:rsidRDefault="00FE38DF" w:rsidP="00FE38DF">
      <w:pPr>
        <w:pStyle w:val="1"/>
        <w:spacing w:before="0" w:line="360" w:lineRule="auto"/>
        <w:jc w:val="center"/>
        <w:rPr>
          <w:rFonts w:ascii="Times New Roman" w:hAnsi="Times New Roman" w:cs="Times New Roman"/>
          <w:color w:val="auto"/>
        </w:rPr>
      </w:pPr>
      <w:r w:rsidRPr="00F92763">
        <w:rPr>
          <w:rFonts w:ascii="Times New Roman" w:hAnsi="Times New Roman" w:cs="Times New Roman"/>
          <w:color w:val="auto"/>
        </w:rPr>
        <w:lastRenderedPageBreak/>
        <w:t>Список использованных источников</w:t>
      </w:r>
      <w:bookmarkEnd w:id="14"/>
    </w:p>
    <w:p w:rsidR="00FE38DF" w:rsidRPr="00F92763" w:rsidRDefault="00FE38DF" w:rsidP="00917EDF">
      <w:pPr>
        <w:spacing w:line="360" w:lineRule="auto"/>
        <w:jc w:val="center"/>
        <w:rPr>
          <w:rFonts w:ascii="Times New Roman" w:hAnsi="Times New Roman" w:cs="Times New Roman"/>
          <w:color w:val="auto"/>
          <w:sz w:val="28"/>
          <w:szCs w:val="28"/>
        </w:rPr>
      </w:pP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Гражданский кодекс Российской Федерации (часть первая) от 30.11.1994 N 51-ФЗ; (часть вторая) от 26.01.1996 N 14-ФЗ; (часть третья) от 26.11.2001 N 146-ФЗ; (часть четвертая) от 18.12.2006 N 230-ФЗ (с изменениями от 4 октября 2010г.)</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Налоговый кодекс Российской Федерации (часть первая) от 31.07.98 N 146-Ф3; (часть вторая) от 5.08.2000 N 117-ФЗ (с изменениями от 28 декабря 2010г.)</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Закон РФ от 27.11.1992 N 4015-1 "Об организации страхового дела в Российской Федерации" (с изменениями от 29 ноября 2010г.)</w:t>
      </w:r>
    </w:p>
    <w:p w:rsidR="00F92763" w:rsidRPr="00F92763" w:rsidRDefault="00F92763" w:rsidP="00F92763">
      <w:pPr>
        <w:pStyle w:val="ConsTitle"/>
        <w:widowControl/>
        <w:numPr>
          <w:ilvl w:val="3"/>
          <w:numId w:val="11"/>
        </w:numPr>
        <w:spacing w:line="360" w:lineRule="auto"/>
        <w:ind w:left="0" w:right="0" w:firstLine="0"/>
        <w:jc w:val="both"/>
        <w:rPr>
          <w:rFonts w:ascii="Times New Roman" w:hAnsi="Times New Roman" w:cs="Times New Roman"/>
          <w:b w:val="0"/>
          <w:sz w:val="28"/>
          <w:szCs w:val="28"/>
        </w:rPr>
      </w:pPr>
      <w:r w:rsidRPr="00F92763">
        <w:rPr>
          <w:rFonts w:ascii="Times New Roman" w:hAnsi="Times New Roman" w:cs="Times New Roman"/>
          <w:b w:val="0"/>
          <w:sz w:val="28"/>
          <w:szCs w:val="28"/>
        </w:rPr>
        <w:t xml:space="preserve">Приказ Федеральной службы России по надзору за страховой деятельностью от 19 мая 1994 года № 02-02/08 (в ред. письма Росстрахнадзора от 17.06.1994 года) «Об утверждении новой редакции «Условий лицензирования страховой деятельности на территории Российской Федерации»//Справочно-правовая система «Консультант Плюс». </w:t>
      </w:r>
    </w:p>
    <w:p w:rsidR="00F92763" w:rsidRPr="00F92763" w:rsidRDefault="00F92763" w:rsidP="00F92763">
      <w:pPr>
        <w:pStyle w:val="aff1"/>
        <w:numPr>
          <w:ilvl w:val="3"/>
          <w:numId w:val="11"/>
        </w:numPr>
        <w:spacing w:after="0" w:line="360" w:lineRule="auto"/>
        <w:ind w:left="0" w:firstLine="0"/>
        <w:jc w:val="both"/>
        <w:rPr>
          <w:rFonts w:ascii="Times New Roman" w:hAnsi="Times New Roman" w:cs="Times New Roman"/>
          <w:sz w:val="28"/>
          <w:szCs w:val="28"/>
        </w:rPr>
      </w:pPr>
      <w:hyperlink r:id="rId10" w:history="1">
        <w:r w:rsidRPr="00F92763">
          <w:rPr>
            <w:rStyle w:val="af1"/>
            <w:rFonts w:ascii="Times New Roman" w:hAnsi="Times New Roman" w:cs="Times New Roman"/>
            <w:b w:val="0"/>
            <w:color w:val="auto"/>
            <w:sz w:val="28"/>
            <w:szCs w:val="28"/>
          </w:rPr>
          <w:t>http://www.zrpress.ru/2003/072/b010.htm</w:t>
        </w:r>
      </w:hyperlink>
      <w:r w:rsidRPr="00F92763">
        <w:rPr>
          <w:rFonts w:ascii="Times New Roman" w:hAnsi="Times New Roman" w:cs="Times New Roman"/>
          <w:sz w:val="28"/>
          <w:szCs w:val="28"/>
        </w:rPr>
        <w:t>.</w:t>
      </w:r>
    </w:p>
    <w:p w:rsidR="00F92763" w:rsidRPr="00F92763" w:rsidRDefault="00F92763"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Постановление Правительства РФ от 10.02.1992 года № 76 «О создании Российского государственной страховой компании»//Справочно-правовая система «Консультант Плюс».</w:t>
      </w:r>
    </w:p>
    <w:p w:rsidR="00F92763" w:rsidRPr="00F92763" w:rsidRDefault="00F92763"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Федеральный закон РФ от 26.12.1995 года № 208-ФЗ «Об акционерных обществах»//Справочно-правовая система «Консультант Плюс».</w:t>
      </w:r>
    </w:p>
    <w:p w:rsidR="00F92763" w:rsidRPr="00F92763" w:rsidRDefault="00F92763"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 xml:space="preserve">Федеральный закон РФ от 12 января 1996 года № 7-ФЗ «О некоммерческих организациях»//Справочно-правовая система «Консультант Плюс».  </w:t>
      </w:r>
    </w:p>
    <w:p w:rsidR="00F92763" w:rsidRPr="00F92763" w:rsidRDefault="00F92763"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Федеральный Закон РФ от 8 февраля 1998 года № 14-ФЗ «Об обществах с ограниченной ответственностью»//Справочно-правовая система «Консультант Плюс».</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noProof/>
          <w:sz w:val="28"/>
          <w:szCs w:val="28"/>
        </w:rPr>
      </w:pPr>
      <w:r w:rsidRPr="00F92763">
        <w:rPr>
          <w:rFonts w:ascii="Times New Roman" w:hAnsi="Times New Roman" w:cs="Times New Roman"/>
          <w:noProof/>
          <w:sz w:val="28"/>
          <w:szCs w:val="28"/>
        </w:rPr>
        <w:t xml:space="preserve">Боровикова Е.В. О налогообложении и налоговом консультировании страховых организаций // Налоговый вестник. – 2008. - №8. </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lastRenderedPageBreak/>
        <w:t>Вещунова Н.Л. Бухгалтерский учет в страховых организациях: учебно-практическое пособие - М.: "Проспект", 2009</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Колчин С.П. Налоги и налогообложение: учебное пособие - М.: Вузовский учебник, 2008</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Кондраков Н.П. Бухгалтерский учет: Учебное пособие. 5 изд., перераб. и доп. - М.: ИНФРА-М, 2007.</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Красова О.С. Бухгалтерский учет в страховании: практическое пособие - М.: "Омега-Л", 2007</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Миронова О.А., Азарская М.А. Учет, налогообложение и аудит в страховых организациях Изд. 2 - М.: Бухучет, 2008</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Невешкина Е.В., Шерстнева Г.С. Налог на прибыль: особенности исчисления и уплаты. - Система ГАРАНТ, 2009 г.</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Никулина Н.Н., Осипова Т.И. Особенности налогообложения в страховой организации //  Страховые организации: бухгалтерский учет и налогообложение, N 4, 5, 2009 г.</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Петрова В.И., Петров А.Ю., Скачко Г.А. Бухгалтерский учет, анализ и аудит деятельности страховых организаций - М.: "Финансы и статистика", 2008</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noProof/>
          <w:sz w:val="28"/>
          <w:szCs w:val="28"/>
        </w:rPr>
      </w:pPr>
      <w:r w:rsidRPr="00F92763">
        <w:rPr>
          <w:rFonts w:ascii="Times New Roman" w:hAnsi="Times New Roman" w:cs="Times New Roman"/>
          <w:noProof/>
          <w:sz w:val="28"/>
          <w:szCs w:val="28"/>
        </w:rPr>
        <w:t>Романова М.В. Особенности налогообложения страховых организаций // Российский налоговый курьер. – 2005. - №20.</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noProof/>
          <w:sz w:val="28"/>
          <w:szCs w:val="28"/>
        </w:rPr>
      </w:pPr>
      <w:r w:rsidRPr="00F92763">
        <w:rPr>
          <w:rFonts w:ascii="Times New Roman" w:hAnsi="Times New Roman" w:cs="Times New Roman"/>
          <w:noProof/>
          <w:sz w:val="28"/>
          <w:szCs w:val="28"/>
        </w:rPr>
        <w:t>Савченко О.С. Организация и ведение налогового учета страховщиков / О.С. Савченко // Налогообложение, учет и отчетность в страховой компании. – 2008. - №1.</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Смирнова М.Б. Страховое право: учебное пособие - М.: "ЮД Юстицинформ", 2007</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Турбина К.Е., Дадьков В.Н. Взаимное страхование - М.: Анкил, 2007</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noProof/>
          <w:sz w:val="28"/>
          <w:szCs w:val="28"/>
        </w:rPr>
      </w:pPr>
      <w:r w:rsidRPr="00F92763">
        <w:rPr>
          <w:rFonts w:ascii="Times New Roman" w:hAnsi="Times New Roman" w:cs="Times New Roman"/>
          <w:noProof/>
          <w:sz w:val="28"/>
          <w:szCs w:val="28"/>
        </w:rPr>
        <w:t>Чанкселиани Л.Г О целесообразности замены для страховых организаций налога на прибыль налогом на страховые взносы Налоги и налогообложение / Л.Г. Чанкселиани // Налоги и налогообложение. – 2007. - №8.</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lastRenderedPageBreak/>
        <w:t>Чернова Г.В., Базанов А.Н. Страхование - М.: "ТК Велби", 2008</w:t>
      </w:r>
    </w:p>
    <w:p w:rsidR="00850277" w:rsidRPr="00F92763" w:rsidRDefault="00850277"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Шахов В.В. Страхование: Учебник - М.: ЮНИТИ, 2007</w:t>
      </w:r>
    </w:p>
    <w:p w:rsidR="00850277" w:rsidRPr="00F92763" w:rsidRDefault="00850277"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Ожегов С.И. Словарь русского языка. М.: Рус. яз., 1990. С. 710.</w:t>
      </w:r>
    </w:p>
    <w:p w:rsidR="00850277" w:rsidRPr="00F92763" w:rsidRDefault="00850277"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Большая советская энциклопедия. М.: Сов. энциклопедия, 1976. Т. 24. Кн. 1. С. 556-557.</w:t>
      </w:r>
    </w:p>
    <w:p w:rsidR="00850277" w:rsidRPr="00F92763" w:rsidRDefault="00850277"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Шахов В.В. Страхование. М.: ЮНИТИ, 2010. С. 22.</w:t>
      </w:r>
    </w:p>
    <w:p w:rsidR="00F92763" w:rsidRPr="00F92763" w:rsidRDefault="00F92763" w:rsidP="00F92763">
      <w:pPr>
        <w:pStyle w:val="aff1"/>
        <w:numPr>
          <w:ilvl w:val="3"/>
          <w:numId w:val="11"/>
        </w:numPr>
        <w:spacing w:after="0"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Никулина Н.Н., Осипова Т.И. Особенности налогообложения в страховой организации //  Страховые организации: бухгалтерский учет и налогообложение, N 4, 5, 2009 г.</w:t>
      </w:r>
    </w:p>
    <w:p w:rsidR="00F92763" w:rsidRPr="00F92763" w:rsidRDefault="00F92763" w:rsidP="00F92763">
      <w:pPr>
        <w:pStyle w:val="ae"/>
        <w:numPr>
          <w:ilvl w:val="3"/>
          <w:numId w:val="11"/>
        </w:numPr>
        <w:spacing w:line="360" w:lineRule="auto"/>
        <w:ind w:left="0" w:firstLine="0"/>
        <w:jc w:val="both"/>
        <w:rPr>
          <w:rFonts w:ascii="Times New Roman" w:hAnsi="Times New Roman" w:cs="Times New Roman"/>
          <w:sz w:val="28"/>
          <w:szCs w:val="28"/>
        </w:rPr>
      </w:pPr>
      <w:r w:rsidRPr="00F92763">
        <w:rPr>
          <w:rFonts w:ascii="Times New Roman" w:hAnsi="Times New Roman" w:cs="Times New Roman"/>
          <w:sz w:val="28"/>
          <w:szCs w:val="28"/>
        </w:rPr>
        <w:t>Лермонтов Ю.М. Практический комментарий к главе 25 Налогового кодекса Российской Федерации "Налог на прибыль организаций". - Система ГАРАНТ, 2009 г.</w:t>
      </w:r>
    </w:p>
    <w:p w:rsidR="00F92763" w:rsidRPr="00F92763" w:rsidRDefault="00F92763" w:rsidP="00850277">
      <w:pPr>
        <w:pStyle w:val="ae"/>
        <w:jc w:val="both"/>
        <w:rPr>
          <w:rFonts w:ascii="Times New Roman" w:hAnsi="Times New Roman" w:cs="Times New Roman"/>
          <w:sz w:val="28"/>
          <w:szCs w:val="28"/>
        </w:rPr>
      </w:pPr>
    </w:p>
    <w:p w:rsidR="00FE38DF" w:rsidRPr="00F92763" w:rsidRDefault="00FE38DF" w:rsidP="00917EDF">
      <w:pPr>
        <w:spacing w:line="360" w:lineRule="auto"/>
        <w:jc w:val="center"/>
        <w:rPr>
          <w:rFonts w:ascii="Times New Roman" w:hAnsi="Times New Roman" w:cs="Times New Roman"/>
          <w:color w:val="auto"/>
          <w:sz w:val="28"/>
          <w:szCs w:val="28"/>
        </w:rPr>
      </w:pPr>
    </w:p>
    <w:sectPr w:rsidR="00FE38DF" w:rsidRPr="00F92763" w:rsidSect="00ED27F2">
      <w:footerReference w:type="default" r:id="rId11"/>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178" w:rsidRDefault="00765178" w:rsidP="00ED27F2">
      <w:r>
        <w:separator/>
      </w:r>
    </w:p>
  </w:endnote>
  <w:endnote w:type="continuationSeparator" w:id="1">
    <w:p w:rsidR="00765178" w:rsidRDefault="00765178" w:rsidP="00ED2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7918403"/>
      <w:docPartObj>
        <w:docPartGallery w:val="Page Numbers (Bottom of Page)"/>
        <w:docPartUnique/>
      </w:docPartObj>
    </w:sdtPr>
    <w:sdtContent>
      <w:p w:rsidR="00E16257" w:rsidRPr="00ED27F2" w:rsidRDefault="00E16257">
        <w:pPr>
          <w:pStyle w:val="a9"/>
          <w:jc w:val="center"/>
          <w:rPr>
            <w:rFonts w:ascii="Times New Roman" w:hAnsi="Times New Roman" w:cs="Times New Roman"/>
          </w:rPr>
        </w:pPr>
        <w:r w:rsidRPr="00ED27F2">
          <w:rPr>
            <w:rFonts w:ascii="Times New Roman" w:hAnsi="Times New Roman" w:cs="Times New Roman"/>
          </w:rPr>
          <w:fldChar w:fldCharType="begin"/>
        </w:r>
        <w:r w:rsidRPr="00ED27F2">
          <w:rPr>
            <w:rFonts w:ascii="Times New Roman" w:hAnsi="Times New Roman" w:cs="Times New Roman"/>
          </w:rPr>
          <w:instrText xml:space="preserve"> PAGE   \* MERGEFORMAT </w:instrText>
        </w:r>
        <w:r w:rsidRPr="00ED27F2">
          <w:rPr>
            <w:rFonts w:ascii="Times New Roman" w:hAnsi="Times New Roman" w:cs="Times New Roman"/>
          </w:rPr>
          <w:fldChar w:fldCharType="separate"/>
        </w:r>
        <w:r w:rsidR="005C51AF">
          <w:rPr>
            <w:rFonts w:ascii="Times New Roman" w:hAnsi="Times New Roman" w:cs="Times New Roman"/>
            <w:noProof/>
          </w:rPr>
          <w:t>46</w:t>
        </w:r>
        <w:r w:rsidRPr="00ED27F2">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178" w:rsidRDefault="00765178" w:rsidP="00ED27F2">
      <w:r>
        <w:separator/>
      </w:r>
    </w:p>
  </w:footnote>
  <w:footnote w:type="continuationSeparator" w:id="1">
    <w:p w:rsidR="00765178" w:rsidRDefault="00765178" w:rsidP="00ED27F2">
      <w:r>
        <w:continuationSeparator/>
      </w:r>
    </w:p>
  </w:footnote>
  <w:footnote w:id="2">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Ожегов С.И. Словарь русского языка. М.: Рус. яз., 1990. С. 710.</w:t>
      </w:r>
    </w:p>
  </w:footnote>
  <w:footnote w:id="3">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Большая советская энциклопедия. М.: Сов. энциклопедия, 1976. Т. 24. Кн. 1. С. 556-557.</w:t>
      </w:r>
    </w:p>
  </w:footnote>
  <w:footnote w:id="4">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Шахов В.В. Страхование. М.: ЮНИТИ, 2010. С. 22.</w:t>
      </w:r>
    </w:p>
  </w:footnote>
  <w:footnote w:id="5">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Закон РФ от 27.11.1992 года № 4015-</w:t>
      </w:r>
      <w:r w:rsidRPr="00850277">
        <w:rPr>
          <w:rFonts w:ascii="Times New Roman" w:hAnsi="Times New Roman" w:cs="Times New Roman"/>
          <w:lang w:val="en-US"/>
        </w:rPr>
        <w:t>I</w:t>
      </w:r>
      <w:r w:rsidRPr="00850277">
        <w:rPr>
          <w:rFonts w:ascii="Times New Roman" w:hAnsi="Times New Roman" w:cs="Times New Roman"/>
        </w:rPr>
        <w:t xml:space="preserve"> «Об организации страхового дела в Российской Федерации»//Справочно-правовая системы «Консультант Плюс». </w:t>
      </w:r>
    </w:p>
  </w:footnote>
  <w:footnote w:id="6">
    <w:p w:rsidR="00E16257" w:rsidRPr="00850277" w:rsidRDefault="00E16257" w:rsidP="009F2AA5">
      <w:pPr>
        <w:pStyle w:val="ConsTitle"/>
        <w:widowControl/>
        <w:ind w:right="0"/>
        <w:jc w:val="both"/>
        <w:rPr>
          <w:rFonts w:ascii="Times New Roman" w:hAnsi="Times New Roman" w:cs="Times New Roman"/>
          <w:b w:val="0"/>
          <w:sz w:val="20"/>
          <w:szCs w:val="20"/>
        </w:rPr>
      </w:pPr>
      <w:r w:rsidRPr="00850277">
        <w:rPr>
          <w:rStyle w:val="af0"/>
          <w:rFonts w:ascii="Times New Roman" w:hAnsi="Times New Roman" w:cs="Times New Roman"/>
          <w:b w:val="0"/>
          <w:sz w:val="20"/>
          <w:szCs w:val="20"/>
        </w:rPr>
        <w:footnoteRef/>
      </w:r>
      <w:r w:rsidRPr="00850277">
        <w:rPr>
          <w:rFonts w:ascii="Times New Roman" w:hAnsi="Times New Roman" w:cs="Times New Roman"/>
          <w:b w:val="0"/>
          <w:sz w:val="20"/>
          <w:szCs w:val="20"/>
        </w:rPr>
        <w:t xml:space="preserve"> Приказ Федеральной службы России по надзору за страховой деятельностью от 19 мая 1994 года № 02-02/08 (в ред. письма Росстрахнадзора от 17.06.1994 года) «Об утверждении новой редакции «Условий лицензирования страховой деятельности на территории Российской Федерации»//Справочно-правовая система «Консультант Плюс». </w:t>
      </w:r>
    </w:p>
  </w:footnote>
  <w:footnote w:id="7">
    <w:p w:rsidR="00E16257" w:rsidRPr="00850277" w:rsidRDefault="00E16257" w:rsidP="009F2AA5">
      <w:pPr>
        <w:pStyle w:val="af2"/>
        <w:jc w:val="both"/>
      </w:pPr>
      <w:r w:rsidRPr="00850277">
        <w:rPr>
          <w:rStyle w:val="af0"/>
        </w:rPr>
        <w:footnoteRef/>
      </w:r>
      <w:r w:rsidRPr="00850277">
        <w:t xml:space="preserve"> </w:t>
      </w:r>
      <w:r w:rsidRPr="00850277">
        <w:rPr>
          <w:color w:val="000000"/>
        </w:rPr>
        <w:t>Г</w:t>
      </w:r>
      <w:r w:rsidRPr="00850277">
        <w:t xml:space="preserve">ражданский кодекс Российской Федерации, часть первая, от 30 ноября 1994 года//Справочно-правовая система «Консультант Плюс». </w:t>
      </w:r>
    </w:p>
    <w:p w:rsidR="00E16257" w:rsidRPr="00850277" w:rsidRDefault="00E16257" w:rsidP="009F2AA5">
      <w:pPr>
        <w:pStyle w:val="ae"/>
        <w:jc w:val="both"/>
        <w:rPr>
          <w:rFonts w:ascii="Times New Roman" w:hAnsi="Times New Roman" w:cs="Times New Roman"/>
        </w:rPr>
      </w:pPr>
    </w:p>
  </w:footnote>
  <w:footnote w:id="8">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Федеральный закон РФ от 26.12.1995 года № 208-ФЗ «Об акционерных обществах»//Справочно-правовая система «Консультант Плюс».</w:t>
      </w:r>
    </w:p>
  </w:footnote>
  <w:footnote w:id="9">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Постановление Правительства РФ от 10.02.1992 года № 76 «О создании Российского государственной страховой компании»//Справочно-правовая система «Консультант Плюс».</w:t>
      </w:r>
    </w:p>
  </w:footnote>
  <w:footnote w:id="10">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Федеральный Закон РФ от 8 февраля 1998 года № 14-ФЗ «Об обществах с ограниченной ответственностью»//Справочно-правовая система «Консультант Плюс».</w:t>
      </w:r>
    </w:p>
  </w:footnote>
  <w:footnote w:id="11">
    <w:p w:rsidR="00E16257" w:rsidRPr="00850277" w:rsidRDefault="00E16257" w:rsidP="009F2AA5">
      <w:pPr>
        <w:jc w:val="both"/>
        <w:rPr>
          <w:rFonts w:ascii="Times New Roman" w:hAnsi="Times New Roman" w:cs="Times New Roman"/>
          <w:sz w:val="20"/>
          <w:szCs w:val="20"/>
        </w:rPr>
      </w:pPr>
      <w:r w:rsidRPr="00850277">
        <w:rPr>
          <w:rStyle w:val="af0"/>
          <w:rFonts w:ascii="Times New Roman" w:hAnsi="Times New Roman" w:cs="Times New Roman"/>
          <w:sz w:val="20"/>
          <w:szCs w:val="20"/>
        </w:rPr>
        <w:footnoteRef/>
      </w:r>
      <w:r w:rsidRPr="00850277">
        <w:rPr>
          <w:rFonts w:ascii="Times New Roman" w:hAnsi="Times New Roman" w:cs="Times New Roman"/>
          <w:sz w:val="20"/>
          <w:szCs w:val="20"/>
        </w:rPr>
        <w:t xml:space="preserve"> </w:t>
      </w:r>
      <w:hyperlink r:id="rId1" w:history="1">
        <w:r w:rsidRPr="00850277">
          <w:rPr>
            <w:rStyle w:val="af1"/>
            <w:rFonts w:ascii="Times New Roman" w:hAnsi="Times New Roman" w:cs="Times New Roman"/>
            <w:b w:val="0"/>
            <w:color w:val="auto"/>
            <w:sz w:val="20"/>
            <w:szCs w:val="20"/>
          </w:rPr>
          <w:t>http://www.zrpress.ru/2003/072/b010.htm</w:t>
        </w:r>
      </w:hyperlink>
      <w:r w:rsidRPr="00850277">
        <w:rPr>
          <w:rFonts w:ascii="Times New Roman" w:hAnsi="Times New Roman" w:cs="Times New Roman"/>
          <w:sz w:val="20"/>
          <w:szCs w:val="20"/>
        </w:rPr>
        <w:t>.</w:t>
      </w:r>
    </w:p>
  </w:footnote>
  <w:footnote w:id="12">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Федеральный закон РФ от 12 января 1996 года № 7-ФЗ «О некоммерческих организациях»//Справочно-правовая система «Консультант Плюс».  </w:t>
      </w:r>
    </w:p>
  </w:footnote>
  <w:footnote w:id="13">
    <w:p w:rsidR="00E16257" w:rsidRPr="00850277" w:rsidRDefault="00E16257" w:rsidP="009F2AA5">
      <w:pPr>
        <w:jc w:val="both"/>
        <w:rPr>
          <w:rFonts w:ascii="Times New Roman" w:hAnsi="Times New Roman" w:cs="Times New Roman"/>
          <w:sz w:val="20"/>
          <w:szCs w:val="20"/>
        </w:rPr>
      </w:pPr>
      <w:r w:rsidRPr="00850277">
        <w:rPr>
          <w:rStyle w:val="af0"/>
          <w:rFonts w:ascii="Times New Roman" w:hAnsi="Times New Roman" w:cs="Times New Roman"/>
          <w:sz w:val="20"/>
          <w:szCs w:val="20"/>
        </w:rPr>
        <w:footnoteRef/>
      </w:r>
      <w:r w:rsidRPr="00850277">
        <w:rPr>
          <w:rFonts w:ascii="Times New Roman" w:hAnsi="Times New Roman" w:cs="Times New Roman"/>
          <w:sz w:val="20"/>
          <w:szCs w:val="20"/>
        </w:rPr>
        <w:t xml:space="preserve"> Никулина Н.Н., Осипова Т.И. Особенности налогообложения в страховой организации //  Страховые организации: бухгалтерский учет и налогообложение, N 4, 5, 2009 г.</w:t>
      </w:r>
    </w:p>
  </w:footnote>
  <w:footnote w:id="14">
    <w:p w:rsidR="00E16257" w:rsidRPr="00850277" w:rsidRDefault="00E16257" w:rsidP="009F2AA5">
      <w:pPr>
        <w:pStyle w:val="ae"/>
        <w:jc w:val="both"/>
        <w:rPr>
          <w:rFonts w:ascii="Times New Roman" w:hAnsi="Times New Roman" w:cs="Times New Roman"/>
        </w:rPr>
      </w:pPr>
      <w:r w:rsidRPr="00850277">
        <w:rPr>
          <w:rStyle w:val="af0"/>
          <w:rFonts w:ascii="Times New Roman" w:hAnsi="Times New Roman" w:cs="Times New Roman"/>
        </w:rPr>
        <w:footnoteRef/>
      </w:r>
      <w:r w:rsidRPr="00850277">
        <w:rPr>
          <w:rFonts w:ascii="Times New Roman" w:hAnsi="Times New Roman" w:cs="Times New Roman"/>
        </w:rPr>
        <w:t xml:space="preserve"> Лермонтов Ю.М. Практический комментарий к главе 25 Налогового кодекса Российской Федерации "Налог на прибыль организаций". - Система ГАРАНТ, 2009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2C1E97"/>
    <w:multiLevelType w:val="hybridMultilevel"/>
    <w:tmpl w:val="B10FA1C6"/>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F15898B8"/>
    <w:multiLevelType w:val="hybridMultilevel"/>
    <w:tmpl w:val="8EF6F37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380FB6"/>
    <w:multiLevelType w:val="hybridMultilevel"/>
    <w:tmpl w:val="11C8ACC8"/>
    <w:lvl w:ilvl="0" w:tplc="ED42B22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C9F342A"/>
    <w:multiLevelType w:val="hybridMultilevel"/>
    <w:tmpl w:val="A46A2614"/>
    <w:lvl w:ilvl="0" w:tplc="50AC2756">
      <w:start w:val="1"/>
      <w:numFmt w:val="decimal"/>
      <w:lvlText w:val="%1."/>
      <w:lvlJc w:val="left"/>
      <w:pPr>
        <w:tabs>
          <w:tab w:val="num" w:pos="1080"/>
        </w:tabs>
        <w:ind w:left="1080" w:hanging="360"/>
      </w:pPr>
      <w:rPr>
        <w:rFonts w:hint="default"/>
      </w:rPr>
    </w:lvl>
    <w:lvl w:ilvl="1" w:tplc="50CE4D2E">
      <w:numFmt w:val="none"/>
      <w:lvlText w:val=""/>
      <w:lvlJc w:val="left"/>
      <w:pPr>
        <w:tabs>
          <w:tab w:val="num" w:pos="360"/>
        </w:tabs>
      </w:pPr>
    </w:lvl>
    <w:lvl w:ilvl="2" w:tplc="30327A60">
      <w:numFmt w:val="none"/>
      <w:lvlText w:val=""/>
      <w:lvlJc w:val="left"/>
      <w:pPr>
        <w:tabs>
          <w:tab w:val="num" w:pos="360"/>
        </w:tabs>
      </w:pPr>
    </w:lvl>
    <w:lvl w:ilvl="3" w:tplc="12162414">
      <w:numFmt w:val="none"/>
      <w:lvlText w:val=""/>
      <w:lvlJc w:val="left"/>
      <w:pPr>
        <w:tabs>
          <w:tab w:val="num" w:pos="360"/>
        </w:tabs>
      </w:pPr>
    </w:lvl>
    <w:lvl w:ilvl="4" w:tplc="8BC8D8F4">
      <w:numFmt w:val="none"/>
      <w:lvlText w:val=""/>
      <w:lvlJc w:val="left"/>
      <w:pPr>
        <w:tabs>
          <w:tab w:val="num" w:pos="360"/>
        </w:tabs>
      </w:pPr>
    </w:lvl>
    <w:lvl w:ilvl="5" w:tplc="CB1EE176">
      <w:numFmt w:val="none"/>
      <w:lvlText w:val=""/>
      <w:lvlJc w:val="left"/>
      <w:pPr>
        <w:tabs>
          <w:tab w:val="num" w:pos="360"/>
        </w:tabs>
      </w:pPr>
    </w:lvl>
    <w:lvl w:ilvl="6" w:tplc="F5C0612C">
      <w:numFmt w:val="none"/>
      <w:lvlText w:val=""/>
      <w:lvlJc w:val="left"/>
      <w:pPr>
        <w:tabs>
          <w:tab w:val="num" w:pos="360"/>
        </w:tabs>
      </w:pPr>
    </w:lvl>
    <w:lvl w:ilvl="7" w:tplc="50BC9BDC">
      <w:numFmt w:val="none"/>
      <w:lvlText w:val=""/>
      <w:lvlJc w:val="left"/>
      <w:pPr>
        <w:tabs>
          <w:tab w:val="num" w:pos="360"/>
        </w:tabs>
      </w:pPr>
    </w:lvl>
    <w:lvl w:ilvl="8" w:tplc="C48246F4">
      <w:numFmt w:val="none"/>
      <w:lvlText w:val=""/>
      <w:lvlJc w:val="left"/>
      <w:pPr>
        <w:tabs>
          <w:tab w:val="num" w:pos="360"/>
        </w:tabs>
      </w:pPr>
    </w:lvl>
  </w:abstractNum>
  <w:abstractNum w:abstractNumId="4">
    <w:nsid w:val="37CCC169"/>
    <w:multiLevelType w:val="hybridMultilevel"/>
    <w:tmpl w:val="28559E9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38D57063"/>
    <w:multiLevelType w:val="hybridMultilevel"/>
    <w:tmpl w:val="8A2C56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201FD22"/>
    <w:multiLevelType w:val="hybridMultilevel"/>
    <w:tmpl w:val="F082AE2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44BAAC8B"/>
    <w:multiLevelType w:val="hybridMultilevel"/>
    <w:tmpl w:val="7B22EEE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5ADB43B1"/>
    <w:multiLevelType w:val="hybridMultilevel"/>
    <w:tmpl w:val="46907D4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F276D5A"/>
    <w:multiLevelType w:val="hybridMultilevel"/>
    <w:tmpl w:val="A784E3E0"/>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7CC200CF"/>
    <w:multiLevelType w:val="hybridMultilevel"/>
    <w:tmpl w:val="D884F9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6"/>
  </w:num>
  <w:num w:numId="7">
    <w:abstractNumId w:val="0"/>
  </w:num>
  <w:num w:numId="8">
    <w:abstractNumId w:val="1"/>
  </w:num>
  <w:num w:numId="9">
    <w:abstractNumId w:val="8"/>
  </w:num>
  <w:num w:numId="10">
    <w:abstractNumId w:val="5"/>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917EDF"/>
    <w:rsid w:val="00010118"/>
    <w:rsid w:val="00013DE7"/>
    <w:rsid w:val="00095BAA"/>
    <w:rsid w:val="000F7327"/>
    <w:rsid w:val="001019C6"/>
    <w:rsid w:val="001072A1"/>
    <w:rsid w:val="00114800"/>
    <w:rsid w:val="0015478A"/>
    <w:rsid w:val="00171881"/>
    <w:rsid w:val="001C74AB"/>
    <w:rsid w:val="00241E9A"/>
    <w:rsid w:val="002E304A"/>
    <w:rsid w:val="0035337C"/>
    <w:rsid w:val="003E3F2F"/>
    <w:rsid w:val="00426AEF"/>
    <w:rsid w:val="004D0E14"/>
    <w:rsid w:val="004F0EEE"/>
    <w:rsid w:val="00547695"/>
    <w:rsid w:val="00597EAB"/>
    <w:rsid w:val="005C51AF"/>
    <w:rsid w:val="006561DD"/>
    <w:rsid w:val="0069296D"/>
    <w:rsid w:val="006D3162"/>
    <w:rsid w:val="00714DD4"/>
    <w:rsid w:val="00753346"/>
    <w:rsid w:val="00765178"/>
    <w:rsid w:val="00822313"/>
    <w:rsid w:val="00850277"/>
    <w:rsid w:val="0086222F"/>
    <w:rsid w:val="00876DF7"/>
    <w:rsid w:val="00894502"/>
    <w:rsid w:val="008A09B6"/>
    <w:rsid w:val="008B43E8"/>
    <w:rsid w:val="00917EDF"/>
    <w:rsid w:val="00947766"/>
    <w:rsid w:val="00956542"/>
    <w:rsid w:val="009640B8"/>
    <w:rsid w:val="009944BB"/>
    <w:rsid w:val="009A20CA"/>
    <w:rsid w:val="009B5471"/>
    <w:rsid w:val="009B7239"/>
    <w:rsid w:val="009D255E"/>
    <w:rsid w:val="009F2AA5"/>
    <w:rsid w:val="00A5208D"/>
    <w:rsid w:val="00A83735"/>
    <w:rsid w:val="00AB365F"/>
    <w:rsid w:val="00AF3D0A"/>
    <w:rsid w:val="00B10B60"/>
    <w:rsid w:val="00B42185"/>
    <w:rsid w:val="00B42D86"/>
    <w:rsid w:val="00B714EA"/>
    <w:rsid w:val="00C2293E"/>
    <w:rsid w:val="00C8421D"/>
    <w:rsid w:val="00CF5688"/>
    <w:rsid w:val="00D17AD8"/>
    <w:rsid w:val="00D21DC3"/>
    <w:rsid w:val="00DB7BC3"/>
    <w:rsid w:val="00E16257"/>
    <w:rsid w:val="00E25DD4"/>
    <w:rsid w:val="00E422DD"/>
    <w:rsid w:val="00EC48E4"/>
    <w:rsid w:val="00ED27F2"/>
    <w:rsid w:val="00F02304"/>
    <w:rsid w:val="00F27506"/>
    <w:rsid w:val="00F74AAE"/>
    <w:rsid w:val="00F92763"/>
    <w:rsid w:val="00F94C54"/>
    <w:rsid w:val="00FE38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0277"/>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
    <w:qFormat/>
    <w:rsid w:val="00917E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B10B60"/>
    <w:pPr>
      <w:keepNext/>
      <w:spacing w:before="240" w:after="60"/>
      <w:outlineLvl w:val="1"/>
    </w:pPr>
    <w:rPr>
      <w:rFonts w:ascii="Arial" w:eastAsia="Times New Roman" w:hAnsi="Arial" w:cs="Arial"/>
      <w:b/>
      <w:bCs/>
      <w:i/>
      <w:iCs/>
      <w:color w:val="auto"/>
      <w:sz w:val="28"/>
      <w:szCs w:val="28"/>
    </w:rPr>
  </w:style>
  <w:style w:type="paragraph" w:styleId="3">
    <w:name w:val="heading 3"/>
    <w:basedOn w:val="a"/>
    <w:next w:val="a"/>
    <w:link w:val="30"/>
    <w:uiPriority w:val="9"/>
    <w:rsid w:val="00B10B60"/>
    <w:pPr>
      <w:keepNext/>
      <w:jc w:val="both"/>
      <w:outlineLvl w:val="2"/>
    </w:pPr>
    <w:rPr>
      <w:rFonts w:ascii="Times New Roman" w:eastAsia="Times New Roman" w:hAnsi="Times New Roman" w:cs="Times New Roman"/>
      <w:color w:val="auto"/>
      <w:sz w:val="28"/>
      <w:szCs w:val="20"/>
    </w:rPr>
  </w:style>
  <w:style w:type="paragraph" w:styleId="6">
    <w:name w:val="heading 6"/>
    <w:basedOn w:val="a"/>
    <w:next w:val="a"/>
    <w:link w:val="60"/>
    <w:uiPriority w:val="9"/>
    <w:qFormat/>
    <w:rsid w:val="00B10B60"/>
    <w:pPr>
      <w:spacing w:before="240" w:after="60"/>
      <w:outlineLvl w:val="5"/>
    </w:pPr>
    <w:rPr>
      <w:rFonts w:ascii="Times New Roman" w:eastAsia="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7ED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B10B60"/>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B10B60"/>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
    <w:rsid w:val="00B10B60"/>
    <w:rPr>
      <w:rFonts w:ascii="Times New Roman" w:eastAsia="Times New Roman" w:hAnsi="Times New Roman" w:cs="Times New Roman"/>
      <w:b/>
      <w:bCs/>
      <w:lang w:eastAsia="ru-RU"/>
    </w:rPr>
  </w:style>
  <w:style w:type="character" w:customStyle="1" w:styleId="a3">
    <w:name w:val="Основной текст_"/>
    <w:basedOn w:val="a0"/>
    <w:link w:val="11"/>
    <w:rsid w:val="00917EDF"/>
    <w:rPr>
      <w:rFonts w:ascii="Times New Roman" w:eastAsia="Times New Roman" w:hAnsi="Times New Roman" w:cs="Times New Roman"/>
      <w:sz w:val="25"/>
      <w:szCs w:val="25"/>
      <w:shd w:val="clear" w:color="auto" w:fill="FFFFFF"/>
    </w:rPr>
  </w:style>
  <w:style w:type="paragraph" w:customStyle="1" w:styleId="11">
    <w:name w:val="Основной текст1"/>
    <w:basedOn w:val="a"/>
    <w:link w:val="a3"/>
    <w:rsid w:val="00917EDF"/>
    <w:pPr>
      <w:shd w:val="clear" w:color="auto" w:fill="FFFFFF"/>
      <w:spacing w:after="2340" w:line="480" w:lineRule="exact"/>
      <w:jc w:val="center"/>
    </w:pPr>
    <w:rPr>
      <w:rFonts w:ascii="Times New Roman" w:eastAsia="Times New Roman" w:hAnsi="Times New Roman" w:cs="Times New Roman"/>
      <w:color w:val="auto"/>
      <w:sz w:val="25"/>
      <w:szCs w:val="25"/>
      <w:lang w:eastAsia="en-US"/>
    </w:rPr>
  </w:style>
  <w:style w:type="character" w:customStyle="1" w:styleId="12">
    <w:name w:val="Заголовок №1 (2)_"/>
    <w:basedOn w:val="a0"/>
    <w:rsid w:val="00917EDF"/>
    <w:rPr>
      <w:rFonts w:ascii="Times New Roman" w:eastAsia="Times New Roman" w:hAnsi="Times New Roman" w:cs="Times New Roman"/>
      <w:b w:val="0"/>
      <w:bCs w:val="0"/>
      <w:i w:val="0"/>
      <w:iCs w:val="0"/>
      <w:smallCaps w:val="0"/>
      <w:strike w:val="0"/>
      <w:spacing w:val="0"/>
      <w:sz w:val="26"/>
      <w:szCs w:val="26"/>
    </w:rPr>
  </w:style>
  <w:style w:type="character" w:customStyle="1" w:styleId="120">
    <w:name w:val="Заголовок №1 (2)"/>
    <w:basedOn w:val="12"/>
    <w:rsid w:val="00917EDF"/>
  </w:style>
  <w:style w:type="paragraph" w:styleId="a4">
    <w:name w:val="TOC Heading"/>
    <w:basedOn w:val="1"/>
    <w:next w:val="a"/>
    <w:uiPriority w:val="39"/>
    <w:semiHidden/>
    <w:unhideWhenUsed/>
    <w:qFormat/>
    <w:rsid w:val="00917EDF"/>
    <w:pPr>
      <w:spacing w:line="276" w:lineRule="auto"/>
      <w:outlineLvl w:val="9"/>
    </w:pPr>
    <w:rPr>
      <w:lang w:eastAsia="en-US"/>
    </w:rPr>
  </w:style>
  <w:style w:type="paragraph" w:styleId="a5">
    <w:name w:val="Balloon Text"/>
    <w:basedOn w:val="a"/>
    <w:link w:val="a6"/>
    <w:uiPriority w:val="99"/>
    <w:semiHidden/>
    <w:unhideWhenUsed/>
    <w:rsid w:val="00917EDF"/>
    <w:rPr>
      <w:rFonts w:ascii="Tahoma" w:hAnsi="Tahoma" w:cs="Tahoma"/>
      <w:sz w:val="16"/>
      <w:szCs w:val="16"/>
    </w:rPr>
  </w:style>
  <w:style w:type="character" w:customStyle="1" w:styleId="a6">
    <w:name w:val="Текст выноски Знак"/>
    <w:basedOn w:val="a0"/>
    <w:link w:val="a5"/>
    <w:uiPriority w:val="99"/>
    <w:semiHidden/>
    <w:rsid w:val="00917EDF"/>
    <w:rPr>
      <w:rFonts w:ascii="Tahoma" w:eastAsia="Arial Unicode MS" w:hAnsi="Tahoma" w:cs="Tahoma"/>
      <w:color w:val="000000"/>
      <w:sz w:val="16"/>
      <w:szCs w:val="16"/>
      <w:lang w:eastAsia="ru-RU"/>
    </w:rPr>
  </w:style>
  <w:style w:type="paragraph" w:styleId="a7">
    <w:name w:val="header"/>
    <w:basedOn w:val="a"/>
    <w:link w:val="a8"/>
    <w:uiPriority w:val="99"/>
    <w:unhideWhenUsed/>
    <w:rsid w:val="00ED27F2"/>
    <w:pPr>
      <w:tabs>
        <w:tab w:val="center" w:pos="4677"/>
        <w:tab w:val="right" w:pos="9355"/>
      </w:tabs>
    </w:pPr>
  </w:style>
  <w:style w:type="character" w:customStyle="1" w:styleId="a8">
    <w:name w:val="Верхний колонтитул Знак"/>
    <w:basedOn w:val="a0"/>
    <w:link w:val="a7"/>
    <w:uiPriority w:val="99"/>
    <w:rsid w:val="00ED27F2"/>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ED27F2"/>
    <w:pPr>
      <w:tabs>
        <w:tab w:val="center" w:pos="4677"/>
        <w:tab w:val="right" w:pos="9355"/>
      </w:tabs>
    </w:pPr>
  </w:style>
  <w:style w:type="character" w:customStyle="1" w:styleId="aa">
    <w:name w:val="Нижний колонтитул Знак"/>
    <w:basedOn w:val="a0"/>
    <w:link w:val="a9"/>
    <w:uiPriority w:val="99"/>
    <w:rsid w:val="00ED27F2"/>
    <w:rPr>
      <w:rFonts w:ascii="Arial Unicode MS" w:eastAsia="Arial Unicode MS" w:hAnsi="Arial Unicode MS" w:cs="Arial Unicode MS"/>
      <w:color w:val="000000"/>
      <w:sz w:val="24"/>
      <w:szCs w:val="24"/>
      <w:lang w:eastAsia="ru-RU"/>
    </w:rPr>
  </w:style>
  <w:style w:type="character" w:customStyle="1" w:styleId="ab">
    <w:name w:val="Гипертекстовая ссылка"/>
    <w:basedOn w:val="a0"/>
    <w:uiPriority w:val="99"/>
    <w:rsid w:val="00013DE7"/>
    <w:rPr>
      <w:color w:val="106BBE"/>
    </w:rPr>
  </w:style>
  <w:style w:type="paragraph" w:styleId="ac">
    <w:name w:val="Normal (Web)"/>
    <w:aliases w:val="Обычный (Web),Обычный (веб) Знак Знак Знак,Обычный (веб) Знак Знак"/>
    <w:basedOn w:val="a"/>
    <w:link w:val="ad"/>
    <w:uiPriority w:val="99"/>
    <w:unhideWhenUsed/>
    <w:rsid w:val="000F7327"/>
    <w:pPr>
      <w:spacing w:before="100" w:beforeAutospacing="1" w:after="100" w:afterAutospacing="1"/>
    </w:pPr>
    <w:rPr>
      <w:rFonts w:ascii="Times New Roman" w:eastAsia="Times New Roman" w:hAnsi="Times New Roman" w:cs="Times New Roman"/>
      <w:color w:val="auto"/>
    </w:rPr>
  </w:style>
  <w:style w:type="character" w:customStyle="1" w:styleId="ad">
    <w:name w:val="Обычный (веб) Знак"/>
    <w:aliases w:val="Обычный (Web) Знак,Обычный (веб) Знак Знак Знак Знак,Обычный (веб) Знак Знак Знак1"/>
    <w:basedOn w:val="a0"/>
    <w:link w:val="ac"/>
    <w:uiPriority w:val="99"/>
    <w:locked/>
    <w:rsid w:val="00B10B60"/>
    <w:rPr>
      <w:rFonts w:ascii="Times New Roman" w:eastAsia="Times New Roman" w:hAnsi="Times New Roman" w:cs="Times New Roman"/>
      <w:sz w:val="24"/>
      <w:szCs w:val="24"/>
      <w:lang w:eastAsia="ru-RU"/>
    </w:rPr>
  </w:style>
  <w:style w:type="paragraph" w:styleId="ae">
    <w:name w:val="footnote text"/>
    <w:basedOn w:val="a"/>
    <w:link w:val="af"/>
    <w:uiPriority w:val="99"/>
    <w:semiHidden/>
    <w:unhideWhenUsed/>
    <w:rsid w:val="000F7327"/>
    <w:rPr>
      <w:sz w:val="20"/>
      <w:szCs w:val="20"/>
    </w:rPr>
  </w:style>
  <w:style w:type="character" w:customStyle="1" w:styleId="af">
    <w:name w:val="Текст сноски Знак"/>
    <w:basedOn w:val="a0"/>
    <w:link w:val="ae"/>
    <w:uiPriority w:val="99"/>
    <w:semiHidden/>
    <w:rsid w:val="000F7327"/>
    <w:rPr>
      <w:rFonts w:ascii="Arial Unicode MS" w:eastAsia="Arial Unicode MS" w:hAnsi="Arial Unicode MS" w:cs="Arial Unicode MS"/>
      <w:color w:val="000000"/>
      <w:sz w:val="20"/>
      <w:szCs w:val="20"/>
      <w:lang w:eastAsia="ru-RU"/>
    </w:rPr>
  </w:style>
  <w:style w:type="character" w:styleId="af0">
    <w:name w:val="footnote reference"/>
    <w:basedOn w:val="a0"/>
    <w:uiPriority w:val="99"/>
    <w:semiHidden/>
    <w:unhideWhenUsed/>
    <w:rsid w:val="000F7327"/>
    <w:rPr>
      <w:vertAlign w:val="superscript"/>
    </w:rPr>
  </w:style>
  <w:style w:type="character" w:styleId="af1">
    <w:name w:val="Hyperlink"/>
    <w:basedOn w:val="a0"/>
    <w:uiPriority w:val="99"/>
    <w:rsid w:val="000F7327"/>
    <w:rPr>
      <w:b/>
      <w:bCs/>
      <w:strike w:val="0"/>
      <w:dstrike w:val="0"/>
      <w:color w:val="600000"/>
      <w:u w:val="none"/>
      <w:effect w:val="none"/>
    </w:rPr>
  </w:style>
  <w:style w:type="paragraph" w:customStyle="1" w:styleId="ConsTitle">
    <w:name w:val="ConsTitle"/>
    <w:rsid w:val="000F732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2">
    <w:name w:val="endnote text"/>
    <w:basedOn w:val="a"/>
    <w:link w:val="af3"/>
    <w:semiHidden/>
    <w:rsid w:val="000F7327"/>
    <w:rPr>
      <w:rFonts w:ascii="Times New Roman" w:eastAsia="Times New Roman" w:hAnsi="Times New Roman" w:cs="Times New Roman"/>
      <w:color w:val="auto"/>
      <w:sz w:val="20"/>
      <w:szCs w:val="20"/>
    </w:rPr>
  </w:style>
  <w:style w:type="character" w:customStyle="1" w:styleId="af3">
    <w:name w:val="Текст концевой сноски Знак"/>
    <w:basedOn w:val="a0"/>
    <w:link w:val="af2"/>
    <w:semiHidden/>
    <w:rsid w:val="000F7327"/>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9F2AA5"/>
  </w:style>
  <w:style w:type="paragraph" w:styleId="af4">
    <w:name w:val="Body Text"/>
    <w:basedOn w:val="a"/>
    <w:link w:val="af5"/>
    <w:uiPriority w:val="99"/>
    <w:rsid w:val="009F2AA5"/>
    <w:pPr>
      <w:spacing w:after="120"/>
    </w:pPr>
    <w:rPr>
      <w:rFonts w:ascii="Times New Roman" w:eastAsia="Times New Roman" w:hAnsi="Times New Roman" w:cs="Times New Roman"/>
      <w:color w:val="auto"/>
    </w:rPr>
  </w:style>
  <w:style w:type="character" w:customStyle="1" w:styleId="af5">
    <w:name w:val="Основной текст Знак"/>
    <w:basedOn w:val="a0"/>
    <w:link w:val="af4"/>
    <w:uiPriority w:val="99"/>
    <w:rsid w:val="009F2AA5"/>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9F2AA5"/>
    <w:pPr>
      <w:spacing w:after="120" w:line="480" w:lineRule="auto"/>
    </w:pPr>
    <w:rPr>
      <w:rFonts w:asciiTheme="minorHAnsi" w:eastAsiaTheme="minorHAnsi" w:hAnsiTheme="minorHAnsi" w:cstheme="minorBidi"/>
      <w:color w:val="auto"/>
      <w:sz w:val="22"/>
      <w:szCs w:val="22"/>
      <w:lang w:eastAsia="en-US"/>
    </w:rPr>
  </w:style>
  <w:style w:type="character" w:customStyle="1" w:styleId="22">
    <w:name w:val="Основной текст 2 Знак"/>
    <w:basedOn w:val="a0"/>
    <w:link w:val="21"/>
    <w:uiPriority w:val="99"/>
    <w:rsid w:val="009F2AA5"/>
  </w:style>
  <w:style w:type="table" w:styleId="af6">
    <w:name w:val="Table Grid"/>
    <w:basedOn w:val="a1"/>
    <w:uiPriority w:val="59"/>
    <w:rsid w:val="009F2A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B10B60"/>
    <w:pPr>
      <w:spacing w:after="100"/>
    </w:pPr>
  </w:style>
  <w:style w:type="paragraph" w:customStyle="1" w:styleId="af7">
    <w:name w:val="Знак"/>
    <w:basedOn w:val="a"/>
    <w:rsid w:val="00B10B60"/>
    <w:pPr>
      <w:spacing w:after="160" w:line="240" w:lineRule="exact"/>
    </w:pPr>
    <w:rPr>
      <w:rFonts w:ascii="Verdana" w:eastAsia="Times New Roman" w:hAnsi="Verdana" w:cs="Times New Roman"/>
      <w:color w:val="auto"/>
      <w:sz w:val="20"/>
      <w:szCs w:val="20"/>
      <w:lang w:val="en-US" w:eastAsia="en-US"/>
    </w:rPr>
  </w:style>
  <w:style w:type="paragraph" w:customStyle="1" w:styleId="af8">
    <w:name w:val="Знак Знак Знак Знак"/>
    <w:basedOn w:val="a"/>
    <w:rsid w:val="00B10B60"/>
    <w:pPr>
      <w:pageBreakBefore/>
      <w:spacing w:after="160" w:line="360" w:lineRule="auto"/>
    </w:pPr>
    <w:rPr>
      <w:rFonts w:ascii="Times New Roman" w:eastAsia="Times New Roman" w:hAnsi="Times New Roman" w:cs="Times New Roman"/>
      <w:color w:val="auto"/>
      <w:sz w:val="28"/>
      <w:szCs w:val="20"/>
      <w:lang w:val="en-US" w:eastAsia="en-US"/>
    </w:rPr>
  </w:style>
  <w:style w:type="character" w:styleId="af9">
    <w:name w:val="page number"/>
    <w:basedOn w:val="a0"/>
    <w:uiPriority w:val="99"/>
    <w:rsid w:val="00B10B60"/>
    <w:rPr>
      <w:rFonts w:cs="Times New Roman"/>
    </w:rPr>
  </w:style>
  <w:style w:type="paragraph" w:customStyle="1" w:styleId="Default">
    <w:name w:val="Default"/>
    <w:rsid w:val="00B10B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a">
    <w:name w:val="Body Text Indent"/>
    <w:aliases w:val="Основной текст 1,Нумерованный список !!,Надин стиль"/>
    <w:basedOn w:val="a"/>
    <w:link w:val="afb"/>
    <w:uiPriority w:val="99"/>
    <w:rsid w:val="00B10B60"/>
    <w:pPr>
      <w:spacing w:after="120"/>
      <w:ind w:left="283"/>
    </w:pPr>
    <w:rPr>
      <w:rFonts w:ascii="Times New Roman" w:eastAsia="Times New Roman" w:hAnsi="Times New Roman" w:cs="Times New Roman"/>
      <w:color w:val="auto"/>
    </w:rPr>
  </w:style>
  <w:style w:type="character" w:customStyle="1" w:styleId="afb">
    <w:name w:val="Основной текст с отступом Знак"/>
    <w:aliases w:val="Основной текст 1 Знак,Нумерованный список !! Знак,Надин стиль Знак"/>
    <w:basedOn w:val="a0"/>
    <w:link w:val="afa"/>
    <w:uiPriority w:val="99"/>
    <w:rsid w:val="00B10B60"/>
    <w:rPr>
      <w:rFonts w:ascii="Times New Roman" w:eastAsia="Times New Roman" w:hAnsi="Times New Roman" w:cs="Times New Roman"/>
      <w:sz w:val="24"/>
      <w:szCs w:val="24"/>
      <w:lang w:eastAsia="ru-RU"/>
    </w:rPr>
  </w:style>
  <w:style w:type="paragraph" w:styleId="23">
    <w:name w:val="Body Text Indent 2"/>
    <w:basedOn w:val="a"/>
    <w:link w:val="24"/>
    <w:uiPriority w:val="99"/>
    <w:rsid w:val="00B10B60"/>
    <w:pPr>
      <w:spacing w:after="120" w:line="480" w:lineRule="auto"/>
      <w:ind w:left="283"/>
    </w:pPr>
    <w:rPr>
      <w:rFonts w:ascii="Times New Roman" w:eastAsia="Times New Roman" w:hAnsi="Times New Roman" w:cs="Times New Roman"/>
      <w:color w:val="auto"/>
    </w:rPr>
  </w:style>
  <w:style w:type="character" w:customStyle="1" w:styleId="24">
    <w:name w:val="Основной текст с отступом 2 Знак"/>
    <w:basedOn w:val="a0"/>
    <w:link w:val="23"/>
    <w:uiPriority w:val="99"/>
    <w:rsid w:val="00B10B60"/>
    <w:rPr>
      <w:rFonts w:ascii="Times New Roman" w:eastAsia="Times New Roman" w:hAnsi="Times New Roman" w:cs="Times New Roman"/>
      <w:sz w:val="24"/>
      <w:szCs w:val="24"/>
      <w:lang w:eastAsia="ru-RU"/>
    </w:rPr>
  </w:style>
  <w:style w:type="character" w:customStyle="1" w:styleId="noncited1">
    <w:name w:val="noncited1"/>
    <w:basedOn w:val="a0"/>
    <w:rsid w:val="00B10B60"/>
    <w:rPr>
      <w:rFonts w:cs="Times New Roman"/>
    </w:rPr>
  </w:style>
  <w:style w:type="paragraph" w:customStyle="1" w:styleId="afc">
    <w:name w:val="Название рисунка"/>
    <w:basedOn w:val="a"/>
    <w:rsid w:val="00B10B60"/>
    <w:pPr>
      <w:suppressAutoHyphens/>
      <w:spacing w:after="120"/>
      <w:ind w:left="567" w:right="567"/>
      <w:jc w:val="center"/>
    </w:pPr>
    <w:rPr>
      <w:rFonts w:ascii="Times New Roman" w:eastAsia="Times New Roman" w:hAnsi="Times New Roman" w:cs="Times New Roman"/>
      <w:b/>
      <w:bCs/>
      <w:color w:val="auto"/>
      <w:sz w:val="26"/>
      <w:szCs w:val="20"/>
    </w:rPr>
  </w:style>
  <w:style w:type="paragraph" w:customStyle="1" w:styleId="afd">
    <w:name w:val="Название таблицы номер"/>
    <w:basedOn w:val="a"/>
    <w:rsid w:val="00B10B60"/>
    <w:pPr>
      <w:keepNext/>
      <w:suppressAutoHyphens/>
      <w:spacing w:before="100" w:beforeAutospacing="1" w:after="100" w:afterAutospacing="1"/>
      <w:ind w:left="567" w:right="567"/>
      <w:jc w:val="right"/>
    </w:pPr>
    <w:rPr>
      <w:rFonts w:ascii="Times New Roman" w:eastAsia="Times New Roman" w:hAnsi="Times New Roman" w:cs="Times New Roman"/>
      <w:b/>
      <w:color w:val="auto"/>
      <w:sz w:val="26"/>
      <w:szCs w:val="20"/>
    </w:rPr>
  </w:style>
  <w:style w:type="character" w:styleId="afe">
    <w:name w:val="Strong"/>
    <w:basedOn w:val="a0"/>
    <w:uiPriority w:val="22"/>
    <w:qFormat/>
    <w:rsid w:val="00B10B60"/>
    <w:rPr>
      <w:rFonts w:cs="Times New Roman"/>
      <w:b/>
      <w:bCs/>
    </w:rPr>
  </w:style>
  <w:style w:type="paragraph" w:customStyle="1" w:styleId="Iniiaiieoaeno2">
    <w:name w:val="Iniiaiie oaeno 2"/>
    <w:basedOn w:val="Default"/>
    <w:next w:val="Default"/>
    <w:rsid w:val="00B10B60"/>
    <w:rPr>
      <w:rFonts w:ascii="Arial" w:hAnsi="Arial"/>
      <w:color w:val="auto"/>
    </w:rPr>
  </w:style>
  <w:style w:type="paragraph" w:customStyle="1" w:styleId="Iauiue">
    <w:name w:val="Iau.iue"/>
    <w:basedOn w:val="Default"/>
    <w:next w:val="Default"/>
    <w:rsid w:val="00B10B60"/>
    <w:rPr>
      <w:rFonts w:ascii="Arial" w:hAnsi="Arial"/>
      <w:color w:val="auto"/>
    </w:rPr>
  </w:style>
  <w:style w:type="paragraph" w:customStyle="1" w:styleId="Iauiueaaa">
    <w:name w:val="Iau.iue (aaa)"/>
    <w:basedOn w:val="Default"/>
    <w:next w:val="Default"/>
    <w:rsid w:val="00B10B60"/>
    <w:pPr>
      <w:spacing w:after="192"/>
    </w:pPr>
    <w:rPr>
      <w:rFonts w:ascii="Tahoma" w:hAnsi="Tahoma"/>
      <w:color w:val="auto"/>
    </w:rPr>
  </w:style>
  <w:style w:type="paragraph" w:customStyle="1" w:styleId="bodytxt">
    <w:name w:val="bodytxt"/>
    <w:basedOn w:val="a"/>
    <w:rsid w:val="00B10B60"/>
    <w:pPr>
      <w:spacing w:before="100" w:beforeAutospacing="1" w:after="100" w:afterAutospacing="1"/>
    </w:pPr>
    <w:rPr>
      <w:rFonts w:ascii="Tahoma" w:eastAsia="Times New Roman" w:hAnsi="Tahoma" w:cs="Tahoma"/>
      <w:color w:val="111111"/>
      <w:sz w:val="48"/>
      <w:szCs w:val="48"/>
    </w:rPr>
  </w:style>
  <w:style w:type="paragraph" w:customStyle="1" w:styleId="210">
    <w:name w:val="Основной текст с отступом 21"/>
    <w:basedOn w:val="a"/>
    <w:rsid w:val="00B10B60"/>
    <w:pPr>
      <w:suppressAutoHyphens/>
      <w:ind w:firstLine="720"/>
      <w:jc w:val="both"/>
    </w:pPr>
    <w:rPr>
      <w:rFonts w:ascii="Times New Roman" w:eastAsia="Times New Roman" w:hAnsi="Times New Roman" w:cs="Times New Roman"/>
      <w:color w:val="auto"/>
      <w:lang w:eastAsia="ar-SA"/>
    </w:rPr>
  </w:style>
  <w:style w:type="paragraph" w:customStyle="1" w:styleId="14">
    <w:name w:val="Название объекта1"/>
    <w:basedOn w:val="a"/>
    <w:next w:val="a"/>
    <w:rsid w:val="00B10B60"/>
    <w:pPr>
      <w:suppressAutoHyphens/>
      <w:spacing w:before="120" w:after="120"/>
    </w:pPr>
    <w:rPr>
      <w:rFonts w:ascii="Times New Roman" w:eastAsia="Times New Roman" w:hAnsi="Times New Roman" w:cs="Times New Roman"/>
      <w:b/>
      <w:bCs/>
      <w:color w:val="auto"/>
      <w:sz w:val="20"/>
      <w:szCs w:val="20"/>
      <w:lang w:eastAsia="ar-SA"/>
    </w:rPr>
  </w:style>
  <w:style w:type="paragraph" w:styleId="aff">
    <w:name w:val="index heading"/>
    <w:basedOn w:val="a"/>
    <w:next w:val="15"/>
    <w:uiPriority w:val="99"/>
    <w:semiHidden/>
    <w:rsid w:val="00B10B60"/>
    <w:pPr>
      <w:suppressAutoHyphens/>
    </w:pPr>
    <w:rPr>
      <w:rFonts w:ascii="Times New Roman" w:eastAsia="Times New Roman" w:hAnsi="Times New Roman" w:cs="Times New Roman"/>
      <w:color w:val="auto"/>
      <w:sz w:val="20"/>
      <w:szCs w:val="20"/>
      <w:lang w:eastAsia="ar-SA"/>
    </w:rPr>
  </w:style>
  <w:style w:type="paragraph" w:styleId="15">
    <w:name w:val="index 1"/>
    <w:basedOn w:val="a"/>
    <w:next w:val="a"/>
    <w:autoRedefine/>
    <w:uiPriority w:val="99"/>
    <w:semiHidden/>
    <w:rsid w:val="00B10B60"/>
    <w:pPr>
      <w:ind w:left="240" w:hanging="240"/>
    </w:pPr>
    <w:rPr>
      <w:rFonts w:ascii="Times New Roman" w:eastAsia="Times New Roman" w:hAnsi="Times New Roman" w:cs="Times New Roman"/>
      <w:color w:val="auto"/>
    </w:rPr>
  </w:style>
  <w:style w:type="paragraph" w:customStyle="1" w:styleId="Style1">
    <w:name w:val="Style1"/>
    <w:basedOn w:val="aff"/>
    <w:rsid w:val="00B10B60"/>
    <w:pPr>
      <w:spacing w:line="480" w:lineRule="auto"/>
    </w:pPr>
    <w:rPr>
      <w:b/>
      <w:sz w:val="24"/>
      <w:szCs w:val="24"/>
    </w:rPr>
  </w:style>
  <w:style w:type="paragraph" w:styleId="aff0">
    <w:name w:val="caption"/>
    <w:basedOn w:val="a"/>
    <w:next w:val="a"/>
    <w:uiPriority w:val="35"/>
    <w:qFormat/>
    <w:rsid w:val="00B10B60"/>
    <w:pPr>
      <w:spacing w:before="120" w:after="120"/>
    </w:pPr>
    <w:rPr>
      <w:rFonts w:ascii="Times New Roman" w:eastAsia="Times New Roman" w:hAnsi="Times New Roman" w:cs="Times New Roman"/>
      <w:b/>
      <w:bCs/>
      <w:color w:val="auto"/>
      <w:sz w:val="20"/>
      <w:szCs w:val="20"/>
    </w:rPr>
  </w:style>
  <w:style w:type="paragraph" w:styleId="aff1">
    <w:name w:val="List Paragraph"/>
    <w:basedOn w:val="a"/>
    <w:uiPriority w:val="34"/>
    <w:qFormat/>
    <w:rsid w:val="00850277"/>
    <w:pPr>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389110445">
      <w:bodyDiv w:val="1"/>
      <w:marLeft w:val="0"/>
      <w:marRight w:val="0"/>
      <w:marTop w:val="0"/>
      <w:marBottom w:val="0"/>
      <w:divBdr>
        <w:top w:val="none" w:sz="0" w:space="0" w:color="auto"/>
        <w:left w:val="none" w:sz="0" w:space="0" w:color="auto"/>
        <w:bottom w:val="none" w:sz="0" w:space="0" w:color="auto"/>
        <w:right w:val="none" w:sz="0" w:space="0" w:color="auto"/>
      </w:divBdr>
    </w:div>
    <w:div w:id="1236286088">
      <w:bodyDiv w:val="1"/>
      <w:marLeft w:val="0"/>
      <w:marRight w:val="0"/>
      <w:marTop w:val="0"/>
      <w:marBottom w:val="0"/>
      <w:divBdr>
        <w:top w:val="none" w:sz="0" w:space="0" w:color="auto"/>
        <w:left w:val="none" w:sz="0" w:space="0" w:color="auto"/>
        <w:bottom w:val="none" w:sz="0" w:space="0" w:color="auto"/>
        <w:right w:val="none" w:sz="0" w:space="0" w:color="auto"/>
      </w:divBdr>
    </w:div>
    <w:div w:id="196125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deks.ru/noframe/free-urbib?d&amp;nd=9027690&amp;prevDoc=722900310&amp;mark=0000OJK23T5PD921TCHQO06F1PDO000002D2BBMS603FNJL742574AQ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zrpress.ru/2003/072/b010.htm" TargetMode="External"/><Relationship Id="rId4" Type="http://schemas.openxmlformats.org/officeDocument/2006/relationships/settings" Target="settings.xml"/><Relationship Id="rId9" Type="http://schemas.openxmlformats.org/officeDocument/2006/relationships/chart" Target="charts/chart1.xml"/></Relationships>
</file>

<file path=word/_rels/footnotes.xml.rels><?xml version="1.0" encoding="UTF-8" standalone="yes"?>
<Relationships xmlns="http://schemas.openxmlformats.org/package/2006/relationships"><Relationship Id="rId1" Type="http://schemas.openxmlformats.org/officeDocument/2006/relationships/hyperlink" Target="http://www.zrpress.ru/2003/072/b010.htm"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8343195266272244"/>
          <c:y val="0.3021978021978029"/>
          <c:w val="0.38264299802761437"/>
          <c:h val="0.42307692307692391"/>
        </c:manualLayout>
      </c:layout>
      <c:pie3DChart>
        <c:varyColors val="1"/>
        <c:ser>
          <c:idx val="1"/>
          <c:order val="0"/>
          <c:tx>
            <c:strRef>
              <c:f>Sheet1!$A$3</c:f>
              <c:strCache>
                <c:ptCount val="1"/>
                <c:pt idx="0">
                  <c:v>Запад</c:v>
                </c:pt>
              </c:strCache>
            </c:strRef>
          </c:tx>
          <c:spPr>
            <a:solidFill>
              <a:srgbClr val="993366"/>
            </a:solidFill>
            <a:ln w="12098">
              <a:solidFill>
                <a:srgbClr val="000000"/>
              </a:solidFill>
              <a:prstDash val="solid"/>
            </a:ln>
          </c:spPr>
          <c:explosion val="25"/>
          <c:dPt>
            <c:idx val="0"/>
            <c:spPr>
              <a:solidFill>
                <a:srgbClr val="9999FF"/>
              </a:solidFill>
              <a:ln w="12098">
                <a:solidFill>
                  <a:srgbClr val="000000"/>
                </a:solidFill>
                <a:prstDash val="solid"/>
              </a:ln>
            </c:spPr>
          </c:dPt>
          <c:dPt>
            <c:idx val="2"/>
            <c:spPr>
              <a:solidFill>
                <a:srgbClr val="FFFFCC"/>
              </a:solidFill>
              <a:ln w="12098">
                <a:solidFill>
                  <a:srgbClr val="000000"/>
                </a:solidFill>
                <a:prstDash val="solid"/>
              </a:ln>
            </c:spPr>
          </c:dPt>
          <c:dPt>
            <c:idx val="3"/>
            <c:spPr>
              <a:solidFill>
                <a:srgbClr val="CCFFFF"/>
              </a:solidFill>
              <a:ln w="12098">
                <a:solidFill>
                  <a:srgbClr val="000000"/>
                </a:solidFill>
                <a:prstDash val="solid"/>
              </a:ln>
            </c:spPr>
          </c:dPt>
          <c:dPt>
            <c:idx val="4"/>
            <c:spPr>
              <a:solidFill>
                <a:srgbClr val="660066"/>
              </a:solidFill>
              <a:ln w="12098">
                <a:solidFill>
                  <a:srgbClr val="000000"/>
                </a:solidFill>
                <a:prstDash val="solid"/>
              </a:ln>
            </c:spPr>
          </c:dPt>
          <c:dLbls>
            <c:dLbl>
              <c:idx val="2"/>
              <c:tx>
                <c:rich>
                  <a:bodyPr/>
                  <a:lstStyle/>
                  <a:p>
                    <a:pPr>
                      <a:defRPr sz="1000" b="1" i="0" u="none" strike="noStrike" baseline="0">
                        <a:solidFill>
                          <a:srgbClr val="000000"/>
                        </a:solidFill>
                        <a:latin typeface="Arial Cyr"/>
                        <a:ea typeface="Arial Cyr"/>
                        <a:cs typeface="Arial Cyr"/>
                      </a:defRPr>
                    </a:pPr>
                    <a:r>
                      <a:rPr lang="ru-RU"/>
                      <a:t>33%</a:t>
                    </a:r>
                  </a:p>
                </c:rich>
              </c:tx>
              <c:spPr>
                <a:noFill/>
                <a:ln w="24195">
                  <a:noFill/>
                </a:ln>
              </c:spPr>
            </c:dLbl>
            <c:numFmt formatCode="0%" sourceLinked="0"/>
            <c:spPr>
              <a:noFill/>
              <a:ln w="24195">
                <a:noFill/>
              </a:ln>
            </c:spPr>
            <c:txPr>
              <a:bodyPr/>
              <a:lstStyle/>
              <a:p>
                <a:pPr>
                  <a:defRPr sz="1000" b="1" i="0" u="none" strike="noStrike" baseline="0">
                    <a:solidFill>
                      <a:srgbClr val="000000"/>
                    </a:solidFill>
                    <a:latin typeface="Arial Cyr"/>
                    <a:ea typeface="Arial Cyr"/>
                    <a:cs typeface="Arial Cyr"/>
                  </a:defRPr>
                </a:pPr>
                <a:endParaRPr lang="ru-RU"/>
              </a:p>
            </c:txPr>
            <c:showPercent val="1"/>
            <c:showLeaderLines val="1"/>
          </c:dLbls>
          <c:cat>
            <c:strRef>
              <c:f>Sheet1!$B$1:$F$1</c:f>
              <c:strCache>
                <c:ptCount val="5"/>
                <c:pt idx="0">
                  <c:v>ОСАГО</c:v>
                </c:pt>
                <c:pt idx="1">
                  <c:v>Сельхоз</c:v>
                </c:pt>
                <c:pt idx="2">
                  <c:v>ДМС</c:v>
                </c:pt>
                <c:pt idx="3">
                  <c:v>Имущества юр.лиц</c:v>
                </c:pt>
                <c:pt idx="4">
                  <c:v>Другие виды</c:v>
                </c:pt>
              </c:strCache>
            </c:strRef>
          </c:cat>
          <c:val>
            <c:numRef>
              <c:f>Sheet1!$B$3:$F$3</c:f>
              <c:numCache>
                <c:formatCode>General</c:formatCode>
                <c:ptCount val="5"/>
                <c:pt idx="0">
                  <c:v>20</c:v>
                </c:pt>
                <c:pt idx="1">
                  <c:v>40</c:v>
                </c:pt>
                <c:pt idx="2">
                  <c:v>10</c:v>
                </c:pt>
                <c:pt idx="3">
                  <c:v>15</c:v>
                </c:pt>
                <c:pt idx="4">
                  <c:v>10</c:v>
                </c:pt>
              </c:numCache>
            </c:numRef>
          </c:val>
        </c:ser>
        <c:ser>
          <c:idx val="2"/>
          <c:order val="1"/>
          <c:tx>
            <c:strRef>
              <c:f>Sheet1!$A$4</c:f>
              <c:strCache>
                <c:ptCount val="1"/>
                <c:pt idx="0">
                  <c:v>Север</c:v>
                </c:pt>
              </c:strCache>
            </c:strRef>
          </c:tx>
          <c:spPr>
            <a:solidFill>
              <a:srgbClr val="FFFFCC"/>
            </a:solidFill>
            <a:ln w="12098">
              <a:solidFill>
                <a:srgbClr val="000000"/>
              </a:solidFill>
              <a:prstDash val="solid"/>
            </a:ln>
          </c:spPr>
          <c:explosion val="25"/>
          <c:dPt>
            <c:idx val="0"/>
            <c:spPr>
              <a:solidFill>
                <a:srgbClr val="9999FF"/>
              </a:solidFill>
              <a:ln w="12098">
                <a:solidFill>
                  <a:srgbClr val="000000"/>
                </a:solidFill>
                <a:prstDash val="solid"/>
              </a:ln>
            </c:spPr>
          </c:dPt>
          <c:dPt>
            <c:idx val="1"/>
            <c:spPr>
              <a:solidFill>
                <a:srgbClr val="993366"/>
              </a:solidFill>
              <a:ln w="12098">
                <a:solidFill>
                  <a:srgbClr val="000000"/>
                </a:solidFill>
                <a:prstDash val="solid"/>
              </a:ln>
            </c:spPr>
          </c:dPt>
          <c:dPt>
            <c:idx val="3"/>
            <c:spPr>
              <a:solidFill>
                <a:srgbClr val="CCFFFF"/>
              </a:solidFill>
              <a:ln w="12098">
                <a:solidFill>
                  <a:srgbClr val="000000"/>
                </a:solidFill>
                <a:prstDash val="solid"/>
              </a:ln>
            </c:spPr>
          </c:dPt>
          <c:dPt>
            <c:idx val="4"/>
            <c:spPr>
              <a:solidFill>
                <a:srgbClr val="660066"/>
              </a:solidFill>
              <a:ln w="12098">
                <a:solidFill>
                  <a:srgbClr val="000000"/>
                </a:solidFill>
                <a:prstDash val="solid"/>
              </a:ln>
            </c:spPr>
          </c:dPt>
          <c:dLbls>
            <c:numFmt formatCode="0%" sourceLinked="0"/>
            <c:spPr>
              <a:noFill/>
              <a:ln w="24195">
                <a:noFill/>
              </a:ln>
            </c:spPr>
            <c:txPr>
              <a:bodyPr/>
              <a:lstStyle/>
              <a:p>
                <a:pPr>
                  <a:defRPr sz="1000" b="1" i="0" u="none" strike="noStrike" baseline="0">
                    <a:solidFill>
                      <a:srgbClr val="000000"/>
                    </a:solidFill>
                    <a:latin typeface="Arial Cyr"/>
                    <a:ea typeface="Arial Cyr"/>
                    <a:cs typeface="Arial Cyr"/>
                  </a:defRPr>
                </a:pPr>
                <a:endParaRPr lang="ru-RU"/>
              </a:p>
            </c:txPr>
            <c:showPercent val="1"/>
            <c:showLeaderLines val="1"/>
          </c:dLbls>
          <c:cat>
            <c:strRef>
              <c:f>Sheet1!$B$1:$F$1</c:f>
              <c:strCache>
                <c:ptCount val="5"/>
                <c:pt idx="0">
                  <c:v>ОСАГО</c:v>
                </c:pt>
                <c:pt idx="1">
                  <c:v>Сельхоз</c:v>
                </c:pt>
                <c:pt idx="2">
                  <c:v>ДМС</c:v>
                </c:pt>
                <c:pt idx="3">
                  <c:v>Имущества юр.лиц</c:v>
                </c:pt>
                <c:pt idx="4">
                  <c:v>Другие виды</c:v>
                </c:pt>
              </c:strCache>
            </c:strRef>
          </c:cat>
          <c:val>
            <c:numRef>
              <c:f>Sheet1!$B$4:$F$4</c:f>
              <c:numCache>
                <c:formatCode>General</c:formatCode>
                <c:ptCount val="5"/>
              </c:numCache>
            </c:numRef>
          </c:val>
        </c:ser>
        <c:dLbls>
          <c:showPercent val="1"/>
        </c:dLbls>
      </c:pie3DChart>
      <c:spPr>
        <a:noFill/>
        <a:ln w="24195">
          <a:noFill/>
        </a:ln>
      </c:spPr>
    </c:plotArea>
    <c:legend>
      <c:legendPos val="r"/>
      <c:layout>
        <c:manualLayout>
          <c:xMode val="edge"/>
          <c:yMode val="edge"/>
          <c:x val="0.75147928994082835"/>
          <c:y val="0.23626373626373626"/>
          <c:w val="0.24063116370808668"/>
          <c:h val="0.52747252747252749"/>
        </c:manualLayout>
      </c:layout>
      <c:spPr>
        <a:noFill/>
        <a:ln w="3024">
          <a:solidFill>
            <a:srgbClr val="000000"/>
          </a:solidFill>
          <a:prstDash val="solid"/>
        </a:ln>
      </c:spPr>
      <c:txPr>
        <a:bodyPr/>
        <a:lstStyle/>
        <a:p>
          <a:pPr>
            <a:defRPr sz="700" b="1"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w="3024">
      <a:solidFill>
        <a:srgbClr val="000000"/>
      </a:solidFill>
      <a:prstDash val="solid"/>
    </a:ln>
  </c:spPr>
  <c:txPr>
    <a:bodyPr/>
    <a:lstStyle/>
    <a:p>
      <a:pPr>
        <a:defRPr sz="762" b="1" i="0" u="none" strike="noStrike" baseline="0">
          <a:solidFill>
            <a:srgbClr val="000000"/>
          </a:solidFill>
          <a:latin typeface="Arial Cyr"/>
          <a:ea typeface="Arial Cyr"/>
          <a:cs typeface="Arial Cyr"/>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0.47525</cdr:x>
      <cdr:y>0.49975</cdr:y>
    </cdr:from>
    <cdr:to>
      <cdr:x>0.487</cdr:x>
      <cdr:y>0.60425</cdr:y>
    </cdr:to>
    <cdr:sp macro="" textlink="">
      <cdr:nvSpPr>
        <cdr:cNvPr id="1025" name="Text Box 1"/>
        <cdr:cNvSpPr txBox="1">
          <a:spLocks xmlns:a="http://schemas.openxmlformats.org/drawingml/2006/main" noChangeArrowheads="1"/>
        </cdr:cNvSpPr>
      </cdr:nvSpPr>
      <cdr:spPr bwMode="auto">
        <a:xfrm xmlns:a="http://schemas.openxmlformats.org/drawingml/2006/main">
          <a:off x="2295065" y="866342"/>
          <a:ext cx="56743" cy="18115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56899-DDEF-473E-A485-F618FDA2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11156</Words>
  <Characters>63595</Characters>
  <Application>Microsoft Office Word</Application>
  <DocSecurity>0</DocSecurity>
  <Lines>529</Lines>
  <Paragraphs>149</Paragraphs>
  <ScaleCrop>false</ScaleCrop>
  <Company/>
  <LinksUpToDate>false</LinksUpToDate>
  <CharactersWithSpaces>74602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Махо</cp:lastModifiedBy>
  <cp:revision>2</cp:revision>
  <dcterms:created xsi:type="dcterms:W3CDTF">2014-09-16T07:32:00Z</dcterms:created>
  <dcterms:modified xsi:type="dcterms:W3CDTF">2014-09-16T07:32:00Z</dcterms:modified>
</cp:coreProperties>
</file>