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169" w:rsidRPr="001A6169" w:rsidRDefault="001A6169" w:rsidP="001A61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</w:t>
      </w:r>
    </w:p>
    <w:p w:rsidR="001A6169" w:rsidRPr="001A6169" w:rsidRDefault="001A6169" w:rsidP="001A61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УЧРЕЖДЕНИЕ </w:t>
      </w:r>
    </w:p>
    <w:p w:rsidR="001A6169" w:rsidRPr="001A6169" w:rsidRDefault="001A6169" w:rsidP="001A61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16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1A6169" w:rsidRPr="001A6169" w:rsidRDefault="001A6169" w:rsidP="001A6169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A616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«ФИНАНСОВЫЙ УНИВЕРСИТЕТ </w:t>
      </w:r>
    </w:p>
    <w:p w:rsidR="001A6169" w:rsidRPr="001A6169" w:rsidRDefault="001A6169" w:rsidP="001A6169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A616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 ПРАВИТЕЛЬСТВЕ РОССИЙСКОЙ ФЕДЕРАЦИИ»</w:t>
      </w:r>
    </w:p>
    <w:p w:rsidR="001A6169" w:rsidRPr="001A6169" w:rsidRDefault="001A6169" w:rsidP="001A6169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A616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ОРЛОВСКИЙ ФИЛИАЛ </w:t>
      </w:r>
    </w:p>
    <w:p w:rsidR="001A6169" w:rsidRPr="001A6169" w:rsidRDefault="001A6169" w:rsidP="001A6169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169" w:rsidRPr="001A6169" w:rsidRDefault="001A6169" w:rsidP="001A6169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169" w:rsidRPr="001A6169" w:rsidRDefault="001A6169" w:rsidP="001A6169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A6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Кафедра менеджмента и маркетинга</w:t>
      </w:r>
    </w:p>
    <w:p w:rsidR="001A6169" w:rsidRPr="001A6169" w:rsidRDefault="001A6169" w:rsidP="001A61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A6169" w:rsidRPr="001A6169" w:rsidRDefault="001A6169" w:rsidP="001A6169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169" w:rsidRPr="001A6169" w:rsidRDefault="001A6169" w:rsidP="001A6169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169" w:rsidRPr="001A6169" w:rsidRDefault="001A6169" w:rsidP="001A6169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169" w:rsidRPr="001A6169" w:rsidRDefault="001A6169" w:rsidP="001A61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1A616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Контрольная работа №1</w:t>
      </w:r>
    </w:p>
    <w:p w:rsidR="001A6169" w:rsidRPr="001A6169" w:rsidRDefault="001A6169" w:rsidP="001A61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p w:rsidR="001A6169" w:rsidRPr="001A6169" w:rsidRDefault="001A6169" w:rsidP="001A61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p w:rsidR="001A6169" w:rsidRPr="001A6169" w:rsidRDefault="001A6169" w:rsidP="001A61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p w:rsidR="001A6169" w:rsidRPr="001A6169" w:rsidRDefault="001A6169" w:rsidP="001A61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A6169" w:rsidRPr="001A6169" w:rsidRDefault="001A6169" w:rsidP="001A6169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6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дисциплине: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Региональная экономика</w:t>
      </w:r>
      <w:r w:rsidRPr="001A6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A6169" w:rsidRPr="001A6169" w:rsidRDefault="001A6169" w:rsidP="001A6169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тему «Вариант №13</w:t>
      </w:r>
      <w:r w:rsidRPr="001A6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A6169" w:rsidRPr="001A6169" w:rsidRDefault="001A6169" w:rsidP="001A6169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169" w:rsidRPr="001A6169" w:rsidRDefault="001A6169" w:rsidP="001A6169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169" w:rsidRPr="001A6169" w:rsidRDefault="001A6169" w:rsidP="001A6169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Студент: </w:t>
      </w:r>
    </w:p>
    <w:p w:rsidR="001A6169" w:rsidRPr="001A6169" w:rsidRDefault="001A6169" w:rsidP="001A6169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16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обучения: заочная</w:t>
      </w:r>
    </w:p>
    <w:p w:rsidR="001A6169" w:rsidRPr="001A6169" w:rsidRDefault="001A6169" w:rsidP="001A6169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16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Курс: 2</w:t>
      </w:r>
    </w:p>
    <w:p w:rsidR="001A6169" w:rsidRPr="001A6169" w:rsidRDefault="001A6169" w:rsidP="001A6169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1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подготовки: Менеджмент</w:t>
      </w:r>
    </w:p>
    <w:p w:rsidR="001A6169" w:rsidRPr="001A6169" w:rsidRDefault="001A6169" w:rsidP="001A6169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1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Профиль: Финансовый менеджмент</w:t>
      </w:r>
    </w:p>
    <w:p w:rsidR="001A6169" w:rsidRPr="001A6169" w:rsidRDefault="001A6169" w:rsidP="001A6169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Личное дело № </w:t>
      </w:r>
    </w:p>
    <w:p w:rsidR="001A6169" w:rsidRPr="001A6169" w:rsidRDefault="001A6169" w:rsidP="001A616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Преподаватель: </w:t>
      </w:r>
    </w:p>
    <w:p w:rsidR="001A6169" w:rsidRPr="001A6169" w:rsidRDefault="001A6169" w:rsidP="001A616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169" w:rsidRPr="001A6169" w:rsidRDefault="001A6169" w:rsidP="001A616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169" w:rsidRPr="001A6169" w:rsidRDefault="001A6169" w:rsidP="001A616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169" w:rsidRPr="001A6169" w:rsidRDefault="001A6169" w:rsidP="001A6169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169" w:rsidRPr="001A6169" w:rsidRDefault="001A6169" w:rsidP="001A6169">
      <w:pPr>
        <w:keepNext/>
        <w:keepLines/>
        <w:widowControl w:val="0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</w:p>
    <w:p w:rsidR="001A6169" w:rsidRPr="001A6169" w:rsidRDefault="001A6169" w:rsidP="001A6169">
      <w:pPr>
        <w:keepNext/>
        <w:keepLines/>
        <w:widowControl w:val="0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169" w:rsidRPr="001A6169" w:rsidRDefault="001A6169" w:rsidP="001A6169">
      <w:pPr>
        <w:keepNext/>
        <w:keepLines/>
        <w:widowControl w:val="0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169" w:rsidRPr="001A6169" w:rsidRDefault="001A6169" w:rsidP="001A6169">
      <w:pPr>
        <w:keepNext/>
        <w:keepLines/>
        <w:widowControl w:val="0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169" w:rsidRDefault="001A6169" w:rsidP="001A6169">
      <w:pPr>
        <w:autoSpaceDE w:val="0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bookmarkStart w:id="0" w:name="_GoBack"/>
      <w:bookmarkEnd w:id="0"/>
    </w:p>
    <w:p w:rsidR="00DE14BE" w:rsidRPr="006F2C9B" w:rsidRDefault="00DE14BE" w:rsidP="00DE14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C9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E14BE" w:rsidRDefault="00DE14BE" w:rsidP="00DE14B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Введение...................................................................................................................3</w:t>
      </w:r>
    </w:p>
    <w:p w:rsidR="00DE14BE" w:rsidRPr="00637303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37303">
        <w:t xml:space="preserve"> </w:t>
      </w:r>
      <w:r w:rsidRPr="00637303">
        <w:rPr>
          <w:rFonts w:ascii="Times New Roman" w:hAnsi="Times New Roman" w:cs="Times New Roman"/>
          <w:sz w:val="28"/>
          <w:szCs w:val="28"/>
        </w:rPr>
        <w:t>Сущность, цели и средства инвестиционной политики региона</w:t>
      </w:r>
      <w:r>
        <w:rPr>
          <w:rFonts w:ascii="Times New Roman" w:hAnsi="Times New Roman" w:cs="Times New Roman"/>
          <w:sz w:val="28"/>
          <w:szCs w:val="28"/>
        </w:rPr>
        <w:t>....................4</w:t>
      </w: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637303">
        <w:rPr>
          <w:rFonts w:ascii="Times New Roman" w:hAnsi="Times New Roman" w:cs="Times New Roman"/>
          <w:sz w:val="28"/>
          <w:szCs w:val="28"/>
        </w:rPr>
        <w:t>Сущность, виды и цели инвестиционной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.......................................................4</w:t>
      </w:r>
    </w:p>
    <w:p w:rsidR="00DE14BE" w:rsidRPr="00637303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637303">
        <w:t xml:space="preserve"> </w:t>
      </w:r>
      <w:r w:rsidRPr="00637303">
        <w:rPr>
          <w:rFonts w:ascii="Times New Roman" w:hAnsi="Times New Roman" w:cs="Times New Roman"/>
          <w:sz w:val="28"/>
          <w:szCs w:val="28"/>
        </w:rPr>
        <w:t>Источники и структура государственных инвестиций</w:t>
      </w:r>
      <w:r>
        <w:rPr>
          <w:rFonts w:ascii="Times New Roman" w:hAnsi="Times New Roman" w:cs="Times New Roman"/>
          <w:sz w:val="28"/>
          <w:szCs w:val="28"/>
        </w:rPr>
        <w:t>.................................8</w:t>
      </w: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637303">
        <w:rPr>
          <w:rFonts w:ascii="Times New Roman" w:hAnsi="Times New Roman" w:cs="Times New Roman"/>
          <w:sz w:val="28"/>
          <w:szCs w:val="28"/>
        </w:rPr>
        <w:t>Методика отбора приоритетных инвестиционных проектов</w:t>
      </w:r>
      <w:r>
        <w:rPr>
          <w:rFonts w:ascii="Times New Roman" w:hAnsi="Times New Roman" w:cs="Times New Roman"/>
          <w:sz w:val="28"/>
          <w:szCs w:val="28"/>
        </w:rPr>
        <w:t>.....................11</w:t>
      </w: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37303">
        <w:t xml:space="preserve"> </w:t>
      </w:r>
      <w:r w:rsidRPr="00637303">
        <w:rPr>
          <w:rFonts w:ascii="Times New Roman" w:hAnsi="Times New Roman" w:cs="Times New Roman"/>
          <w:sz w:val="28"/>
          <w:szCs w:val="28"/>
        </w:rPr>
        <w:t>Инновационное развитие Центрального федерального округа</w:t>
      </w:r>
      <w:r>
        <w:rPr>
          <w:rFonts w:ascii="Times New Roman" w:hAnsi="Times New Roman" w:cs="Times New Roman"/>
          <w:sz w:val="28"/>
          <w:szCs w:val="28"/>
        </w:rPr>
        <w:t>....................13</w:t>
      </w: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Задача......................................................................................................................15</w:t>
      </w: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Заключение.............................................................................................................16</w:t>
      </w: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литературы................................................................................................17</w:t>
      </w: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Pr="006F2C9B" w:rsidRDefault="00DE14BE" w:rsidP="00DE14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C9B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DE14BE" w:rsidRDefault="00DE14BE" w:rsidP="00DE14B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F2C9B">
        <w:rPr>
          <w:rFonts w:ascii="Times New Roman" w:hAnsi="Times New Roman" w:cs="Times New Roman"/>
          <w:sz w:val="28"/>
          <w:szCs w:val="28"/>
        </w:rPr>
        <w:t>Планируемые, реализуемые и осуществленные капиталовложения принимают форму капитальных (инвестиционных) проектов. Но проекты надо подобрать, рассчитать, выполнить, а главное, оценить их эффективность, и прежде всего на основе сопоставления затрат на проект и результатов его реализации. Для этого существует проектный анализ.</w:t>
      </w:r>
    </w:p>
    <w:p w:rsidR="00DE14BE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C9B">
        <w:rPr>
          <w:rFonts w:ascii="Times New Roman" w:hAnsi="Times New Roman" w:cs="Times New Roman"/>
          <w:sz w:val="28"/>
          <w:szCs w:val="28"/>
        </w:rPr>
        <w:t>Проектный анализ - это анализ доходности капитального проекта. Иными словами, это сопоставление затрат на капитальный проект и выгод, которые будут получены от реализации этого проекта.</w:t>
      </w:r>
    </w:p>
    <w:p w:rsidR="00DE14BE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C9B">
        <w:rPr>
          <w:rFonts w:ascii="Times New Roman" w:hAnsi="Times New Roman" w:cs="Times New Roman"/>
          <w:sz w:val="28"/>
          <w:szCs w:val="28"/>
        </w:rPr>
        <w:t xml:space="preserve">Выбранная тема в современных условиях очень актуальная, так как выгоды от любого капитального проекта и затраты на него не всегда легко вычисляемы. При этом определение доходности превращается в длительный анализ всех стадий и аспектов инвестиционного проекта. То есть экономическое обоснование проекта сводится к анализу его эффективности и реализуемости. В результате проектный анализ стал концепцией, закладываемой в основу инвестиционных проектов в странах с рыночной экономикой. В концепции проектного анализа сложился свой подход к стадиям проекта и аспектам его анализа. </w:t>
      </w:r>
    </w:p>
    <w:p w:rsidR="00DE14BE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C9B">
        <w:rPr>
          <w:rFonts w:ascii="Times New Roman" w:hAnsi="Times New Roman" w:cs="Times New Roman"/>
          <w:sz w:val="28"/>
          <w:szCs w:val="28"/>
        </w:rPr>
        <w:t xml:space="preserve">Важным рычагом воздействия на предпринимательскую деятельность субъектов хозяйствования и экономику страны является инвестиционная политика государства. С ее помощью государство непосредственно может воздействовать на темпы и объемы производства, уровень инфляции, ускорение НТП, изменение структуры общественного производства и решение многих социальных проблем. Таким образом, в современных условиях большую роль играют инвестиции, инвестиционная деятельность и инвестиционная политика государства, поэтому выбранная тема является актуальной. </w:t>
      </w:r>
    </w:p>
    <w:p w:rsidR="00DE14BE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14BE" w:rsidRPr="006F2C9B" w:rsidRDefault="00DE14BE" w:rsidP="00DE14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C9B">
        <w:rPr>
          <w:rFonts w:ascii="Times New Roman" w:hAnsi="Times New Roman" w:cs="Times New Roman"/>
          <w:b/>
          <w:sz w:val="28"/>
          <w:szCs w:val="28"/>
        </w:rPr>
        <w:lastRenderedPageBreak/>
        <w:t>Сущность, цели и средства инвестиционной политики региона</w:t>
      </w:r>
    </w:p>
    <w:p w:rsidR="00DE14BE" w:rsidRDefault="00DE14BE" w:rsidP="00DE14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C9B">
        <w:rPr>
          <w:rFonts w:ascii="Times New Roman" w:hAnsi="Times New Roman" w:cs="Times New Roman"/>
          <w:b/>
          <w:sz w:val="28"/>
          <w:szCs w:val="28"/>
        </w:rPr>
        <w:t>Сущность, виды и цели инвестиционной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политики</w:t>
      </w:r>
    </w:p>
    <w:p w:rsidR="00DE14BE" w:rsidRDefault="00DE14BE" w:rsidP="00DE14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4BE" w:rsidRDefault="00DE14BE" w:rsidP="00DE1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F2C9B">
        <w:rPr>
          <w:rFonts w:ascii="Times New Roman" w:hAnsi="Times New Roman" w:cs="Times New Roman"/>
          <w:sz w:val="28"/>
          <w:szCs w:val="28"/>
        </w:rPr>
        <w:t>Инвестиционная политика — совокупность действий агентов воспроизводственной деятельности по обеспечению условий воспроизводства капитальных ресурсов в регионе.</w:t>
      </w:r>
    </w:p>
    <w:p w:rsidR="00DE14BE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C9B">
        <w:rPr>
          <w:rFonts w:ascii="Times New Roman" w:hAnsi="Times New Roman" w:cs="Times New Roman"/>
          <w:sz w:val="28"/>
          <w:szCs w:val="28"/>
        </w:rPr>
        <w:t>Сущность инвестиционной политики заключается в обеспечении воспроизводства основных фондов производственных и непроизводственных отраслей, их расширении и модернизации.</w:t>
      </w:r>
    </w:p>
    <w:p w:rsidR="00DE14BE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C9B">
        <w:rPr>
          <w:rFonts w:ascii="Times New Roman" w:hAnsi="Times New Roman" w:cs="Times New Roman"/>
          <w:sz w:val="28"/>
          <w:szCs w:val="28"/>
        </w:rPr>
        <w:t>Характер инвестиционной политики определяется степенью государственного вмешательства в экономические процессы, степенью увязки данной политики с иными государственными институтами, к которым относятся налоговая, финансово-кредитная, лицензионная и ценовая политика, политика доходов и занятости, привлечения иностранных инвестиций, правовое поле и общий административный уклад. Амортизационная политика входит в общую инвестиционную политику. Амортизационная политика, в свою очередь, должна быть увязана с налоговой политикой. В странах развитого рыночного типа при общем повышении уровня налогов на прибыль компаний, как правило, в фазе экономического кризиса поощряются методы ускоренной амортизации и вводятся льготы по инвестиционным кредитам. В этом случае ускоренная амортизация применяется только к новому оборудованию.</w:t>
      </w:r>
    </w:p>
    <w:p w:rsidR="00DE14BE" w:rsidRPr="006F2C9B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C9B">
        <w:rPr>
          <w:rFonts w:ascii="Times New Roman" w:hAnsi="Times New Roman" w:cs="Times New Roman"/>
          <w:sz w:val="28"/>
          <w:szCs w:val="28"/>
        </w:rPr>
        <w:t>По наличию и характеру правовой базы можно выделить формализованную и неформализованную государственную инвестиционную политику. При этом формализованная инвестиционная политика означает наличие целостной правовой базы, регулирующей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C9B">
        <w:rPr>
          <w:rFonts w:ascii="Times New Roman" w:hAnsi="Times New Roman" w:cs="Times New Roman"/>
          <w:sz w:val="28"/>
          <w:szCs w:val="28"/>
        </w:rPr>
        <w:t>параметры инвестиционного процесса, такие, как налоги, цены, доходы, тарифная система, сроки амортизации оборудования и методы учета основных фондов. Как правило, 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C9B">
        <w:rPr>
          <w:rFonts w:ascii="Times New Roman" w:hAnsi="Times New Roman" w:cs="Times New Roman"/>
          <w:sz w:val="28"/>
          <w:szCs w:val="28"/>
        </w:rPr>
        <w:t>присуща высокая степень государственного участия в экономике.</w:t>
      </w:r>
    </w:p>
    <w:p w:rsidR="00DE14BE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C9B">
        <w:rPr>
          <w:rFonts w:ascii="Times New Roman" w:hAnsi="Times New Roman" w:cs="Times New Roman"/>
          <w:sz w:val="28"/>
          <w:szCs w:val="28"/>
        </w:rPr>
        <w:lastRenderedPageBreak/>
        <w:t>Неформализованная инвестиционная политика характеризуется сравнительно низкой долей    капиталовложений (до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C9B">
        <w:rPr>
          <w:rFonts w:ascii="Times New Roman" w:hAnsi="Times New Roman" w:cs="Times New Roman"/>
          <w:sz w:val="28"/>
          <w:szCs w:val="28"/>
        </w:rPr>
        <w:t>30%), большим о</w:t>
      </w:r>
      <w:r>
        <w:rPr>
          <w:rFonts w:ascii="Times New Roman" w:hAnsi="Times New Roman" w:cs="Times New Roman"/>
          <w:sz w:val="28"/>
          <w:szCs w:val="28"/>
        </w:rPr>
        <w:t>бъемом частного капитала (до 80</w:t>
      </w:r>
      <w:r w:rsidRPr="006F2C9B">
        <w:rPr>
          <w:rFonts w:ascii="Times New Roman" w:hAnsi="Times New Roman" w:cs="Times New Roman"/>
          <w:sz w:val="28"/>
          <w:szCs w:val="28"/>
        </w:rPr>
        <w:t>% от всех хозяйствующих субъектов и объемов промышленного производства),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C9B">
        <w:rPr>
          <w:rFonts w:ascii="Times New Roman" w:hAnsi="Times New Roman" w:cs="Times New Roman"/>
          <w:sz w:val="28"/>
          <w:szCs w:val="28"/>
        </w:rPr>
        <w:t>свободным перемещением капитала за рубеж и из-за рубежа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C9B">
        <w:rPr>
          <w:rFonts w:ascii="Times New Roman" w:hAnsi="Times New Roman" w:cs="Times New Roman"/>
          <w:sz w:val="28"/>
          <w:szCs w:val="28"/>
        </w:rPr>
        <w:t>главное — несистематизированной правовой базой.</w:t>
      </w:r>
    </w:p>
    <w:p w:rsidR="00DE14BE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C9B">
        <w:rPr>
          <w:rFonts w:ascii="Times New Roman" w:hAnsi="Times New Roman" w:cs="Times New Roman"/>
          <w:sz w:val="28"/>
          <w:szCs w:val="28"/>
        </w:rPr>
        <w:t>По форме управления можно выделить следующие типы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C9B">
        <w:rPr>
          <w:rFonts w:ascii="Times New Roman" w:hAnsi="Times New Roman" w:cs="Times New Roman"/>
          <w:sz w:val="28"/>
          <w:szCs w:val="28"/>
        </w:rPr>
        <w:t>инвестиционной политики: либеральная и централизованная.</w:t>
      </w:r>
    </w:p>
    <w:p w:rsidR="00DE14BE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C9B">
        <w:rPr>
          <w:rFonts w:ascii="Times New Roman" w:hAnsi="Times New Roman" w:cs="Times New Roman"/>
          <w:sz w:val="28"/>
          <w:szCs w:val="28"/>
        </w:rPr>
        <w:t>Либеральному типу инвестиционной политики присущи преимущественно экономические методы государственного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C9B">
        <w:rPr>
          <w:rFonts w:ascii="Times New Roman" w:hAnsi="Times New Roman" w:cs="Times New Roman"/>
          <w:sz w:val="28"/>
          <w:szCs w:val="28"/>
        </w:rPr>
        <w:t>инвестиционными развитая вертикальная система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C9B">
        <w:rPr>
          <w:rFonts w:ascii="Times New Roman" w:hAnsi="Times New Roman" w:cs="Times New Roman"/>
          <w:sz w:val="28"/>
          <w:szCs w:val="28"/>
        </w:rPr>
        <w:t>инвесторов (государство — финансовые институты — бизнесмены — мелкие инвесторы), а также разнообразные источники инвестиций (частные, государственные, привлеченные и т.д.), развитая финансовая инфраструктура. Роль государства состоит в установлении «правил игры» во взаимоотношениях «инвестор — государство», что позволяет экономической системе саморегулироваться и развиваться относительно свободно. Этому типу инвестиционной политики противостоит централизованная инвестиционная политика, основной чертой которой является использование преимущественно жестких административных методов управления. Источники инвестиций в этом случае формируются посредством аккумулирования ресурсов различными государственными структурами, централизованно осуществляется долгосрочное прогнозирование, а общее правовое поле жестко регламентирует развитие инвестиционного процесса. Участие фондового рынка в инвестиционном процессе чисто номинальное.</w:t>
      </w:r>
    </w:p>
    <w:p w:rsidR="00DE14BE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C9B">
        <w:rPr>
          <w:rFonts w:ascii="Times New Roman" w:hAnsi="Times New Roman" w:cs="Times New Roman"/>
          <w:sz w:val="28"/>
          <w:szCs w:val="28"/>
        </w:rPr>
        <w:t xml:space="preserve">Исходя из этих критериев современную региональную инвестиционную политику, проводимую большинством регионов сии, можно оценить как формализованную и централизованную. Роль государственного вмешательства значительна как по объемам контролируемых им инвестиций, так и по степени регулирования данного процесса. Средства государственного инвестиционного бюджета составили чуть больше 60%. Любое решение, </w:t>
      </w:r>
      <w:r w:rsidRPr="006F2C9B">
        <w:rPr>
          <w:rFonts w:ascii="Times New Roman" w:hAnsi="Times New Roman" w:cs="Times New Roman"/>
          <w:sz w:val="28"/>
          <w:szCs w:val="28"/>
        </w:rPr>
        <w:lastRenderedPageBreak/>
        <w:t>касающееся привлечения крупных</w:t>
      </w:r>
      <w:r>
        <w:rPr>
          <w:rFonts w:ascii="Times New Roman" w:hAnsi="Times New Roman" w:cs="Times New Roman"/>
          <w:sz w:val="28"/>
          <w:szCs w:val="28"/>
        </w:rPr>
        <w:t xml:space="preserve"> кредитов государственными или </w:t>
      </w:r>
      <w:r w:rsidRPr="006F2C9B">
        <w:rPr>
          <w:rFonts w:ascii="Times New Roman" w:hAnsi="Times New Roman" w:cs="Times New Roman"/>
          <w:sz w:val="28"/>
          <w:szCs w:val="28"/>
        </w:rPr>
        <w:t>предприятиями, так или иначе, контролируется государственными ведомствами.</w:t>
      </w:r>
    </w:p>
    <w:p w:rsidR="00DE14BE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C9B">
        <w:rPr>
          <w:rFonts w:ascii="Times New Roman" w:hAnsi="Times New Roman" w:cs="Times New Roman"/>
          <w:sz w:val="28"/>
          <w:szCs w:val="28"/>
        </w:rPr>
        <w:t>В настоящее время происходит постепенный переход от формализованного централизованного типа государственной инвестиционной политики к формализованному либеральному ее типу.</w:t>
      </w:r>
    </w:p>
    <w:p w:rsidR="00DE14BE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C9B">
        <w:rPr>
          <w:rFonts w:ascii="Times New Roman" w:hAnsi="Times New Roman" w:cs="Times New Roman"/>
          <w:sz w:val="28"/>
          <w:szCs w:val="28"/>
        </w:rPr>
        <w:t>Инвестиционному процессу в регионах Российской Федерации присущи следующие особенности.</w:t>
      </w:r>
    </w:p>
    <w:p w:rsidR="00DE14BE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C9B">
        <w:rPr>
          <w:rFonts w:ascii="Times New Roman" w:hAnsi="Times New Roman" w:cs="Times New Roman"/>
          <w:sz w:val="28"/>
          <w:szCs w:val="28"/>
        </w:rPr>
        <w:t>Децентрализация инвестиционного процесса. Можно выделить, по крайней мере два направления этого процесса: федеральный центр — регион; региональное правительство — региональные промышленные и финансовые институты. В первом случае происходит передача централизованных управляющих функций в пользу региональных властных структур при одновременном истощении федеральных источников инвестиций. В настоящее время ни в одном регионе России федеральное правительство не осуществляет комплексную инвестиционную политику, поэтому все инвестиционные потоки формируются на локальном уровне. Во втором случае экономическая политика региональных властных структур приводит к постепенному сокращению объемов государственных инвестиций, увеличению числа приватизированных предприятий и утрате части собственных контролирующих и управляющих функций в сфере воспроизводства. Доля прямых государственных инвестиций в валовых капитальных вложениях незначительна. Следовательно, современный инвестиционный процесс в регионе характеризуется сокращением доли государственных инвестиций при сохранении государственного контроля над подавляющим объемом капитальных вложений.</w:t>
      </w:r>
    </w:p>
    <w:p w:rsidR="00DE14BE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C9B">
        <w:rPr>
          <w:rFonts w:ascii="Times New Roman" w:hAnsi="Times New Roman" w:cs="Times New Roman"/>
          <w:sz w:val="28"/>
          <w:szCs w:val="28"/>
        </w:rPr>
        <w:t xml:space="preserve">Переход к преимущественно экономическим методам воздействия. Государство утрачивает свои функции главного планирующего и распределяющего института и приобретает иные, ранее не присущие ему, </w:t>
      </w:r>
      <w:r w:rsidRPr="006F2C9B">
        <w:rPr>
          <w:rFonts w:ascii="Times New Roman" w:hAnsi="Times New Roman" w:cs="Times New Roman"/>
          <w:sz w:val="28"/>
          <w:szCs w:val="28"/>
        </w:rPr>
        <w:lastRenderedPageBreak/>
        <w:t>роли: собственника, равноправного участника, долевого партнера, финансового агента, гаранта и кредитора.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4BE" w:rsidRDefault="00DE14BE" w:rsidP="00DE14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C9B">
        <w:rPr>
          <w:rFonts w:ascii="Times New Roman" w:hAnsi="Times New Roman" w:cs="Times New Roman"/>
          <w:sz w:val="28"/>
          <w:szCs w:val="28"/>
        </w:rPr>
        <w:t>Для установления принципиально иных взаимоотношений в сфере воспроизводства необходим достаточно большой период времени. Так же как и любой другой развитой системе, экономике присуща инерция, поэтому процесс преобразований встречает сопротивление старой модели управления. К новым формам государственного воздействия на инвестиционный процесс в регионах страны можно отнести: формирование инвестиционного бюджета как ключевого элемента планирования, долгосрочное государственное кредитование, государственные гарантии и регулирование деятельности акционированных предприятий посредством управления пакетами акций, принадлежащих государству. Существуют значительные резервы во внедрении новых форм государственного управления инвестиционным процессом и совершенствовании имеющихся. Так, практически не задействованы механизмы долевого участия государства, вяло стимулируется фондовый рынок, нет четкой системы поощрений и преференций для отечественных инвесторов. Поэтому в настоящий момент процесс смены системы управления сопровождается падением управляемости системы.</w:t>
      </w:r>
    </w:p>
    <w:p w:rsidR="00DE14BE" w:rsidRDefault="00DE14BE" w:rsidP="00DE14BE">
      <w:pPr>
        <w:pStyle w:val="psection"/>
        <w:shd w:val="clear" w:color="auto" w:fill="FFFFFF"/>
        <w:spacing w:line="360" w:lineRule="atLeast"/>
        <w:ind w:firstLine="600"/>
        <w:jc w:val="both"/>
        <w:rPr>
          <w:rFonts w:ascii="Verdana" w:hAnsi="Verdana"/>
          <w:color w:val="000000"/>
        </w:rPr>
      </w:pPr>
    </w:p>
    <w:p w:rsidR="00DE14BE" w:rsidRDefault="00DE14BE" w:rsidP="00DE14BE">
      <w:pPr>
        <w:pStyle w:val="psection"/>
        <w:shd w:val="clear" w:color="auto" w:fill="FFFFFF"/>
        <w:spacing w:line="360" w:lineRule="atLeast"/>
        <w:ind w:firstLine="600"/>
        <w:jc w:val="both"/>
        <w:rPr>
          <w:rFonts w:ascii="Verdana" w:hAnsi="Verdana"/>
          <w:color w:val="000000"/>
        </w:rPr>
      </w:pPr>
    </w:p>
    <w:p w:rsidR="00DE14BE" w:rsidRDefault="00DE14BE" w:rsidP="00DE14BE">
      <w:pPr>
        <w:pStyle w:val="psection"/>
        <w:shd w:val="clear" w:color="auto" w:fill="FFFFFF"/>
        <w:spacing w:line="360" w:lineRule="atLeast"/>
        <w:ind w:firstLine="600"/>
        <w:jc w:val="both"/>
        <w:rPr>
          <w:rFonts w:ascii="Verdana" w:hAnsi="Verdana"/>
          <w:color w:val="000000"/>
        </w:rPr>
      </w:pPr>
    </w:p>
    <w:p w:rsidR="00DE14BE" w:rsidRDefault="00DE14BE" w:rsidP="00DE14BE">
      <w:pPr>
        <w:pStyle w:val="psection"/>
        <w:shd w:val="clear" w:color="auto" w:fill="FFFFFF"/>
        <w:spacing w:line="360" w:lineRule="atLeast"/>
        <w:ind w:firstLine="600"/>
        <w:jc w:val="both"/>
        <w:rPr>
          <w:rFonts w:ascii="Verdana" w:hAnsi="Verdana"/>
          <w:color w:val="000000"/>
        </w:rPr>
      </w:pPr>
    </w:p>
    <w:p w:rsidR="00DE14BE" w:rsidRDefault="00DE14BE" w:rsidP="00DE14BE">
      <w:pPr>
        <w:pStyle w:val="psection"/>
        <w:shd w:val="clear" w:color="auto" w:fill="FFFFFF"/>
        <w:spacing w:line="360" w:lineRule="atLeast"/>
        <w:ind w:firstLine="600"/>
        <w:jc w:val="both"/>
        <w:rPr>
          <w:rFonts w:ascii="Verdana" w:hAnsi="Verdana"/>
          <w:color w:val="000000"/>
        </w:rPr>
      </w:pPr>
    </w:p>
    <w:p w:rsidR="00DE14BE" w:rsidRDefault="00DE14BE" w:rsidP="00DE14BE">
      <w:pPr>
        <w:pStyle w:val="psection"/>
        <w:shd w:val="clear" w:color="auto" w:fill="FFFFFF"/>
        <w:spacing w:line="360" w:lineRule="atLeast"/>
        <w:ind w:firstLine="600"/>
        <w:jc w:val="both"/>
        <w:rPr>
          <w:rFonts w:ascii="Verdana" w:hAnsi="Verdana"/>
          <w:color w:val="000000"/>
        </w:rPr>
      </w:pPr>
    </w:p>
    <w:p w:rsidR="00DE14BE" w:rsidRDefault="00DE14BE" w:rsidP="00DE14BE">
      <w:pPr>
        <w:pStyle w:val="psection"/>
        <w:shd w:val="clear" w:color="auto" w:fill="FFFFFF"/>
        <w:spacing w:line="360" w:lineRule="atLeast"/>
        <w:ind w:firstLine="600"/>
        <w:jc w:val="both"/>
        <w:rPr>
          <w:rFonts w:ascii="Verdana" w:hAnsi="Verdana"/>
          <w:color w:val="000000"/>
        </w:rPr>
      </w:pPr>
    </w:p>
    <w:p w:rsidR="00DE14BE" w:rsidRDefault="00DE14BE" w:rsidP="00DE14BE">
      <w:pPr>
        <w:pStyle w:val="psection"/>
        <w:shd w:val="clear" w:color="auto" w:fill="FFFFFF"/>
        <w:spacing w:line="360" w:lineRule="atLeast"/>
        <w:jc w:val="both"/>
        <w:rPr>
          <w:rFonts w:ascii="Verdana" w:hAnsi="Verdana"/>
          <w:color w:val="000000"/>
        </w:rPr>
      </w:pPr>
    </w:p>
    <w:p w:rsidR="00DE14BE" w:rsidRDefault="00DE14BE" w:rsidP="00DE14BE">
      <w:pPr>
        <w:pStyle w:val="psection"/>
        <w:shd w:val="clear" w:color="auto" w:fill="FFFFFF"/>
        <w:spacing w:line="360" w:lineRule="atLeast"/>
        <w:jc w:val="both"/>
        <w:rPr>
          <w:rFonts w:ascii="Verdana" w:hAnsi="Verdana"/>
          <w:color w:val="000000"/>
        </w:rPr>
      </w:pPr>
    </w:p>
    <w:p w:rsidR="00DE14BE" w:rsidRPr="00C82109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C82109">
        <w:rPr>
          <w:b/>
          <w:color w:val="000000"/>
          <w:sz w:val="28"/>
          <w:szCs w:val="28"/>
        </w:rPr>
        <w:t>Источники и структура государственных инвестиций</w:t>
      </w:r>
    </w:p>
    <w:p w:rsidR="00DE14BE" w:rsidRPr="00C82109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 </w:t>
      </w:r>
    </w:p>
    <w:p w:rsidR="00DE14BE" w:rsidRPr="00C82109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Основными источниками региональных инвестиций являются: государственные инвестиции (федерального и регионального уровня), частные внутренние инвестиции, частные иностранные инвестиции, иностранные государственные и межгосударственные инвестиции.</w:t>
      </w: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К государственным инвес</w:t>
      </w:r>
      <w:r>
        <w:rPr>
          <w:color w:val="000000"/>
          <w:sz w:val="28"/>
          <w:szCs w:val="28"/>
        </w:rPr>
        <w:t xml:space="preserve">тициям в регионе относятся: </w:t>
      </w:r>
    </w:p>
    <w:p w:rsidR="00DE14BE" w:rsidRPr="00C82109" w:rsidRDefault="00DE14BE" w:rsidP="00DE14BE">
      <w:pPr>
        <w:pStyle w:val="psection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средства государственного бюджета развития (федерального и регионального);</w:t>
      </w:r>
    </w:p>
    <w:p w:rsidR="00DE14BE" w:rsidRPr="00C82109" w:rsidRDefault="00DE14BE" w:rsidP="00DE14BE">
      <w:pPr>
        <w:pStyle w:val="psection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инвестиции государственных предприятий и организаций, министерств и ведомств, внебюджетных фондов, осуществляемые вне плановой инвестиционной программы;</w:t>
      </w:r>
    </w:p>
    <w:p w:rsidR="00DE14BE" w:rsidRPr="00C82109" w:rsidRDefault="00DE14BE" w:rsidP="00DE14BE">
      <w:pPr>
        <w:pStyle w:val="psection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налоговые льготы и инвестиционные кредиты, предоставляемые предприятиям и иным экономическим субъектам, а также кредиты государственных финансовых структур.</w:t>
      </w:r>
    </w:p>
    <w:p w:rsidR="00DE14BE" w:rsidRPr="00C82109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Региональный бюджет развития является ключевым институтом государственного участия в сфере региональных воспроизводственных отношений.</w:t>
      </w:r>
    </w:p>
    <w:p w:rsidR="00DE14BE" w:rsidRPr="00C82109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Принципами разработки бюджета развития региона являются:</w:t>
      </w:r>
    </w:p>
    <w:p w:rsidR="00DE14BE" w:rsidRPr="00C82109" w:rsidRDefault="00DE14BE" w:rsidP="00DE14BE">
      <w:pPr>
        <w:pStyle w:val="psection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четкое определение структурных соотношений между производственным и социальным направлениями инвестирования в экономику региона;</w:t>
      </w:r>
    </w:p>
    <w:p w:rsidR="00DE14BE" w:rsidRPr="00C82109" w:rsidRDefault="00DE14BE" w:rsidP="00DE14BE">
      <w:pPr>
        <w:pStyle w:val="psection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концентрация государственных инвестиционных ресурсов для реализации стратегически наиболее перспективных проектов;</w:t>
      </w:r>
    </w:p>
    <w:p w:rsidR="00DE14BE" w:rsidRPr="00C82109" w:rsidRDefault="00DE14BE" w:rsidP="00DE14BE">
      <w:pPr>
        <w:pStyle w:val="psection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научное обоснование структурных коэффициентов распределения государственных капитальных вложений по районам и городам областного подчинения в целях нивелирования резких территориальных различий в обеспечении социальными благами, а следовательно, и в уровне жизни;</w:t>
      </w:r>
    </w:p>
    <w:p w:rsidR="00DE14BE" w:rsidRPr="00C82109" w:rsidRDefault="00DE14BE" w:rsidP="00DE14BE">
      <w:pPr>
        <w:pStyle w:val="psection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lastRenderedPageBreak/>
        <w:t>более широкое использование инструментов и методов экономико-математического моделирования, которые сейчас практически не применяются государственными органами управления экономикой в регионах.</w:t>
      </w:r>
    </w:p>
    <w:p w:rsidR="00DE14BE" w:rsidRPr="00C82109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К важнейшим проблемам разработки региональных бюджетов развития относятся:</w:t>
      </w:r>
    </w:p>
    <w:p w:rsidR="00DE14BE" w:rsidRPr="00C82109" w:rsidRDefault="00DE14BE" w:rsidP="00DE14BE">
      <w:pPr>
        <w:pStyle w:val="psection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недостаточность финансовых ресурсов для покрытия текущей валовой инвестиционной потребности региона;</w:t>
      </w:r>
    </w:p>
    <w:p w:rsidR="00DE14BE" w:rsidRPr="00C82109" w:rsidRDefault="00DE14BE" w:rsidP="00DE14BE">
      <w:pPr>
        <w:pStyle w:val="psection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несовершенство государственного регулирования при аккумуляции источников инвестиционного бюджета — использование преимущественно прямых государственных инвестиций при низкой возвратности средств, что приводит к постепенному истощению ресурсов;</w:t>
      </w:r>
    </w:p>
    <w:p w:rsidR="00DE14BE" w:rsidRPr="00C82109" w:rsidRDefault="00DE14BE" w:rsidP="00DE14BE">
      <w:pPr>
        <w:pStyle w:val="psection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перегруженность бюджета расходами, выделяемыми на безвозвратной основе, и территориальные различия в распределении инвестиций, которые в долгосрочной перспективе могут привести к ряду негативных тенденций в занятости, расселении и иных социальных аспектах жизни населения;</w:t>
      </w:r>
    </w:p>
    <w:p w:rsidR="00DE14BE" w:rsidRPr="00C82109" w:rsidRDefault="00DE14BE" w:rsidP="00DE14BE">
      <w:pPr>
        <w:pStyle w:val="psection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отсутствие социально-экономического критерия осуществления государственной инвестиционной программы;</w:t>
      </w:r>
    </w:p>
    <w:p w:rsidR="00DE14BE" w:rsidRPr="00C82109" w:rsidRDefault="00DE14BE" w:rsidP="00DE14BE">
      <w:pPr>
        <w:pStyle w:val="psection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неэффективное размещение инвестиций и неоправданное превышение конечных затрат в строительстве за счет государственных средств.</w:t>
      </w:r>
    </w:p>
    <w:p w:rsidR="00DE14BE" w:rsidRPr="00C82109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 xml:space="preserve">Объектами инвестиций населения являются материальные и финансовые активы. К первым относятся движимое и недвижимое имущество, здания и сооружения, драгоценные металлы, товары длительного пользования, использующиеся как средства производства, например, автомобили, компьютеры и оргтехника и т.д. Финансовые активы включают все виды платежных и финансовых обязательств, в том числе наличные деньги, вклады в текущих счетах, прочие по срочности виды вкладов в банках, </w:t>
      </w:r>
      <w:r w:rsidRPr="00C82109">
        <w:rPr>
          <w:color w:val="000000"/>
          <w:sz w:val="28"/>
          <w:szCs w:val="28"/>
        </w:rPr>
        <w:lastRenderedPageBreak/>
        <w:t>различные краткосрочные долговые обязательства, облигации, а также титулы собственности на капитал, например акции, и другие финансовые документы, подтверждающие заключение сделки по поводу движения финансовых ресурсов.</w:t>
      </w:r>
    </w:p>
    <w:p w:rsidR="00DE14BE" w:rsidRPr="00C82109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Фактическая разница между совокупными денежными доходами населения и конечным потреблением домашних хозяйств весьма существенна. Она складывается из официально неучтенных инвестиций населения, денежной наличности и потребительских расходов за пределами региона, в том числе туристических путевок, транспортных услуг, покупки товаров и валюты. Следовательно, значительная часть доходов населения вымывается из региональных финансовых потоков. Это говорит о наличии значительных резервов, лежащих в области развития системы финансовых посредников как инструмента эффективной трансформации сбережений населения в инвестиции в реальный сектор экономики.</w:t>
      </w:r>
    </w:p>
    <w:p w:rsidR="00DE14BE" w:rsidRPr="00C82109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82109">
        <w:rPr>
          <w:color w:val="000000"/>
          <w:sz w:val="28"/>
          <w:szCs w:val="28"/>
        </w:rPr>
        <w:t>Для активизации частных инвестиций населения необходима новая региональная политика доходов, которая включает в себя три следующих блока: обеспечение роста номинальных и реальных доходов населения, стимулирование сбережений, управление активами.</w:t>
      </w: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E14BE" w:rsidRPr="00C82109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E43C0B">
        <w:rPr>
          <w:b/>
          <w:color w:val="000000"/>
          <w:sz w:val="28"/>
          <w:szCs w:val="28"/>
        </w:rPr>
        <w:lastRenderedPageBreak/>
        <w:t>Методика отбора приоритетных инвестиционных проектов</w:t>
      </w:r>
    </w:p>
    <w:p w:rsidR="00DE14BE" w:rsidRPr="00E43C0B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DE14BE" w:rsidRPr="00E43C0B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43C0B">
        <w:rPr>
          <w:color w:val="000000"/>
          <w:sz w:val="28"/>
          <w:szCs w:val="28"/>
        </w:rPr>
        <w:t>Ввиду ограниченности финансовых средств, мобилизуемых на</w:t>
      </w:r>
      <w:r>
        <w:rPr>
          <w:color w:val="000000"/>
          <w:sz w:val="28"/>
          <w:szCs w:val="28"/>
        </w:rPr>
        <w:t xml:space="preserve"> </w:t>
      </w:r>
      <w:r w:rsidRPr="00E43C0B">
        <w:rPr>
          <w:color w:val="000000"/>
          <w:sz w:val="28"/>
          <w:szCs w:val="28"/>
        </w:rPr>
        <w:t>региональное          встает задача отбора инвестиционных проектов для первоочередного финансирования, реализация которых позволяет получить в кратчайший срок максимальный от государственных и частных инвестиций.</w:t>
      </w:r>
    </w:p>
    <w:p w:rsidR="00DE14BE" w:rsidRPr="00E43C0B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43C0B">
        <w:rPr>
          <w:color w:val="000000"/>
          <w:sz w:val="28"/>
          <w:szCs w:val="28"/>
        </w:rPr>
        <w:t>При этом выбор таких проектов, называемых приоритетными, производится в рамках ресурсных ограничений — ограничений на объем финансирования в первый год реализации программы. По существу задача отбора приоритетных проектов является задачей выбора наилучшего варианта реализации программы, придает ей необходимую ориентацию в рамках приоритетных целей и в конечном итоге определяет наиболее эффективную стратегию их достижения.</w:t>
      </w:r>
    </w:p>
    <w:p w:rsidR="00DE14BE" w:rsidRPr="00E43C0B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43C0B">
        <w:rPr>
          <w:color w:val="000000"/>
          <w:sz w:val="28"/>
          <w:szCs w:val="28"/>
        </w:rPr>
        <w:t>Задача выбора приоритетных инвестиционных проектов носит многокритериальный характер. Проекты, претендующие на приоритетность, должны анализироваться на базе многосторонней экспертизы. Их качество оценивается при помощи определенного набора количественных показателей эффективности — коммер-бюджетной, социальной.</w:t>
      </w: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43C0B">
        <w:rPr>
          <w:rStyle w:val="apple-converted-space"/>
          <w:color w:val="000000"/>
          <w:sz w:val="28"/>
          <w:szCs w:val="28"/>
        </w:rPr>
        <w:t> </w:t>
      </w:r>
      <w:r w:rsidRPr="00E43C0B">
        <w:rPr>
          <w:color w:val="000000"/>
          <w:sz w:val="28"/>
          <w:szCs w:val="28"/>
        </w:rPr>
        <w:t xml:space="preserve">Главными проблемами большинства регионов страны, решение которых было вынесено на федеральный уровень, явились сильная дотационность регионального бюджета и тяжелое положение в сфере занятости. В связи с этим при разработке индикативного плана развития региона может возникнуть необходимость предварительного определения приоритетных задач. </w:t>
      </w:r>
    </w:p>
    <w:p w:rsidR="00DE14BE" w:rsidRPr="00E43C0B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43C0B">
        <w:rPr>
          <w:color w:val="000000"/>
          <w:sz w:val="28"/>
          <w:szCs w:val="28"/>
        </w:rPr>
        <w:t>Они могут быть сформулированы следующим образом:</w:t>
      </w:r>
    </w:p>
    <w:p w:rsidR="00DE14BE" w:rsidRPr="00E43C0B" w:rsidRDefault="00DE14BE" w:rsidP="00DE14BE">
      <w:pPr>
        <w:pStyle w:val="psection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E43C0B">
        <w:rPr>
          <w:color w:val="000000"/>
          <w:sz w:val="28"/>
          <w:szCs w:val="28"/>
        </w:rPr>
        <w:t>быстрое достижение максимального уровня самодостаточности республиканского бюджета путем увеличения налоговых поступлений;</w:t>
      </w:r>
    </w:p>
    <w:p w:rsidR="00DE14BE" w:rsidRPr="00E43C0B" w:rsidRDefault="00DE14BE" w:rsidP="00DE14BE">
      <w:pPr>
        <w:pStyle w:val="psection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E43C0B">
        <w:rPr>
          <w:color w:val="000000"/>
          <w:sz w:val="28"/>
          <w:szCs w:val="28"/>
        </w:rPr>
        <w:t>сохранение рабочих мест на предприятиях региона и создание как можно большего количества новых рабочих мест;</w:t>
      </w:r>
    </w:p>
    <w:p w:rsidR="00DE14BE" w:rsidRPr="00E43C0B" w:rsidRDefault="00DE14BE" w:rsidP="00DE14BE">
      <w:pPr>
        <w:pStyle w:val="psection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E43C0B">
        <w:rPr>
          <w:color w:val="000000"/>
          <w:sz w:val="28"/>
          <w:szCs w:val="28"/>
        </w:rPr>
        <w:lastRenderedPageBreak/>
        <w:t>обеспечение максимальных налоговых поступлений в федеральный бюджет.</w:t>
      </w:r>
    </w:p>
    <w:p w:rsidR="00DE14BE" w:rsidRPr="00E43C0B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43C0B">
        <w:rPr>
          <w:color w:val="000000"/>
          <w:sz w:val="28"/>
          <w:szCs w:val="28"/>
        </w:rPr>
        <w:t>Как правило, при рассмотрении вопроса о приоритетном финансировании может быть представлено несколько сотен инвестиционных проектов. Исходя из сформулированных выше приоритетных задач качество каждого проекта оценивалось по значениям следующих пяти показателей эффективности:</w:t>
      </w:r>
    </w:p>
    <w:p w:rsidR="00DE14BE" w:rsidRPr="00E43C0B" w:rsidRDefault="00DE14BE" w:rsidP="00DE14BE">
      <w:pPr>
        <w:pStyle w:val="psection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E43C0B">
        <w:rPr>
          <w:color w:val="000000"/>
          <w:sz w:val="28"/>
          <w:szCs w:val="28"/>
        </w:rPr>
        <w:t>бюджетной эффективности  — размер ежегодных налоговых выплат в федеральный, республиканский и</w:t>
      </w:r>
      <w:r>
        <w:rPr>
          <w:color w:val="000000"/>
          <w:sz w:val="28"/>
          <w:szCs w:val="28"/>
        </w:rPr>
        <w:t xml:space="preserve"> </w:t>
      </w:r>
      <w:r w:rsidRPr="00E43C0B">
        <w:rPr>
          <w:color w:val="000000"/>
          <w:sz w:val="28"/>
          <w:szCs w:val="28"/>
        </w:rPr>
        <w:t>местный бюджеты после выхода предприятия, реализующего проект, на проектную мощность (в млн руб.);</w:t>
      </w:r>
    </w:p>
    <w:p w:rsidR="00DE14BE" w:rsidRPr="00E43C0B" w:rsidRDefault="00DE14BE" w:rsidP="00DE14BE">
      <w:pPr>
        <w:pStyle w:val="psection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E43C0B">
        <w:rPr>
          <w:color w:val="000000"/>
          <w:sz w:val="28"/>
          <w:szCs w:val="28"/>
        </w:rPr>
        <w:t>социальной эффективности — ежегодные поступления в социальные фонды и экономия средств на социальные выплаты, которые выплачивались бы гражданам региона, если не были бы сохранены старые рабочие места на предприятии, реализующем проект, и не были бы созданы новые (в млн руб.);</w:t>
      </w:r>
    </w:p>
    <w:p w:rsidR="00DE14BE" w:rsidRDefault="00DE14BE" w:rsidP="00DE14BE">
      <w:pPr>
        <w:pStyle w:val="psection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E43C0B">
        <w:rPr>
          <w:color w:val="000000"/>
          <w:sz w:val="28"/>
          <w:szCs w:val="28"/>
        </w:rPr>
        <w:t>коммерческой эффективности   — величина, обратная периоду окупаемости (в месяцах) инвестиционного проекта.</w:t>
      </w: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637303">
        <w:rPr>
          <w:b/>
          <w:sz w:val="28"/>
          <w:szCs w:val="28"/>
        </w:rPr>
        <w:lastRenderedPageBreak/>
        <w:t>Инновационное развитие Центрального федерального округа</w:t>
      </w: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Центральный федеральный округ по своей роли в стране и мире четко разделяется на две части – Московский регион и окружающее его периферическое кольцо. Московский регион обладает максимальной в стране концентрацией интеллектуального потенциала, во многом задает уровень производства наукоемкой продукции, темп обновления экономики и сферы услуг, распространения в стране всего нового, инновационного. Московский регион выступает для мирового сообщества как российский центр деловой активности и оказания бизнес-услуг, и его задача – соответствовать требованиям, предъявляемым в мире к столичным регионам и мировым городам по уровню сервисных и бизнес-услуг и комфортности пребывания.</w:t>
      </w: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Целью развития Центрального федерального округа на мировом уровне является превращение Московского региона в современный комфортный столичный центр мирового значения.</w:t>
      </w: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Достижение этой цели предполагает решение следующих задач:</w:t>
      </w:r>
    </w:p>
    <w:p w:rsidR="00DE14BE" w:rsidRPr="00637303" w:rsidRDefault="00DE14BE" w:rsidP="00DE14BE">
      <w:pPr>
        <w:pStyle w:val="psection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повышение транспортных возможностей, комфортности и безопасности перемещения за пределами и внутри региона;</w:t>
      </w:r>
    </w:p>
    <w:p w:rsidR="00DE14BE" w:rsidRPr="00637303" w:rsidRDefault="00DE14BE" w:rsidP="00DE14BE">
      <w:pPr>
        <w:pStyle w:val="psection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улучшение экологической обстановки;</w:t>
      </w:r>
    </w:p>
    <w:p w:rsidR="00DE14BE" w:rsidRPr="00637303" w:rsidRDefault="00DE14BE" w:rsidP="00DE14BE">
      <w:pPr>
        <w:pStyle w:val="psection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повышение уровня предоставления сервисных и бизнес-услуг.</w:t>
      </w: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Периферийное кольцо округа серьезного значения в общемировом смысле не имеет (кроме металлургического кластера и отдельных видов машиностроительной, химической и пищевой продукции).</w:t>
      </w: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 xml:space="preserve">Общероссийское значение Центрального федерального округа и особенно Московского региона чрезвычайно велико. Московский регион как главное в стране место оказания сервисных услуг высокого уровня (образовательных, медицинских, культурных, спортивных, торгово-развлекательных, научных, проектных, юридических, консалтинговых, финансовых, страховых, посреднических, транспортно-логистических и других) является центром притяжения населения и бизнес сообщества всей </w:t>
      </w:r>
      <w:r w:rsidRPr="00637303">
        <w:rPr>
          <w:color w:val="000000"/>
          <w:sz w:val="28"/>
          <w:szCs w:val="28"/>
        </w:rPr>
        <w:lastRenderedPageBreak/>
        <w:t>страны, является инициатором обновления экономики и социальной сферы России.</w:t>
      </w: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Целью округа на общероссийском уровне является сохранение лидирующих позиций в индустриально-постриндустриальном развитии страны, производстве интеллектуальных услуг и наукоемкой продукции, оказания сервисных услуг высокого уровня.</w:t>
      </w: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Центральный федеральный округ – это люди, живущие здесь. И, безусловно, развитие макрорегиона должно обеспечивать возможности каждому жителю для улучшения качества его жизни, роста его благосостояния, при условии сохранения природных ресурсов и окружающей среды для нынешнего и будущих поколений жителей.</w:t>
      </w: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 xml:space="preserve">Для Центрального федерального округа в этом контексте наиболее адекватной является модель гармоничного развития территории. </w:t>
      </w: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Необходимым условием развития Центрального федерального округа является общедоступная социальная сфера, которая создает базис для гармоничного развития каждого жителя макрорегиона. Это требует существенной модернизации имеющейся инфраструктуры профилактики и лечения заболеваний, получения качественного востребованного обществом и экономикой образования, удовлетворения культурных запросов, занятий физической культурой и спортом.</w:t>
      </w: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Наукоемкие технологии могут коренным образом изменить социальную сферу региона в результате внедрения новых методов защиты здоровья и получения образования. Это позволит создать и внедрить новые стандарты обучения всех уровней, удовлетворить потребности экономики в квалифицированных кадрах.</w:t>
      </w: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В Центральном федеральном округе особую важность имеет задача сохранения территорий естественной природы, биологического разнообразия, обеспечения рационального природопользования, и восстановления ландшафтного дизайна территории.</w:t>
      </w: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637303">
        <w:rPr>
          <w:b/>
          <w:color w:val="000000"/>
          <w:sz w:val="28"/>
          <w:szCs w:val="28"/>
        </w:rPr>
        <w:lastRenderedPageBreak/>
        <w:t>Задача</w:t>
      </w: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Определите валовой региональный продукт производственным методом исходя из следующих данных (в текущих ценах, млн. руб.):</w:t>
      </w: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- валовой выпуск – 211809,3;</w:t>
      </w: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- промежуточное потребление - 104540,1;</w:t>
      </w: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- налоги на продукты – 1001,6;</w:t>
      </w:r>
    </w:p>
    <w:p w:rsidR="00DE14BE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37303">
        <w:rPr>
          <w:color w:val="000000"/>
          <w:sz w:val="28"/>
          <w:szCs w:val="28"/>
        </w:rPr>
        <w:t>- субсидии на продукты – 1409,4.</w:t>
      </w: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r w:rsidRPr="00637303">
        <w:rPr>
          <w:color w:val="000000"/>
          <w:sz w:val="28"/>
          <w:szCs w:val="28"/>
          <w:u w:val="single"/>
        </w:rPr>
        <w:t>Решение:</w:t>
      </w:r>
    </w:p>
    <w:p w:rsidR="00DE14BE" w:rsidRPr="00637303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333333"/>
          <w:sz w:val="28"/>
          <w:szCs w:val="28"/>
        </w:rPr>
      </w:pPr>
      <w:r w:rsidRPr="00637303">
        <w:rPr>
          <w:color w:val="333333"/>
          <w:sz w:val="28"/>
          <w:szCs w:val="28"/>
        </w:rPr>
        <w:t>Оценка валового внутреннего продукта производственным методом получается как сумма валовой добавленной стоимости всех отраслей или институциональных секторов в основных ценах плюс чистые налоги на продукты.</w:t>
      </w:r>
    </w:p>
    <w:p w:rsidR="00DE14BE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333333"/>
          <w:sz w:val="28"/>
          <w:szCs w:val="28"/>
        </w:rPr>
      </w:pPr>
      <w:r w:rsidRPr="00637303">
        <w:rPr>
          <w:color w:val="333333"/>
          <w:sz w:val="28"/>
          <w:szCs w:val="28"/>
        </w:rPr>
        <w:t>Сумма валовой добавленной стоимости определяется как стоимость выпуска, минус промежуточное потребление. А чистые налоги на продукты рассчитываются как любые налоги на продукты за вычетом субсидий на продукты, кроме тех, которые уже включены в стоимость выпуска:</w:t>
      </w:r>
    </w:p>
    <w:p w:rsidR="00DE14BE" w:rsidRPr="00637303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240" w:afterAutospacing="0"/>
        <w:jc w:val="center"/>
        <w:textAlignment w:val="baseline"/>
        <w:rPr>
          <w:rFonts w:asciiTheme="minorHAnsi" w:hAnsiTheme="minorHAnsi"/>
          <w:color w:val="333333"/>
          <w:sz w:val="28"/>
          <w:szCs w:val="28"/>
        </w:rPr>
      </w:pPr>
      <w:r>
        <w:rPr>
          <w:rFonts w:ascii="Helvetica" w:hAnsi="Helvetica"/>
          <w:noProof/>
          <w:color w:val="333333"/>
          <w:sz w:val="28"/>
          <w:szCs w:val="28"/>
        </w:rPr>
        <w:drawing>
          <wp:inline distT="0" distB="0" distL="0" distR="0" wp14:anchorId="64445BB4" wp14:editId="2D7EFAF5">
            <wp:extent cx="2882900" cy="304800"/>
            <wp:effectExtent l="19050" t="0" r="0" b="0"/>
            <wp:docPr id="35" name="img-c5eC6j" descr="Формула расчёта ВВП производственным метод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c5eC6j" descr="Формула расчёта ВВП производственным методом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4BE" w:rsidRDefault="00DE14BE" w:rsidP="00DE14BE">
      <w:pPr>
        <w:pStyle w:val="a3"/>
        <w:shd w:val="clear" w:color="auto" w:fill="FFFFFF"/>
        <w:spacing w:before="0" w:beforeAutospacing="0" w:after="240" w:afterAutospacing="0"/>
        <w:jc w:val="center"/>
        <w:textAlignment w:val="baseline"/>
        <w:rPr>
          <w:color w:val="333333"/>
          <w:sz w:val="28"/>
          <w:szCs w:val="28"/>
        </w:rPr>
      </w:pPr>
      <w:r w:rsidRPr="00637303">
        <w:rPr>
          <w:color w:val="333333"/>
          <w:sz w:val="28"/>
          <w:szCs w:val="28"/>
        </w:rPr>
        <w:t xml:space="preserve">ВВП = </w:t>
      </w:r>
      <w:r>
        <w:rPr>
          <w:color w:val="333333"/>
          <w:sz w:val="28"/>
          <w:szCs w:val="28"/>
        </w:rPr>
        <w:t>211809,3 – 104540,1 + 1001,6 – 1409,4 = 2013061,4 млн.руб.</w:t>
      </w:r>
    </w:p>
    <w:p w:rsidR="00DE14BE" w:rsidRDefault="00DE14BE" w:rsidP="00DE14BE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33333"/>
          <w:sz w:val="28"/>
          <w:szCs w:val="28"/>
        </w:rPr>
      </w:pPr>
      <w:r w:rsidRPr="00637303">
        <w:rPr>
          <w:color w:val="333333"/>
          <w:sz w:val="28"/>
          <w:szCs w:val="28"/>
          <w:u w:val="single"/>
        </w:rPr>
        <w:t>Ответ:</w:t>
      </w:r>
      <w:r>
        <w:rPr>
          <w:color w:val="333333"/>
          <w:sz w:val="28"/>
          <w:szCs w:val="28"/>
        </w:rPr>
        <w:t xml:space="preserve"> 2013061,4 млн.руб.</w:t>
      </w:r>
    </w:p>
    <w:p w:rsidR="00DE14BE" w:rsidRDefault="00DE14BE" w:rsidP="00DE14BE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color w:val="333333"/>
          <w:sz w:val="28"/>
          <w:szCs w:val="28"/>
        </w:rPr>
      </w:pPr>
      <w:r w:rsidRPr="00637303">
        <w:rPr>
          <w:b/>
          <w:color w:val="333333"/>
          <w:sz w:val="28"/>
          <w:szCs w:val="28"/>
        </w:rPr>
        <w:lastRenderedPageBreak/>
        <w:t>Заключение</w:t>
      </w:r>
    </w:p>
    <w:p w:rsidR="00DE14BE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color w:val="333333"/>
          <w:sz w:val="28"/>
          <w:szCs w:val="28"/>
        </w:rPr>
      </w:pPr>
    </w:p>
    <w:p w:rsidR="00DE14BE" w:rsidRPr="00637303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333333"/>
          <w:sz w:val="28"/>
          <w:szCs w:val="28"/>
        </w:rPr>
      </w:pPr>
      <w:r w:rsidRPr="00637303">
        <w:rPr>
          <w:color w:val="333333"/>
          <w:sz w:val="28"/>
          <w:szCs w:val="28"/>
        </w:rPr>
        <w:t xml:space="preserve">Инвестиционные ресурсы традиционно занимают позиции ведущего источника развития национальной экономики, обеспечения темпов экономического роста. Пристальное внимание к проблеме регулирования инвестиционного процесса, обозначившееся в последнее время, вызвано учетом как этого обстоятельства, так и того, что негативные тенденции в инвестиционной сфере стали представлять уже явную и серьезную угрозу экономической безопасности России. </w:t>
      </w:r>
    </w:p>
    <w:p w:rsidR="00DE14BE" w:rsidRPr="00637303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333333"/>
          <w:sz w:val="28"/>
          <w:szCs w:val="28"/>
        </w:rPr>
      </w:pPr>
      <w:r w:rsidRPr="00637303">
        <w:rPr>
          <w:color w:val="333333"/>
          <w:sz w:val="28"/>
          <w:szCs w:val="28"/>
        </w:rPr>
        <w:t>Вообще, под инвестиционной политикой государства понимается комплекс целенаправленных мероприятий, проводимых государством для создания благоприятных условий для всех субъектов хозяйствования с целью оживления инвестиционной деятельности и подъема национальной экономики, повышения эффективности инвестиций и решения социальных задач.</w:t>
      </w:r>
    </w:p>
    <w:p w:rsidR="00DE14BE" w:rsidRPr="00637303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333333"/>
          <w:sz w:val="28"/>
          <w:szCs w:val="28"/>
        </w:rPr>
      </w:pPr>
      <w:r w:rsidRPr="00637303">
        <w:rPr>
          <w:color w:val="333333"/>
          <w:sz w:val="28"/>
          <w:szCs w:val="28"/>
        </w:rPr>
        <w:t>Конечной целью инвестиционной политики государства является подъем экономики, повышение эффективности производства и решение социальных проблем. Инвестиционная политика государства должна оживить инвестиционную деятельность, направленную на подъем отечественной экономики и повышение эффективности общественного производства.</w:t>
      </w:r>
    </w:p>
    <w:p w:rsidR="00DE14BE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333333"/>
          <w:sz w:val="28"/>
          <w:szCs w:val="28"/>
        </w:rPr>
      </w:pPr>
    </w:p>
    <w:p w:rsidR="00DE14BE" w:rsidRPr="00637303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333333"/>
          <w:sz w:val="28"/>
          <w:szCs w:val="28"/>
        </w:rPr>
      </w:pPr>
    </w:p>
    <w:p w:rsidR="00DE14BE" w:rsidRDefault="00DE14BE" w:rsidP="00DE14BE">
      <w:pPr>
        <w:pStyle w:val="a3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color w:val="333333"/>
          <w:sz w:val="28"/>
          <w:szCs w:val="28"/>
        </w:rPr>
      </w:pPr>
      <w:r w:rsidRPr="00637303">
        <w:rPr>
          <w:b/>
          <w:color w:val="333333"/>
          <w:sz w:val="28"/>
          <w:szCs w:val="28"/>
        </w:rPr>
        <w:lastRenderedPageBreak/>
        <w:t>Список литературы</w:t>
      </w:r>
    </w:p>
    <w:p w:rsidR="00DE14BE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</w:p>
    <w:p w:rsidR="00DE14BE" w:rsidRPr="00637303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37303">
        <w:rPr>
          <w:color w:val="333333"/>
          <w:sz w:val="28"/>
          <w:szCs w:val="28"/>
        </w:rPr>
        <w:t>1. Региональная экономика: Учебник для вузов</w:t>
      </w:r>
      <w:r>
        <w:rPr>
          <w:color w:val="333333"/>
          <w:sz w:val="28"/>
          <w:szCs w:val="28"/>
        </w:rPr>
        <w:t xml:space="preserve"> /</w:t>
      </w:r>
      <w:r w:rsidRPr="00637303">
        <w:rPr>
          <w:color w:val="333333"/>
          <w:sz w:val="28"/>
          <w:szCs w:val="28"/>
        </w:rPr>
        <w:t xml:space="preserve"> Под ред. Проф. Т.Г. Морозовой. - 3-е изд., перераб. и доп. - М.: ЮНИТИ</w:t>
      </w:r>
      <w:r>
        <w:rPr>
          <w:color w:val="333333"/>
          <w:sz w:val="28"/>
          <w:szCs w:val="28"/>
        </w:rPr>
        <w:t xml:space="preserve"> –</w:t>
      </w:r>
      <w:r w:rsidRPr="00637303">
        <w:rPr>
          <w:color w:val="333333"/>
          <w:sz w:val="28"/>
          <w:szCs w:val="28"/>
        </w:rPr>
        <w:t xml:space="preserve"> ДАНА</w:t>
      </w:r>
      <w:r>
        <w:rPr>
          <w:color w:val="333333"/>
          <w:sz w:val="28"/>
          <w:szCs w:val="28"/>
        </w:rPr>
        <w:t>.</w:t>
      </w:r>
      <w:r w:rsidRPr="00637303">
        <w:rPr>
          <w:color w:val="333333"/>
          <w:sz w:val="28"/>
          <w:szCs w:val="28"/>
        </w:rPr>
        <w:t xml:space="preserve"> 20</w:t>
      </w:r>
      <w:r>
        <w:rPr>
          <w:color w:val="333333"/>
          <w:sz w:val="28"/>
          <w:szCs w:val="28"/>
        </w:rPr>
        <w:t>1</w:t>
      </w:r>
      <w:r w:rsidRPr="00637303">
        <w:rPr>
          <w:color w:val="333333"/>
          <w:sz w:val="28"/>
          <w:szCs w:val="28"/>
        </w:rPr>
        <w:t>3.</w:t>
      </w:r>
    </w:p>
    <w:p w:rsidR="00DE14BE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</w:t>
      </w:r>
      <w:r w:rsidRPr="00637303">
        <w:rPr>
          <w:color w:val="333333"/>
          <w:sz w:val="28"/>
          <w:szCs w:val="28"/>
        </w:rPr>
        <w:t>. Гутман Г.В. Управление региональной экономикой. - М.: Финансы и статистика</w:t>
      </w:r>
      <w:r>
        <w:rPr>
          <w:color w:val="333333"/>
          <w:sz w:val="28"/>
          <w:szCs w:val="28"/>
        </w:rPr>
        <w:t>. 2011</w:t>
      </w:r>
      <w:r w:rsidRPr="00637303">
        <w:rPr>
          <w:color w:val="333333"/>
          <w:sz w:val="28"/>
          <w:szCs w:val="28"/>
        </w:rPr>
        <w:t>.</w:t>
      </w:r>
    </w:p>
    <w:p w:rsidR="00DE14BE" w:rsidRPr="00637303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 </w:t>
      </w:r>
      <w:r w:rsidRPr="00637303">
        <w:rPr>
          <w:color w:val="333333"/>
          <w:sz w:val="28"/>
          <w:szCs w:val="28"/>
        </w:rPr>
        <w:t>Игонина Л.Л. Инвестиции: Учеб. пособие / Под ред. д. - ра экон. наук, проф. В.А. Слепова. - М.: Юристъ</w:t>
      </w:r>
      <w:r>
        <w:rPr>
          <w:color w:val="333333"/>
          <w:sz w:val="28"/>
          <w:szCs w:val="28"/>
        </w:rPr>
        <w:t>.</w:t>
      </w:r>
      <w:r w:rsidRPr="00637303">
        <w:rPr>
          <w:color w:val="333333"/>
          <w:sz w:val="28"/>
          <w:szCs w:val="28"/>
        </w:rPr>
        <w:t xml:space="preserve"> 20</w:t>
      </w:r>
      <w:r>
        <w:rPr>
          <w:color w:val="333333"/>
          <w:sz w:val="28"/>
          <w:szCs w:val="28"/>
        </w:rPr>
        <w:t>14</w:t>
      </w:r>
      <w:r w:rsidRPr="00637303">
        <w:rPr>
          <w:color w:val="333333"/>
          <w:sz w:val="28"/>
          <w:szCs w:val="28"/>
        </w:rPr>
        <w:t>.</w:t>
      </w:r>
    </w:p>
    <w:p w:rsidR="00DE14BE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</w:t>
      </w:r>
      <w:r w:rsidRPr="00637303">
        <w:rPr>
          <w:color w:val="333333"/>
          <w:sz w:val="28"/>
          <w:szCs w:val="28"/>
        </w:rPr>
        <w:t>. Ковалев В.В. Финансовый анализ: Управление капиталом. Выбор инвестиций. Анализ отчетности. - М.: Финансы и статистика</w:t>
      </w:r>
      <w:r>
        <w:rPr>
          <w:color w:val="333333"/>
          <w:sz w:val="28"/>
          <w:szCs w:val="28"/>
        </w:rPr>
        <w:t>.</w:t>
      </w:r>
      <w:r w:rsidRPr="00637303">
        <w:rPr>
          <w:color w:val="333333"/>
          <w:sz w:val="28"/>
          <w:szCs w:val="28"/>
        </w:rPr>
        <w:t xml:space="preserve"> 20</w:t>
      </w:r>
      <w:r>
        <w:rPr>
          <w:color w:val="333333"/>
          <w:sz w:val="28"/>
          <w:szCs w:val="28"/>
        </w:rPr>
        <w:t>12</w:t>
      </w:r>
      <w:r w:rsidRPr="00637303">
        <w:rPr>
          <w:color w:val="333333"/>
          <w:sz w:val="28"/>
          <w:szCs w:val="28"/>
        </w:rPr>
        <w:t>.</w:t>
      </w:r>
    </w:p>
    <w:p w:rsidR="00DE14BE" w:rsidRPr="006B6580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171717" w:themeColor="background2" w:themeShade="1A"/>
          <w:sz w:val="28"/>
          <w:szCs w:val="28"/>
        </w:rPr>
      </w:pPr>
      <w:r>
        <w:rPr>
          <w:color w:val="333333"/>
          <w:sz w:val="28"/>
          <w:szCs w:val="28"/>
        </w:rPr>
        <w:t xml:space="preserve">5. </w:t>
      </w:r>
      <w:hyperlink r:id="rId8" w:history="1">
        <w:r w:rsidRPr="006B6580">
          <w:rPr>
            <w:rStyle w:val="a4"/>
            <w:color w:val="171717" w:themeColor="background2" w:themeShade="1A"/>
            <w:sz w:val="28"/>
            <w:szCs w:val="28"/>
          </w:rPr>
          <w:t>https://ru.wikipedia.org</w:t>
        </w:r>
      </w:hyperlink>
      <w:r w:rsidRPr="006B6580">
        <w:rPr>
          <w:color w:val="171717" w:themeColor="background2" w:themeShade="1A"/>
          <w:sz w:val="28"/>
          <w:szCs w:val="28"/>
        </w:rPr>
        <w:t xml:space="preserve"> </w:t>
      </w:r>
    </w:p>
    <w:p w:rsidR="00DE14BE" w:rsidRPr="006B6580" w:rsidRDefault="00DE14BE" w:rsidP="00DE14BE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171717" w:themeColor="background2" w:themeShade="1A"/>
          <w:sz w:val="28"/>
          <w:szCs w:val="28"/>
        </w:rPr>
      </w:pPr>
      <w:r w:rsidRPr="006B6580">
        <w:rPr>
          <w:color w:val="171717" w:themeColor="background2" w:themeShade="1A"/>
          <w:sz w:val="28"/>
          <w:szCs w:val="28"/>
        </w:rPr>
        <w:t xml:space="preserve">6. </w:t>
      </w:r>
      <w:hyperlink r:id="rId9" w:history="1">
        <w:r w:rsidRPr="006B6580">
          <w:rPr>
            <w:rStyle w:val="a4"/>
            <w:color w:val="171717" w:themeColor="background2" w:themeShade="1A"/>
            <w:sz w:val="28"/>
            <w:szCs w:val="28"/>
          </w:rPr>
          <w:t>http://studopedia.ru</w:t>
        </w:r>
      </w:hyperlink>
      <w:r w:rsidRPr="006B6580">
        <w:rPr>
          <w:color w:val="171717" w:themeColor="background2" w:themeShade="1A"/>
          <w:sz w:val="28"/>
          <w:szCs w:val="28"/>
        </w:rPr>
        <w:t xml:space="preserve"> </w:t>
      </w:r>
    </w:p>
    <w:p w:rsidR="00DE14BE" w:rsidRPr="00637303" w:rsidRDefault="00DE14BE" w:rsidP="00DE14BE">
      <w:pPr>
        <w:pStyle w:val="psectio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</w:p>
    <w:p w:rsidR="00DE14BE" w:rsidRPr="001A6169" w:rsidRDefault="00DE14BE" w:rsidP="001A6169">
      <w:pPr>
        <w:autoSpaceDE w:val="0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F39" w:rsidRDefault="00193F39"/>
    <w:sectPr w:rsidR="00193F39" w:rsidSect="00DE14BE">
      <w:head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932" w:rsidRDefault="007F5932" w:rsidP="00DE14BE">
      <w:pPr>
        <w:spacing w:after="0" w:line="240" w:lineRule="auto"/>
      </w:pPr>
      <w:r>
        <w:separator/>
      </w:r>
    </w:p>
  </w:endnote>
  <w:endnote w:type="continuationSeparator" w:id="0">
    <w:p w:rsidR="007F5932" w:rsidRDefault="007F5932" w:rsidP="00DE1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932" w:rsidRDefault="007F5932" w:rsidP="00DE14BE">
      <w:pPr>
        <w:spacing w:after="0" w:line="240" w:lineRule="auto"/>
      </w:pPr>
      <w:r>
        <w:separator/>
      </w:r>
    </w:p>
  </w:footnote>
  <w:footnote w:type="continuationSeparator" w:id="0">
    <w:p w:rsidR="007F5932" w:rsidRDefault="007F5932" w:rsidP="00DE1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29"/>
      <w:gridCol w:w="3129"/>
      <w:gridCol w:w="3127"/>
    </w:tblGrid>
    <w:tr w:rsidR="00DE14BE" w:rsidTr="00DE14BE">
      <w:trPr>
        <w:trHeight w:val="259"/>
      </w:trPr>
      <w:tc>
        <w:tcPr>
          <w:tcW w:w="1667" w:type="pct"/>
        </w:tcPr>
        <w:p w:rsidR="00DE14BE" w:rsidRDefault="00DE14BE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DE14BE" w:rsidRDefault="00DE14BE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DE14BE" w:rsidRDefault="00DE14BE">
          <w:pPr>
            <w:pStyle w:val="a5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  <w:sz w:val="24"/>
              <w:szCs w:val="24"/>
            </w:rPr>
            <w:fldChar w:fldCharType="begin"/>
          </w:r>
          <w:r>
            <w:rPr>
              <w:color w:val="5B9BD5" w:themeColor="accent1"/>
              <w:sz w:val="24"/>
              <w:szCs w:val="24"/>
            </w:rPr>
            <w:instrText>PAGE   \* MERGEFORMAT</w:instrText>
          </w:r>
          <w:r>
            <w:rPr>
              <w:color w:val="5B9BD5" w:themeColor="accent1"/>
              <w:sz w:val="24"/>
              <w:szCs w:val="24"/>
            </w:rPr>
            <w:fldChar w:fldCharType="separate"/>
          </w:r>
          <w:r w:rsidR="00FE318D">
            <w:rPr>
              <w:noProof/>
              <w:color w:val="5B9BD5" w:themeColor="accent1"/>
              <w:sz w:val="24"/>
              <w:szCs w:val="24"/>
            </w:rPr>
            <w:t>2</w:t>
          </w:r>
          <w:r>
            <w:rPr>
              <w:color w:val="5B9BD5" w:themeColor="accent1"/>
              <w:sz w:val="24"/>
              <w:szCs w:val="24"/>
            </w:rPr>
            <w:fldChar w:fldCharType="end"/>
          </w:r>
        </w:p>
      </w:tc>
    </w:tr>
  </w:tbl>
  <w:p w:rsidR="00DE14BE" w:rsidRDefault="00DE14B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9"/>
      <w:gridCol w:w="3119"/>
      <w:gridCol w:w="3117"/>
    </w:tblGrid>
    <w:tr w:rsidR="00DE14BE">
      <w:trPr>
        <w:trHeight w:val="720"/>
      </w:trPr>
      <w:tc>
        <w:tcPr>
          <w:tcW w:w="1667" w:type="pct"/>
        </w:tcPr>
        <w:p w:rsidR="00DE14BE" w:rsidRDefault="00DE14BE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DE14BE" w:rsidRDefault="00DE14BE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DE14BE" w:rsidRDefault="00DE14BE">
          <w:pPr>
            <w:pStyle w:val="a5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  <w:sz w:val="24"/>
              <w:szCs w:val="24"/>
            </w:rPr>
            <w:fldChar w:fldCharType="begin"/>
          </w:r>
          <w:r>
            <w:rPr>
              <w:color w:val="5B9BD5" w:themeColor="accent1"/>
              <w:sz w:val="24"/>
              <w:szCs w:val="24"/>
            </w:rPr>
            <w:instrText>PAGE   \* MERGEFORMAT</w:instrText>
          </w:r>
          <w:r>
            <w:rPr>
              <w:color w:val="5B9BD5" w:themeColor="accent1"/>
              <w:sz w:val="24"/>
              <w:szCs w:val="24"/>
            </w:rPr>
            <w:fldChar w:fldCharType="separate"/>
          </w:r>
          <w:r w:rsidR="00FE318D">
            <w:rPr>
              <w:noProof/>
              <w:color w:val="5B9BD5" w:themeColor="accent1"/>
              <w:sz w:val="24"/>
              <w:szCs w:val="24"/>
            </w:rPr>
            <w:t>1</w:t>
          </w:r>
          <w:r>
            <w:rPr>
              <w:color w:val="5B9BD5" w:themeColor="accent1"/>
              <w:sz w:val="24"/>
              <w:szCs w:val="24"/>
            </w:rPr>
            <w:fldChar w:fldCharType="end"/>
          </w:r>
        </w:p>
      </w:tc>
    </w:tr>
  </w:tbl>
  <w:p w:rsidR="00DE14BE" w:rsidRDefault="00DE14B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7743"/>
    <w:multiLevelType w:val="hybridMultilevel"/>
    <w:tmpl w:val="0F22DB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4C710FB"/>
    <w:multiLevelType w:val="hybridMultilevel"/>
    <w:tmpl w:val="31D2C4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D893389"/>
    <w:multiLevelType w:val="hybridMultilevel"/>
    <w:tmpl w:val="B900CF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5335D8B"/>
    <w:multiLevelType w:val="hybridMultilevel"/>
    <w:tmpl w:val="D1FC5F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D9E3807"/>
    <w:multiLevelType w:val="hybridMultilevel"/>
    <w:tmpl w:val="4D089F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EBC49DB"/>
    <w:multiLevelType w:val="hybridMultilevel"/>
    <w:tmpl w:val="5B7AC6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C9B"/>
    <w:rsid w:val="00193F39"/>
    <w:rsid w:val="001A6169"/>
    <w:rsid w:val="00347D2F"/>
    <w:rsid w:val="006C7975"/>
    <w:rsid w:val="007F5932"/>
    <w:rsid w:val="00980C9B"/>
    <w:rsid w:val="00DE14BE"/>
    <w:rsid w:val="00FE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312C2EF-A9DC-4F0A-83F5-D914F6AD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section">
    <w:name w:val="psection"/>
    <w:basedOn w:val="a"/>
    <w:rsid w:val="00DE1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14BE"/>
  </w:style>
  <w:style w:type="paragraph" w:styleId="a3">
    <w:name w:val="Normal (Web)"/>
    <w:basedOn w:val="a"/>
    <w:uiPriority w:val="99"/>
    <w:semiHidden/>
    <w:unhideWhenUsed/>
    <w:rsid w:val="00DE1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E14B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DE1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14BE"/>
  </w:style>
  <w:style w:type="paragraph" w:styleId="a7">
    <w:name w:val="footer"/>
    <w:basedOn w:val="a"/>
    <w:link w:val="a8"/>
    <w:uiPriority w:val="99"/>
    <w:unhideWhenUsed/>
    <w:rsid w:val="00DE1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1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studoped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3375</Words>
  <Characters>19244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Яночка</dc:creator>
  <cp:keywords/>
  <dc:description/>
  <cp:lastModifiedBy>Яночка</cp:lastModifiedBy>
  <cp:revision>4</cp:revision>
  <dcterms:created xsi:type="dcterms:W3CDTF">2016-04-16T18:53:00Z</dcterms:created>
  <dcterms:modified xsi:type="dcterms:W3CDTF">2016-05-18T13:46:00Z</dcterms:modified>
</cp:coreProperties>
</file>