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cs="Times New Roman"/>
          <w:color w:val="auto"/>
          <w:sz w:val="28"/>
          <w:szCs w:val="28"/>
        </w:rPr>
      </w:pPr>
      <w:bookmarkStart w:id="0" w:name="_GoBack"/>
      <w:bookmarkEnd w:id="0"/>
      <w:r>
        <w:rPr>
          <w:rFonts w:ascii="Times New Roman" w:cs="Times New Roman"/>
          <w:color w:val="auto"/>
          <w:sz w:val="28"/>
          <w:szCs w:val="28"/>
        </w:rPr>
        <w:t xml:space="preserve">                                                </w:t>
      </w:r>
    </w:p>
    <w:sdt>
      <w:sdtPr>
        <w:rPr>
          <w:rFonts w:ascii="Arial Unicode MS" w:eastAsia="Arial Unicode MS" w:hAnsi="Times New Roman" w:cs="Arial Unicode MS"/>
          <w:b w:val="0"/>
          <w:bCs w:val="0"/>
          <w:color w:val="000000"/>
          <w:sz w:val="24"/>
          <w:szCs w:val="24"/>
        </w:rPr>
        <w:id w:val="58404617"/>
        <w:docPartObj>
          <w:docPartGallery w:val="Table of Contents"/>
          <w:docPartUnique/>
        </w:docPartObj>
      </w:sdtPr>
      <w:sdtContent>
        <w:p>
          <w:pPr>
            <w:pStyle w:val="ac"/>
            <w:spacing w:before="0" w:after="240" w:line="360" w:lineRule="auto"/>
            <w:jc w:val="both"/>
            <w:rPr>
              <w:rFonts w:ascii="Times New Roman" w:hAnsi="Times New Roman" w:cs="Times New Roman"/>
            </w:rPr>
          </w:pPr>
          <w:r>
            <w:t xml:space="preserve">                                                            </w:t>
          </w:r>
          <w:r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>
          <w:pPr>
            <w:pStyle w:val="11"/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Введение </w:t>
          </w:r>
          <w:r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>
          <w:pPr>
            <w:pStyle w:val="2"/>
            <w:spacing w:after="0" w:line="360" w:lineRule="auto"/>
            <w:ind w:left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1 Постановка задачи </w:t>
          </w:r>
          <w:r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>
          <w:pPr>
            <w:pStyle w:val="3"/>
            <w:spacing w:after="0" w:line="360" w:lineRule="auto"/>
            <w:ind w:left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2. Принципы проектирования ТСИ для фирмы </w:t>
          </w:r>
          <w:r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7</w:t>
          </w:r>
        </w:p>
        <w:p>
          <w:pPr>
            <w:pStyle w:val="11"/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3. Проектирование компьютерной сети центрального офиса </w:t>
          </w:r>
          <w:r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12</w:t>
          </w:r>
        </w:p>
        <w:p>
          <w:pPr>
            <w:pStyle w:val="2"/>
            <w:spacing w:after="0" w:line="360" w:lineRule="auto"/>
            <w:ind w:left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4. Проектирование филиала в г. Новгород </w:t>
          </w:r>
          <w:r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16</w:t>
          </w:r>
        </w:p>
        <w:p>
          <w:pPr>
            <w:pStyle w:val="3"/>
            <w:spacing w:after="0" w:line="360" w:lineRule="auto"/>
            <w:ind w:left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5. Проектирование филиала в сейсмоопасной зоне </w:t>
          </w:r>
          <w:r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18</w:t>
          </w:r>
        </w:p>
        <w:p>
          <w:pPr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ar w:val="none" w:sz="0" w:color="auto"/>
            </w:pBdr>
            <w:spacing w:line="360" w:lineRule="auto"/>
            <w:jc w:val="both"/>
            <w:rPr>
              <w:rFonts w:ascii="Times New Roman" w:cs="Times New Roman"/>
              <w:color w:val="auto"/>
              <w:sz w:val="28"/>
              <w:szCs w:val="28"/>
            </w:rPr>
          </w:pPr>
          <w:r>
            <w:rPr>
              <w:rFonts w:ascii="Times New Roman" w:cs="Times New Roman"/>
              <w:color w:val="auto"/>
              <w:sz w:val="28"/>
              <w:szCs w:val="28"/>
            </w:rPr>
            <w:t>6. Организация связи между филиалами</w:t>
          </w:r>
          <w:r>
            <w:rPr>
              <w:rFonts w:ascii="Times New Roman" w:cs="Times New Roman"/>
              <w:color w:val="auto"/>
              <w:sz w:val="28"/>
              <w:szCs w:val="28"/>
            </w:rPr>
            <w:fldChar w:fldCharType="begin"/>
          </w:r>
          <w:r>
            <w:rPr>
              <w:rFonts w:ascii="Times New Roman" w:cs="Times New Roman"/>
              <w:color w:val="auto"/>
              <w:sz w:val="28"/>
              <w:szCs w:val="28"/>
            </w:rPr>
            <w:instrText xml:space="preserve"> PAGEREF _Toc6 \h </w:instrText>
          </w:r>
          <w:r>
            <w:rPr>
              <w:rFonts w:ascii="Times New Roman" w:cs="Times New Roman"/>
              <w:color w:val="auto"/>
              <w:sz w:val="28"/>
              <w:szCs w:val="28"/>
            </w:rPr>
          </w:r>
          <w:r>
            <w:rPr>
              <w:rFonts w:ascii="Times New Roman" w:cs="Times New Roman"/>
              <w:color w:val="auto"/>
              <w:sz w:val="28"/>
              <w:szCs w:val="28"/>
            </w:rPr>
            <w:fldChar w:fldCharType="end"/>
          </w:r>
          <w:r>
            <w:rPr>
              <w:rFonts w:asci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cs="Times New Roman"/>
              <w:sz w:val="28"/>
              <w:szCs w:val="28"/>
            </w:rPr>
            <w:t>20</w:t>
          </w:r>
        </w:p>
        <w:p>
          <w:pPr>
            <w:pStyle w:val="2"/>
            <w:spacing w:after="0" w:line="360" w:lineRule="auto"/>
            <w:ind w:left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Заключение </w:t>
          </w:r>
          <w:r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22</w:t>
          </w:r>
        </w:p>
        <w:p>
          <w:pPr>
            <w:pStyle w:val="3"/>
            <w:spacing w:after="0" w:line="360" w:lineRule="auto"/>
            <w:ind w:left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Список литературы</w:t>
          </w:r>
          <w:r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>
            <w:rPr>
              <w:rFonts w:ascii="Times New Roman" w:hAnsi="Times New Roman" w:cs="Times New Roman"/>
              <w:sz w:val="28"/>
              <w:szCs w:val="28"/>
            </w:rPr>
            <w:t>23</w:t>
          </w:r>
        </w:p>
        <w:p/>
        <w:p>
          <w:pPr>
            <w:spacing w:line="360" w:lineRule="auto"/>
            <w:jc w:val="both"/>
          </w:pPr>
        </w:p>
      </w:sdtContent>
    </w:sdt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09"/>
        <w:jc w:val="both"/>
        <w:rPr>
          <w:rFonts w:ascii="Times New Roman" w:cs="Times New Roman"/>
          <w:color w:val="auto"/>
          <w:sz w:val="28"/>
          <w:szCs w:val="28"/>
        </w:rPr>
        <w:sectPr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301" w:right="850" w:bottom="1134" w:left="1701" w:header="454" w:footer="0" w:gutter="0"/>
          <w:cols w:space="708"/>
          <w:docGrid w:linePitch="360"/>
        </w:sect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lastRenderedPageBreak/>
        <w:t xml:space="preserve">                                               Введение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Инфокоммуникации являются новой отраслью экономики, развивающейся как единое целое информационных и телекоммуникационных технологий. В инфокоммуникациях технологии связи используются в качестве средства передачи различной информации на произвольные расстояния.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Еще недавно, развитие телекоммуникационных и информационных технологий шло отдельно и, по сути, независимо друг от друга. Предоставление телекоммуникационных услуг было неразрывно связано с операторами связи, которые являлись организациями, выстраивавшими свой бизнес на продаже голосового трафика. В свою очередь, развитие  информационных технологий происходило самостоятельно, и было связанно с разработкой программного обеспечения.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Однако, постепенное развитие цифровых технологий способствовало тому, что компьютеры стали объединяться в небольшие локальные сети с целью более оперативного обмена информацией. В них стали возникать компьютеры-серверы, являющиеся специализированными мощными вычислительными машинами, ресурсы которых были доступны всем пользователям сети. Таким образом, стало происходить сегментирование компьютеров сети, расширялся круг решаемых задач, что, в свою очередь, подтолкнуло развитие сетевых технологий, поскольку увеличилась потребность в надежных высокоскоростных системах передачи.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Целью данного  курсового проекта является реализация транспортной сети инфокоммуникаций между тремя офисами одной компании с использованием современных информационных технологий, с целью </w:t>
      </w:r>
      <w:r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построения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транспортной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сети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инфокоммуникации</w:t>
      </w:r>
      <w:r>
        <w:rPr>
          <w:rFonts w:ascii="Times New Roman" w:cs="Times New Roman"/>
          <w:color w:val="auto"/>
          <w:sz w:val="28"/>
          <w:szCs w:val="28"/>
        </w:rPr>
        <w:t>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Задачами данного проекта является: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Анализ принципов проектирования  транспортных сетей инфокоммуникаций предприятий.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lastRenderedPageBreak/>
        <w:t>Проектирование компьютерной сети центрального офиса.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Проектирование филиала в г. Новгород.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Проектирование филиала, расположенного в сейсмоопасной зоне.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Объединение филиалов компании в единую сеть.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Курсовая работа состоит из постановки задачи, введения, шести глав, заключения и списка литературы, общий объем работы составляет 23 страницы.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br w:type="page"/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bookmarkStart w:id="1" w:name="_Toc1"/>
      <w:r>
        <w:rPr>
          <w:rFonts w:ascii="Times New Roman" w:cs="Times New Roman"/>
          <w:color w:val="auto"/>
          <w:sz w:val="28"/>
          <w:szCs w:val="28"/>
        </w:rPr>
        <w:lastRenderedPageBreak/>
        <w:t>1. Постановка задачи</w:t>
      </w:r>
      <w:bookmarkEnd w:id="1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Компания насчитывает три офиса: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Центральный офис, находящийся в Санкт-Петербурге состоит из 5 сотрудников, работающих с компьютерами, включая генерального директора и двух бухгалтеров, занимающихся всеми финансами. Основной задачей офиса является координирование деятельности, а также хранение и обработка данных поступающих с 2-ух удаленных офисов.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Первый удаленный офис располагается в Новгороде. Насчитывает 23 сотрудника, среди которых один руководитель филиала,  2 бухгалтера, и 20 сотрудников разной степени занятости.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Второй удаленный офис аналогичен первому, но офис находится в сейсмоопасной зоне.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Общие положения о ТСИ для компании: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Сеть должна учитывать уровни доступа к сетевым ресурсам компании.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ТСИ должно обеспечивать телефонную, интернет, факсимильную и конференц-связь между офисами. А так же локальную сеть обмена данными и локальную телефонную связь «внутри» офисов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Удаленные офисы должны иметь доступ к базе данных, расположенной на серверах центрального офиса. Доступ должен предоставляться с учетом уровней приоритетности;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При проектировании, ТСИ необходимо учитываться территориальные особенности, а также то, что второй удаленный офис находится в сейсмоопасной зоне.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На территории компании необходимо предусмотреть пять уровней доступа: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Уровень 1- предоставляется директору, директору по развитию, глав. бухгалтеру и главному инженеру. Позволяет получать данные из базы данных, информацию по бухгалтерии, FTP, файлового и почтового сервера каждого офиса компании, доступ в интернет.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lastRenderedPageBreak/>
        <w:t>Уровень 2 - предоставляется руководителям офисов инженеру проектировщику, инженерам офисов. Позволяет получать данные из БД , FTP, файлового и почтового сервера, доступ в интернет.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Уровень 3 - предоставляется бухгалтерам всех офисов. Каждый бухгалтер может получить доступ к бухгалтерии, базе данных, FTP, файловому серверу только своего офиса;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Уровень 4 - предоставляется только к сотрудникам компании. Данный уровень открывает доступ к базе данных, почтовому серверу, FTP и файловому-серверу только в пределах одного офиса.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Уровень 5 – предоставляется, начальнику отдела автоматизации, сотрудникам отдела автоматизации. Этот уровень позволяет получать доступ ко всем ресурсам сети для, отладки и оптимизации работы.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bookmarkStart w:id="2" w:name="_Toc2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lastRenderedPageBreak/>
        <w:t>2. Принципы проектирования ТСИ для фирмы</w:t>
      </w:r>
      <w:bookmarkEnd w:id="2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С целью эффективного регулирования и управления хозяйственной и экономической политикой компании, получения исчерпывающей информации для принятия своевременных решений, контроля над производственными процессами и ходом выполнения работ, оперативным обменом документацией и сообщениями, компании необходимо иметь развитую инфокоммуникационную сеть.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На текущее время, компьютерная сеть является важнейшей составляющей, которая необходима для эффективного управления предприятием с целью повышения прибыли. Поэтому отсутствие связи даже в течение часа может способствовать появлению больших финансовых потерь.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В самом общем смысле, корпоративная сеть является сложным аппаратно - программным  комплексом  взаимосвязанных и согласованно функционирующих компонентов, обеспечивающих информационный обмен между различными удаленными приложениями и системами, используемыми на предприятии.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Наличие нескольких центров обработки данных, позволяет отнести корпоративные сети к распределенным (или децентрализованным) вычислительным системам, которые необходимо рассматривать в различных аспектах, а именно: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-структурном;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-системнотехническом;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-функциональном.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В структурном аспекте, корпоративная сеть является сетью смешанной топологии, объединяющей несколько локальных вычислительных сетей. Корпоративная сеть связывает филиалы предприятия, создавая тем самым, единое информационное корпоративное пространство. Корпоративная сеть </w:t>
      </w:r>
      <w:r>
        <w:rPr>
          <w:rFonts w:ascii="Times New Roman" w:cs="Times New Roman"/>
          <w:color w:val="auto"/>
          <w:sz w:val="28"/>
          <w:szCs w:val="28"/>
        </w:rPr>
        <w:lastRenderedPageBreak/>
        <w:t>является собственностью предприятия и отражает его структуру. В зависимости от масштабов предприятия различают [11]: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-сети отделов;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-сети зданий и кампусов;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-сети масштаба предприятий.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В  функциональном аспекте, корпоративная сеть является эффективной средой передачи данных, необходимых для организации производственного процесса и решения задач предприятия.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С системнотехнической точки зрения корпоративная сеть рассматривается как целостная структура, которая состоит из нескольких уровней, взаимосвязанных и взаимодействующих между собой. 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Таким образом, в системнотехническом аспекте, корпоративная сеть является системой, обеспечивающей доступ пользователям и программам к набору полезных услуг (сервисов), общесистемных и специализированных приложений. Такая система  содержит в себе службы, гарантирующие нормальное функционирование корпоративной сети [11].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Для обеспечения всех потребностей предприятия, в офисах целесообразно развернуть локальные сети, и  связать их между собой с помощью региональной сети.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Локальная сеть (ЛВС, локальная сеть; англ. Local Area Network, LAN) — это компьютерная сеть, развернутая обычно на относительно небольшой территории и объединяющая, как правило, несколько зданий.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Офисы, особенно центральные, являются центрами обработки и хранения информации. В них стекает вся информация из других филиалов. Это накладывает на ТСИ для данной структуры определенные требования по отказоустойчивости, ТСИ должна гарантировать работу в 99,98% случаев. Также сеть должна быть масштабируемой, что  предусматривается на случай расширения предприятия.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Для обеспечения стабильной работы локальной сети, следует первоначально спроектировать сети, приобрести необходимое оборудование </w:t>
      </w:r>
      <w:r>
        <w:rPr>
          <w:rFonts w:ascii="Times New Roman" w:cs="Times New Roman"/>
          <w:color w:val="auto"/>
          <w:sz w:val="28"/>
          <w:szCs w:val="28"/>
        </w:rPr>
        <w:lastRenderedPageBreak/>
        <w:t>и произвести высококвалифицированный монтаж коммуникаций локальной сети в офисе. Как правило, проектирование и монтажные работы осуществляется компанией подрядчиком.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Для обеспечения бесперебойной работы сети и сетевых терминалов, необходимо исключить риски при таких непредвиденных обстоятельствах как отключение электропитания. Это влечет за собой необходимость приобретения источников бесперебойного питания (ИБП). Эта мера, так же положительно влияет и на срок службы электроприборов, так как ИБП исключает возможность выхода SIN за допустимые отклонения (220В ±10%) и выравнивает напряжение, что способствует увеличению срок службы приборов на 20-30%, а также экономии на предприятии.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Как правило, архитектура офисных локальных сетей имеет иерархическое построение. В таких сетях выделяется один или несколько специальных компьютеров – серверов. Серверами обычно являются высокопроизводительные ПК, на которых установлена серверная операционная система. Серверы оснащаются отказоустойчивыми дисковыми массивами и системой защиты от сбоев. Обычно, на компьютерах - серверах локальные пользователи не работают, поэтому принято говорить о выделенном сервере. Серверы осуществляют управление сетью и хранение информации, которую совместно используют остальные компьютеры сети.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С точки зрения системного администрирования, сеть с выделенным сервером наиболее управляемая и контролируемая, хотя и более сложная в создании и обслуживании.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Преимущества иерархической архитектуры: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-выход из строя рабочих станций,  не отражается на работоспособности сети в целом;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-простота организации локальных сетей с большим количеством рабочих станций;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-администрирование сети осуществляется централизованно — с сервера;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lastRenderedPageBreak/>
        <w:t>-обеспечивается высокий уровень безопасности данных.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К недостаткам данной архитектуры можно отнести: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 выход из строя или сбой единственного сервера может парализовать всю сеть. Поэтому необходимо всегда предусмотреть резервные каналы;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-наличие выделенных серверов повышает общую стоимость сети;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</w:t>
      </w:r>
      <w:r>
        <w:rPr>
          <w:rFonts w:ascii="Times New Roman" w:cs="Times New Roman"/>
          <w:color w:val="auto"/>
          <w:sz w:val="28"/>
          <w:szCs w:val="28"/>
          <w:lang w:val="en-US"/>
        </w:rPr>
        <w:t>IT</w:t>
      </w:r>
      <w:r>
        <w:rPr>
          <w:rFonts w:ascii="Times New Roman" w:cs="Times New Roman"/>
          <w:color w:val="auto"/>
          <w:sz w:val="28"/>
          <w:szCs w:val="28"/>
        </w:rPr>
        <w:t>-персонал должен иметь необходимые знания и навыки администрирования домена.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 Для организации связи между удаленными локальными сетями целесообразно использовать выделенные гарантированные VPN каналы, пропускная способность которых гарантирована и  не зависит от дня недели или времени суток. Также постоянным гарантированным и высоким будет качество IP-телефонии, предоставляемой по корпоративным каналам связи.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VPN соединение представляет собой подключения типа «точка-точка» в частной или публичной сети, например в Интернете. Для виртуального обращения на виртуальный порт VPN-сервера используются специальные туннельные протоколы, на основе TCP/IP. При обычной реализации VPN клиент инициирует по Интернету виртуальное подключение типа «точка-точка» к серверу удаленного доступа. Сервер удаленного доступа принимает вызов, выполняет проверку подлинности вызывающей стороны и формирует ответ в виде данных, которые затем передаются между VPN-клиентом и частной сетью организации.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При организации канала типа «точка-точка» к данным добавляется заголовок, содержащий сведения маршрутизации, обеспечивающие прохождение данных по общей или публичной сети до конечного пункта. Добавление  заголовка у данным называется  инкапсуляцией.  При организации частного канала, в целях обеспечения конфиденциальности, данные шифруются перед процессом передачи. В случае перехвата пакетов в общей или публичной сети, их невозможно расшифровать без ключей шифрования. Такой канал, по которому частные данные передаются в </w:t>
      </w:r>
      <w:r>
        <w:rPr>
          <w:rFonts w:ascii="Times New Roman" w:cs="Times New Roman"/>
          <w:color w:val="auto"/>
          <w:sz w:val="28"/>
          <w:szCs w:val="28"/>
        </w:rPr>
        <w:lastRenderedPageBreak/>
        <w:t xml:space="preserve">инкапсулированном и зашифрованном виде, и называется VPN-подключением.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bookmarkStart w:id="3" w:name="_Toc3"/>
      <w:r>
        <w:rPr>
          <w:rFonts w:ascii="Times New Roman" w:cs="Times New Roman"/>
          <w:color w:val="auto"/>
          <w:sz w:val="28"/>
          <w:szCs w:val="28"/>
        </w:rPr>
        <w:lastRenderedPageBreak/>
        <w:t>3. Проектирование компьютерной сети центрального офиса</w:t>
      </w:r>
      <w:bookmarkEnd w:id="3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Центральный офис компании является самым главным центром приема, передачи и обработки данных со всех офисов. Схема физической топологии центрального офиса показана на рисунке 1.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hanging="284"/>
        <w:jc w:val="both"/>
        <w:rPr>
          <w:rFonts w:ascii="Times New Roman" w:cs="Times New Roman"/>
          <w:color w:val="auto"/>
          <w:sz w:val="28"/>
          <w:szCs w:val="28"/>
        </w:rPr>
      </w:pPr>
      <w:r>
        <w:object w:dxaOrig="15522" w:dyaOrig="10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315pt" o:ole="">
            <v:imagedata r:id="rId15" o:title=""/>
          </v:shape>
          <o:OLEObject Type="Embed" ProgID="Visio.Drawing.11" ShapeID="_x0000_i1025" DrawAspect="Content" ObjectID="_1520404256" r:id="rId16"/>
        </w:objec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   Рисунок 1 - Схема физической топологии центрального офиса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В центральном офисе развернута локальная сеть, типичная для небольшого офиса. На всей территории офиса располагается 10 розеток локальной сети (ЛВС): 5 используются для постоянного подключения компьютеров сотрудников, остальные 5 розеток, смонтированы на случай  появления новых сотрудников или могут использоваться в качестве резервных при непредвиденных обстоятельствах. На  каждом рабочем столе сотрудника устанавливается IP-телефон. Каждый из компьютеров и </w:t>
      </w:r>
      <w:r>
        <w:rPr>
          <w:rFonts w:ascii="Times New Roman" w:cs="Times New Roman"/>
          <w:color w:val="auto"/>
          <w:sz w:val="28"/>
          <w:szCs w:val="28"/>
        </w:rPr>
        <w:lastRenderedPageBreak/>
        <w:t>телефонов в офисе подключен к одному из портов коммутатора ЛВС, расположенного в специально выделенном помещении. Данное помещение, является коммутационным узлом и серверной, где располагаются также 5 серверов (сервер электронной почты, сервер учета трафика, веб сервер, сервер IP АТС, вычислительный сервер и файловый сервер, 1С:Бухгалтерия), обслуживающих офис. Сюда же заведены оптоволоконные линии связи оператора.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В северном помещении имеется также селектор видео-совещаний. Такой тип групповой видео конференции позволяется принимать участие в совещании до 80 пользователям, при одновременном показе не более трёх участников (ведущий, докладчик и выступающий). Пользователи подключаются к совещанию посредством ввода логина и пароля, либо по приглашению ведущего.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Всех участников совещания можно разделить на две группы: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 вещающие. от них доступен для  всех остальных участников. Обычно это докладчик, ведущий и выступающий;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 зрители, которыми выступают все остальные. Видео от зрителей не показывается никому, однако, в ходе совещания они имеют возможность посылать аудио сообщения всем участникам, используя специальные функции клиентского приложения;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 Администратор назначает ведущего, который определяет роли тем или иным участникам совещания. Эти роли не постоянны, а могут переназначаться в процессе общения. Единственное исключение – функции ведущего не могут быть переданы никому другому.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У ведущего есть следующие возможности: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 приглашение участников совещания;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 передача роли докладчика другому участнику совещания;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 передача роли выступающего другому участнику совещания, как правило, по запросу последнего.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lastRenderedPageBreak/>
        <w:t>Для обеспечения стабильной работы селекторного совещания необходимо иметь интернет соединение с минимальными скоростями: исходящая - 128 кбит/с, входящая - 384 кбит/с.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Топология сети центрального офиса обладает большой избыточность, так как она должна функционировать  постоянно и выдерживать больше нагрузки.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Для обеспечения работы сети центрального офиса используются такие компоненты как маршрутизатор и коммутатор.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Маршрутизатор представляет собой специализированный </w:t>
      </w:r>
      <w:hyperlink r:id="rId17" w:history="1">
        <w:r>
          <w:rPr>
            <w:rStyle w:val="a3"/>
            <w:rFonts w:ascii="Times New Roman" w:cs="Times New Roman"/>
            <w:color w:val="auto"/>
            <w:sz w:val="28"/>
            <w:szCs w:val="28"/>
            <w:u w:val="none"/>
          </w:rPr>
          <w:t>сетевой</w:t>
        </w:r>
      </w:hyperlink>
      <w:r>
        <w:rPr>
          <w:rFonts w:ascii="Times New Roman" w:cs="Times New Roman"/>
          <w:color w:val="auto"/>
          <w:sz w:val="28"/>
          <w:szCs w:val="28"/>
        </w:rPr>
        <w:t xml:space="preserve"> </w:t>
      </w:r>
      <w:hyperlink r:id="rId18" w:history="1">
        <w:r>
          <w:rPr>
            <w:rStyle w:val="a3"/>
            <w:rFonts w:ascii="Times New Roman" w:cs="Times New Roman"/>
            <w:color w:val="auto"/>
            <w:sz w:val="28"/>
            <w:szCs w:val="28"/>
            <w:u w:val="none"/>
          </w:rPr>
          <w:t>компьютер</w:t>
        </w:r>
      </w:hyperlink>
      <w:r>
        <w:rPr>
          <w:rFonts w:ascii="Times New Roman" w:cs="Times New Roman"/>
          <w:color w:val="auto"/>
          <w:sz w:val="28"/>
          <w:szCs w:val="28"/>
        </w:rPr>
        <w:t xml:space="preserve">, имеющий как минимум один </w:t>
      </w:r>
      <w:hyperlink r:id="rId19" w:history="1">
        <w:r>
          <w:rPr>
            <w:rStyle w:val="a3"/>
            <w:rFonts w:ascii="Times New Roman" w:cs="Times New Roman"/>
            <w:color w:val="auto"/>
            <w:sz w:val="28"/>
            <w:szCs w:val="28"/>
            <w:u w:val="none"/>
          </w:rPr>
          <w:t>сетевой интерфейс</w:t>
        </w:r>
      </w:hyperlink>
      <w:r>
        <w:rPr>
          <w:rFonts w:ascii="Times New Roman" w:cs="Times New Roman"/>
          <w:color w:val="auto"/>
          <w:sz w:val="28"/>
          <w:szCs w:val="28"/>
        </w:rPr>
        <w:t xml:space="preserve"> и обеспечивающий пересылку пакетов данных между различными </w:t>
      </w:r>
      <w:hyperlink r:id="rId20" w:history="1">
        <w:r>
          <w:rPr>
            <w:rStyle w:val="a3"/>
            <w:rFonts w:ascii="Times New Roman" w:cs="Times New Roman"/>
            <w:color w:val="auto"/>
            <w:sz w:val="28"/>
            <w:szCs w:val="28"/>
            <w:u w:val="none"/>
          </w:rPr>
          <w:t>сегментами сети</w:t>
        </w:r>
      </w:hyperlink>
      <w:r>
        <w:rPr>
          <w:rFonts w:ascii="Times New Roman" w:cs="Times New Roman"/>
          <w:color w:val="auto"/>
          <w:sz w:val="28"/>
          <w:szCs w:val="28"/>
        </w:rPr>
        <w:t xml:space="preserve">. Посредством маршрутизатора связываются разнородные сети различных архитектур, он также принимает решения о пересылке на основании информации о сетевой </w:t>
      </w:r>
      <w:hyperlink r:id="rId21" w:history="1">
        <w:r>
          <w:rPr>
            <w:rStyle w:val="a3"/>
            <w:rFonts w:ascii="Times New Roman" w:cs="Times New Roman"/>
            <w:color w:val="auto"/>
            <w:sz w:val="28"/>
            <w:szCs w:val="28"/>
            <w:u w:val="none"/>
          </w:rPr>
          <w:t>топологии</w:t>
        </w:r>
      </w:hyperlink>
      <w:r>
        <w:rPr>
          <w:rFonts w:ascii="Times New Roman" w:cs="Times New Roman"/>
          <w:color w:val="auto"/>
          <w:sz w:val="28"/>
          <w:szCs w:val="28"/>
        </w:rPr>
        <w:t xml:space="preserve"> и определенных правил, заданных </w:t>
      </w:r>
      <w:hyperlink r:id="rId22" w:history="1">
        <w:r>
          <w:rPr>
            <w:rStyle w:val="a3"/>
            <w:rFonts w:ascii="Times New Roman" w:cs="Times New Roman"/>
            <w:color w:val="auto"/>
            <w:sz w:val="28"/>
            <w:szCs w:val="28"/>
            <w:u w:val="none"/>
          </w:rPr>
          <w:t>администратором</w:t>
        </w:r>
      </w:hyperlink>
      <w:r>
        <w:rPr>
          <w:rFonts w:ascii="Times New Roman" w:cs="Times New Roman"/>
          <w:color w:val="auto"/>
          <w:sz w:val="28"/>
          <w:szCs w:val="28"/>
        </w:rPr>
        <w:t>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Сетевой коммутатор представляет собой устройство, обеспечивающее соединение нескольких </w:t>
      </w:r>
      <w:hyperlink r:id="rId23" w:history="1">
        <w:r>
          <w:rPr>
            <w:rStyle w:val="a3"/>
            <w:rFonts w:ascii="Times New Roman" w:cs="Times New Roman"/>
            <w:color w:val="auto"/>
            <w:sz w:val="28"/>
            <w:szCs w:val="28"/>
            <w:u w:val="none"/>
          </w:rPr>
          <w:t>узлов</w:t>
        </w:r>
      </w:hyperlink>
      <w:r>
        <w:rPr>
          <w:rFonts w:ascii="Times New Roman" w:cs="Times New Roman"/>
          <w:color w:val="auto"/>
          <w:sz w:val="28"/>
          <w:szCs w:val="28"/>
        </w:rPr>
        <w:t xml:space="preserve"> </w:t>
      </w:r>
      <w:hyperlink r:id="rId24" w:history="1">
        <w:r>
          <w:rPr>
            <w:rStyle w:val="a3"/>
            <w:rFonts w:ascii="Times New Roman" w:cs="Times New Roman"/>
            <w:color w:val="auto"/>
            <w:sz w:val="28"/>
            <w:szCs w:val="28"/>
            <w:u w:val="none"/>
          </w:rPr>
          <w:t>компьютерной сети</w:t>
        </w:r>
      </w:hyperlink>
      <w:r>
        <w:rPr>
          <w:rFonts w:ascii="Times New Roman" w:cs="Times New Roman"/>
          <w:color w:val="auto"/>
          <w:sz w:val="28"/>
          <w:szCs w:val="28"/>
        </w:rPr>
        <w:t xml:space="preserve"> в пределах одного или нескольких</w:t>
      </w:r>
      <w:r>
        <w:t xml:space="preserve"> </w:t>
      </w:r>
      <w:r>
        <w:rPr>
          <w:rFonts w:ascii="Times New Roman" w:cs="Times New Roman"/>
          <w:color w:val="auto"/>
          <w:sz w:val="28"/>
          <w:szCs w:val="28"/>
        </w:rPr>
        <w:t xml:space="preserve">сетевых </w:t>
      </w:r>
      <w:hyperlink r:id="rId25" w:history="1">
        <w:r>
          <w:rPr>
            <w:rStyle w:val="a3"/>
            <w:rFonts w:ascii="Times New Roman" w:cs="Times New Roman"/>
            <w:color w:val="auto"/>
            <w:sz w:val="28"/>
            <w:szCs w:val="28"/>
            <w:u w:val="none"/>
          </w:rPr>
          <w:t xml:space="preserve">сегментов. </w:t>
        </w:r>
      </w:hyperlink>
      <w:r>
        <w:rPr>
          <w:rFonts w:ascii="Times New Roman" w:cs="Times New Roman"/>
          <w:color w:val="auto"/>
          <w:sz w:val="28"/>
          <w:szCs w:val="28"/>
        </w:rPr>
        <w:t xml:space="preserve">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Так как центральный офис имеет не большое количество сотрудников, то достаточно будет установить 2 коммутатора с поддержкой VLAN на 24 порта - один основной, другой резервный.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VLAN (Virtual Local Area Network) — логическая локальная компьютерная сеть, представляет собой группу хостов с общим набором требований, которые взаимодействуют так, как если бы они были подключены к широковещательному домену, независимо от их физического местонахождения. Поддержка VLAN необходима для того, чтобы разделить сотрудников на группы.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Для реализации разных уровней доступа используются прокси-сервер, в некоторых случаях можно использоваться списки контроля доступа (ACL).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lastRenderedPageBreak/>
        <w:t>Прокси-сервер представляет собой службу (пакет программ) в компьютерных сетях,  которая дает возможность клиентам выполнять косвенные запросы к другим сетевым службам. Первоначально клиент подключается к прокси-серверу и посылает запрос на доступ к какому-либо ресурсу (например, e-mail), расположенному на другом сервере. Затем прокси-сервер либо подключается к указанному серверу и получает ресурс у него, либо возвращает ресурс из собственного кеша (в случаях, если прокси имеет свой кеш). В некоторых случаях запрос клиента или ответ сервера может быть изменён прокси-сервером в определённых целях. Прокси-сервер позволяет защищать компьютер клиента от некоторых сетевых атак и помогает сохранять анонимность клиента.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Прокси-сервер можно использовать для доступа из филиалов к базе данных или 1С:Бухгалтерии, т.е. для доступа из удаленных филиалов.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Для поддержки приоритетности внутри офиса используются ACL.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Все компьютеры в локальной сети имеют статический IP-адрес, что позволяет ограничить доступ пользователям разных групп по определенным критериям отбора.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Так информация о всей деятельности компании доступна будет только директору, главному бухгалтеру, и директорам филиалов.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Чем выше уровень, тем меньше привилегий у пользователя.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В качестве резервного канала связи используются USB-модемы Yota.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bookmarkStart w:id="4" w:name="_Toc4"/>
      <w:r>
        <w:rPr>
          <w:rFonts w:ascii="Times New Roman" w:cs="Times New Roman"/>
          <w:color w:val="auto"/>
          <w:sz w:val="28"/>
          <w:szCs w:val="28"/>
        </w:rPr>
        <w:lastRenderedPageBreak/>
        <w:t>4. Проектирование филиала в г. Новгород</w:t>
      </w:r>
      <w:bookmarkEnd w:id="4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Второй офис компании находится г. Новгород. Схема физической топологии второго офиса показана на рисунке 2.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hanging="142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6212654" cy="4133850"/>
            <wp:effectExtent l="19050" t="0" r="0" b="0"/>
            <wp:docPr id="19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fficeArt object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654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hanging="142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         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hanging="142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             Рисунок 2- Схема физической топологии офиса в г. Новгород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Офис в г. Новгород также имеет иерархическую структуру построения, и обеспечен практически аналогично центральному офису. Офис имеет такую же реализацию приоритетов, за тем исключением, что понадобится использование мощных коммутаторов, так как количество сотрудников превышает головной офис практически в 4,5 раза.</w:t>
      </w:r>
      <w:r>
        <w:t xml:space="preserve">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Проведение селекторных совещаний проходит по одинаковому принципу, что и в главном офисе - выбирается ведущий и ведет разговор с собеседником.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lastRenderedPageBreak/>
        <w:t>Так как офис в г. Новгород является филиалом, то нет необходимости использовать большие вычислительные серверы с базами данных, бухгалтерией. Нагрузка распределена между серверами, поэтому офис в г. Новгород  будет использовать только серверы для IP-телефонии, межсетевой экран и внешний и внутренний файловый сервер. Вся обработка информации осуществляется на серверах центрального офиса, будь то почта, расчеты, операции с базами данных. Описанный подход дает возможность сосредоточить всю документацию в одном месте, иметь постоянный доступ к информации.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Резервный канал связи также, как и в центральном офисе, является USB-модем от Beeline.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bookmarkStart w:id="5" w:name="_Toc5"/>
      <w:r>
        <w:rPr>
          <w:rFonts w:ascii="Times New Roman" w:cs="Times New Roman"/>
          <w:color w:val="auto"/>
          <w:sz w:val="28"/>
          <w:szCs w:val="28"/>
        </w:rPr>
        <w:lastRenderedPageBreak/>
        <w:t>5. Проектирование филиала в сейсмоопасной зоне</w:t>
      </w:r>
      <w:bookmarkEnd w:id="5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Третий филиал компании располагается в </w:t>
      </w:r>
      <w:r>
        <w:rPr>
          <w:sz w:val="28"/>
          <w:szCs w:val="28"/>
        </w:rPr>
        <w:t>сейсмоопасной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зоне</w:t>
      </w:r>
      <w:r>
        <w:rPr>
          <w:rFonts w:ascii="Times New Roman" w:cs="Times New Roman"/>
          <w:color w:val="auto"/>
          <w:sz w:val="28"/>
          <w:szCs w:val="28"/>
        </w:rPr>
        <w:t xml:space="preserve"> и имеет аналогичную структуру, что и офис в г. Новгород. Схема физической топологии офиса показана на рисунке 3.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hanging="142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noProof/>
          <w:color w:val="auto"/>
          <w:sz w:val="28"/>
          <w:szCs w:val="28"/>
          <w:lang w:eastAsia="ru-RU"/>
        </w:rPr>
        <w:drawing>
          <wp:inline distT="0" distB="0" distL="0" distR="0">
            <wp:extent cx="5980577" cy="3990975"/>
            <wp:effectExtent l="19050" t="0" r="1123" b="0"/>
            <wp:docPr id="3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fficeArt object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577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Рисунок 3 - Схема физической топологии офиса, расположенного в </w:t>
      </w:r>
      <w:r>
        <w:rPr>
          <w:sz w:val="28"/>
          <w:szCs w:val="28"/>
        </w:rPr>
        <w:t>сейсмоопасной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зоне</w:t>
      </w:r>
      <w:r>
        <w:rPr>
          <w:sz w:val="28"/>
          <w:szCs w:val="28"/>
        </w:rPr>
        <w:t>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Сетевая структура аналогична  офису в г. Новгород. Но учитывая то,   что данный филиал находится в </w:t>
      </w:r>
      <w:r>
        <w:rPr>
          <w:sz w:val="28"/>
          <w:szCs w:val="28"/>
        </w:rPr>
        <w:t>сейсмоопасной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зоне</w:t>
      </w:r>
      <w:r>
        <w:rPr>
          <w:rFonts w:ascii="Times New Roman" w:cs="Times New Roman"/>
          <w:color w:val="auto"/>
          <w:sz w:val="28"/>
          <w:szCs w:val="28"/>
        </w:rPr>
        <w:t>, то необходимо обеспечить устойчивость оборудования к возможным замлятресениям, оползням и прочим природным катаклизмам.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По статистическим данным среднемесячных и среднесуточных значений федерального прогностического параметра в </w:t>
      </w:r>
      <w:r>
        <w:rPr>
          <w:sz w:val="28"/>
          <w:szCs w:val="28"/>
        </w:rPr>
        <w:t>сейсмоопасных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зонах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Российской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>
        <w:rPr>
          <w:rFonts w:ascii="Times New Roman" w:cs="Times New Roman"/>
          <w:color w:val="auto"/>
          <w:sz w:val="28"/>
          <w:szCs w:val="28"/>
        </w:rPr>
        <w:t>преобладают землетрясения незначительной силы, на уровне общей фоновой сейсмичности. Предположим, что данный офис находится в г. Сочи.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Поэтому прежде чем развертывать сеть, необходимо взять в аренду или построить здание, которое имеет специальную эластичную прослойку, позволяющую  плавно сдвигать дом по горизонтали при подземных толчках. Это достигается посредством добавления в  прослойку, резиновых элементов совместно со стальными конструкциями. Таким образом, в случае землетрясении здание имеет возможность спокойно двигатся по горизонтальной линии. Такой «разгон» может достигать 50 см. Это обеспечит наименьшую тряску оборудования.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Вся необходимая информация компании хранится на серверах, поэтому необходимо учитывать наибольшую безопасность этого оборудования.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Обязательным будет использование емких источников бесперебойного питания, для обеспечения бесперебойной работы в условиях отсутствия сетевого напряжения. Так как последствия стихии могут долгое время обесточить населенный пункт, лучше всегда иметь несколько дополнительных ИБП с полным зарядом.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Серверные шкафы необходимо устанавливать на пружинах, с целью снижения вибрации от толчков. Такая технология используется при проектировании домов, ЛЭП, электрогенераторов или роторов в больших компаниях, таких как «Газпром» или «Роснефть».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Оборудование внутри шкафов стоит закрепить  ремнями, но при этом необходимо учитывать амплитуду раскачивания для проводов, шкафа, в случае толчков или звукового удара.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bookmarkStart w:id="6" w:name="_Toc6"/>
      <w:r>
        <w:rPr>
          <w:rFonts w:ascii="Times New Roman" w:cs="Times New Roman"/>
          <w:color w:val="auto"/>
          <w:sz w:val="28"/>
          <w:szCs w:val="28"/>
        </w:rPr>
        <w:lastRenderedPageBreak/>
        <w:t>6. Организация связи между филиалами</w:t>
      </w:r>
      <w:bookmarkEnd w:id="6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Компания  имеет три филиала, расположенных в трех разных регионах России. Схема объединения офисов по средствам показана на рисунке 4.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Для любой компании развертывать собственную сеть на значительной территории – тяжелая задача с финансовой точки зрения. Поэтому с целью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снижения материальных затрат связующим звеном между офисами компании будет являться поставщик услуг интернет (ISP).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          Рисунок 4 - Общая структура корпоративной сети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noProof/>
          <w:color w:val="auto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margin">
              <wp:posOffset>481965</wp:posOffset>
            </wp:positionH>
            <wp:positionV relativeFrom="line">
              <wp:posOffset>-320040</wp:posOffset>
            </wp:positionV>
            <wp:extent cx="4685665" cy="4171950"/>
            <wp:effectExtent l="19050" t="0" r="635" b="0"/>
            <wp:wrapTopAndBottom/>
            <wp:docPr id="22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fficeArt object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665" cy="4171950"/>
                    </a:xfrm>
                    <a:prstGeom prst="rect">
                      <a:avLst/>
                    </a:prstGeom>
                    <a:noFill/>
                    <a:ln w="12700">
                      <a:noFill/>
                      <a:miter lim="4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lastRenderedPageBreak/>
        <w:t>Так как данные компании являются ее собственностью, то с целью обеспечения безопасности передачи информации будет использоваться зашифрованный VPN канал.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Организация VPN-канала между офисами дает компании следующие возможности: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-использовать сеть интернет для  объединения своих офисов и филиалов;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-обеспечить защиту передаваемой информации посредством надежного шифрования VPN-каналов;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-обеспечить единую точку доступа в интернет через </w:t>
      </w:r>
      <w:r>
        <w:rPr>
          <w:rFonts w:ascii="Times New Roman" w:cs="Times New Roman"/>
          <w:color w:val="auto"/>
          <w:sz w:val="28"/>
          <w:szCs w:val="28"/>
          <w:lang w:val="en-US"/>
        </w:rPr>
        <w:t>VPN</w:t>
      </w:r>
      <w:r>
        <w:rPr>
          <w:rFonts w:ascii="Times New Roman" w:cs="Times New Roman"/>
          <w:color w:val="auto"/>
          <w:sz w:val="28"/>
          <w:szCs w:val="28"/>
        </w:rPr>
        <w:t>-соединение;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Для организации VPN-канала может быть использована любая доступная физическая среда передачи данных: DSL, ADSL, WiFi и другие. Также для подключения VPN-канала пригодны скоростные сотовые сети передачи данных 3 или 4G от Мегафона, Билайн, МТС или других сотовых операторов.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>Для защиты VPN-соединения используются различные виды шифрования, поэтому виртуальная частная сеть является надежным способом передачи конфиденциальной информации через интернет. VPN-канал дает возможность обеспечить безопасный удаленный доступ сотрудников к ресурсам корпоративных сетей, проводить селекторные совещания, исключая при этом, риск несанкционированного подключения к вашей сессии. Также появляется возможность найма удаленных сотрудников или работа из дома по выделенной линии.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 Организация объединения офисов с помощью VPN-канала потребует финансовых затрат, но они значительно ниже тех, которые пришлось бы затратить на прокладку собственной  сети, протяженностью порядка 4000 км.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br w:type="page"/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bookmarkStart w:id="7" w:name="_Toc7"/>
      <w:r>
        <w:rPr>
          <w:rFonts w:ascii="Times New Roman" w:cs="Times New Roman"/>
          <w:color w:val="auto"/>
          <w:sz w:val="28"/>
          <w:szCs w:val="28"/>
        </w:rPr>
        <w:lastRenderedPageBreak/>
        <w:t xml:space="preserve">                                   Заключение</w:t>
      </w:r>
      <w:bookmarkEnd w:id="7"/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В данном курсовом проекте была спроектирована транспортная сеть инфокоммуникаций между тремя офисами - Санкт-Петербургом, Новгород и офисом, находящимся в </w:t>
      </w:r>
      <w:r>
        <w:rPr>
          <w:sz w:val="28"/>
          <w:szCs w:val="28"/>
        </w:rPr>
        <w:t>сейсмоопасной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зоне</w:t>
      </w:r>
      <w:r>
        <w:rPr>
          <w:rFonts w:ascii="Times New Roman" w:cs="Times New Roman"/>
          <w:color w:val="auto"/>
          <w:sz w:val="28"/>
          <w:szCs w:val="28"/>
        </w:rPr>
        <w:t xml:space="preserve"> (выбран г. Сочи). 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При  проектировании учитывались все требования задания. Был организован необходимый приоритет доступа пользователей к данным, организована связь каждого офиса друг другом, разработана внутренняя структура сети, обеспечено проведение селекторных видео-совещаний, </w:t>
      </w:r>
      <w:r>
        <w:rPr>
          <w:rFonts w:ascii="Times New Roman" w:cs="Times New Roman"/>
          <w:color w:val="auto"/>
          <w:sz w:val="28"/>
          <w:szCs w:val="28"/>
          <w:lang w:val="en-US"/>
        </w:rPr>
        <w:t>IP</w:t>
      </w:r>
      <w:r>
        <w:rPr>
          <w:rFonts w:ascii="Times New Roman" w:cs="Times New Roman"/>
          <w:color w:val="auto"/>
          <w:sz w:val="28"/>
          <w:szCs w:val="28"/>
        </w:rPr>
        <w:t>-телефония, коммутационный отсек. В проекте были так же учтены требования при развертывании локальной сети в сейсмоопасной зоне.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В центральном офисе сосредоточены все основные серверы компании - база данных, бухгалтерия и тд. Все филиалы компании имеют доступ к данным с помощью организованного защищенного VPN канала. Для обеспечения оперативной работы с документами сотрудников разных филиалов, используется локальное файловое хранилище для передачи файлов. Проведение совещаний обеспечивается посредством использования селектора или видео-конференции. Связь между сотрудниками филиалов компании обеспечивается при помощи </w:t>
      </w:r>
      <w:r>
        <w:rPr>
          <w:rFonts w:ascii="Times New Roman" w:cs="Times New Roman"/>
          <w:color w:val="auto"/>
          <w:sz w:val="28"/>
          <w:szCs w:val="28"/>
          <w:lang w:val="en-US"/>
        </w:rPr>
        <w:t>IP</w:t>
      </w:r>
      <w:r>
        <w:rPr>
          <w:rFonts w:ascii="Times New Roman" w:cs="Times New Roman"/>
          <w:color w:val="auto"/>
          <w:sz w:val="28"/>
          <w:szCs w:val="28"/>
        </w:rPr>
        <w:t xml:space="preserve"> -телефонии или электронной почты. </w:t>
      </w:r>
    </w:p>
    <w:p/>
    <w:p/>
    <w:p/>
    <w:p/>
    <w:p/>
    <w:p/>
    <w:p/>
    <w:p>
      <w:pPr>
        <w:rPr>
          <w:rFonts w:ascii="Times New Roman" w:cs="Times New Roman"/>
          <w:sz w:val="28"/>
          <w:szCs w:val="28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lastRenderedPageBreak/>
        <w:t xml:space="preserve">                               Список литературы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firstLine="720"/>
        <w:jc w:val="both"/>
        <w:rPr>
          <w:rFonts w:ascii="Times New Roman" w:cs="Times New Roman"/>
          <w:color w:val="auto"/>
          <w:sz w:val="28"/>
          <w:szCs w:val="28"/>
        </w:rPr>
      </w:pPr>
    </w:p>
    <w:p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Гургенидзе А.Т., Кореш В.И.  Мультисервисные сети и улуги широкополосного доступа. Наука и техника, 2013. – 400с.</w:t>
      </w:r>
    </w:p>
    <w:p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Величко М.В. Технологии строительства сетей доступа– М.: Горячая линия-Телеком, 2015. –313 с.</w:t>
      </w:r>
    </w:p>
    <w:p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t> </w:t>
      </w:r>
      <w:r>
        <w:rPr>
          <w:color w:val="000000"/>
          <w:sz w:val="28"/>
          <w:szCs w:val="28"/>
        </w:rPr>
        <w:t xml:space="preserve">Величко В.В.Телекоммуникационные системы и сети: Учебное пособие для вузов. – М.: Горячая линия-Телеком, 2014. – 592с. </w:t>
      </w:r>
    </w:p>
    <w:p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Крухмалев В.В.,. Гордиенко В.Н, Моченов А.Д. </w:t>
      </w:r>
      <w:r>
        <w:rPr>
          <w:bCs/>
          <w:color w:val="000000"/>
          <w:sz w:val="28"/>
          <w:szCs w:val="28"/>
        </w:rPr>
        <w:t>Основы построения телекоммуникационных систем и сетей</w:t>
      </w:r>
      <w:r>
        <w:rPr>
          <w:color w:val="000000"/>
          <w:sz w:val="28"/>
          <w:szCs w:val="28"/>
        </w:rPr>
        <w:t>: Учебник для вузов, 2-е изд., испр. – М.: Горячая линия – Телеком, 2012.- 424 с.</w:t>
      </w:r>
    </w:p>
    <w:p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Крук Б.И., Попантонопуло В.К., Шувалов В.П</w:t>
      </w:r>
      <w:r>
        <w:rPr>
          <w:bCs/>
          <w:color w:val="000000"/>
          <w:sz w:val="28"/>
          <w:szCs w:val="28"/>
        </w:rPr>
        <w:t xml:space="preserve"> Телекоммуникационные системы и сети</w:t>
      </w:r>
      <w:r>
        <w:rPr>
          <w:color w:val="000000"/>
          <w:sz w:val="28"/>
          <w:szCs w:val="28"/>
        </w:rPr>
        <w:t>: Учебное пособие для вузов. – М.: Горячая линия-Телеком, 2013.- 648с.</w:t>
      </w:r>
    </w:p>
    <w:p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>
        <w:t> </w:t>
      </w:r>
      <w:r>
        <w:rPr>
          <w:color w:val="000000"/>
          <w:sz w:val="28"/>
          <w:szCs w:val="28"/>
        </w:rPr>
        <w:t>Катунин Г.П Телекоммуникационные системы и сети: Учебное пособие для вузов. – М.: Горячая линия-Телеком, 2014.- 672с.</w:t>
      </w:r>
    </w:p>
    <w:p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>
        <w:t> </w:t>
      </w:r>
      <w:r>
        <w:rPr>
          <w:color w:val="000000"/>
          <w:sz w:val="28"/>
          <w:szCs w:val="28"/>
        </w:rPr>
        <w:t>Ломовицкий В.В. Основы построения систем и сетей передачи информации:</w:t>
      </w:r>
      <w:r>
        <w:t> </w:t>
      </w:r>
      <w:r>
        <w:rPr>
          <w:color w:val="000000"/>
          <w:sz w:val="28"/>
          <w:szCs w:val="28"/>
        </w:rPr>
        <w:t>Учебное пособие для вузов. – М.: Горячая линия – Телеком, 2012. – 382 с.</w:t>
      </w:r>
    </w:p>
    <w:p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Новиков Ю.В., Кондратенко С.В.  Основы локальных сетей, Курс лекций. Учебное пособие -  М.: Интернет — Ун-т Информ. Технологий, 2005. . – 383 с.  </w:t>
      </w:r>
    </w:p>
    <w:p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Олифер В. Г., Олифер Н.А. Компьютерные сети. Принципы, технологии, протоколы. 3-е изд. – С-Пб.: Питер, 2006. – 985 с.</w:t>
      </w:r>
    </w:p>
    <w:p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10.Столингс В. Современные компьютерные сети. – С-Пб.: Питер, 2013. – 783 с. </w:t>
      </w:r>
    </w:p>
    <w:p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Финогеев А.Г., Бождай А.С. Сетевые технологии, Учебное пособие 3 часть. Углубленный уровень подготовки - Пенза 2013. – 412с. </w:t>
      </w:r>
    </w:p>
    <w:sectPr>
      <w:headerReference w:type="default" r:id="rId28"/>
      <w:footerReference w:type="default" r:id="rId29"/>
      <w:pgSz w:w="11906" w:h="16838"/>
      <w:pgMar w:top="31" w:right="850" w:bottom="1134" w:left="1701" w:header="0" w:footer="0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pBdr>
          <w:bottom w:val="none" w:sz="96" w:space="0" w:color="FFFFFF" w:shadow="1" w:frame="1"/>
        </w:pBdr>
      </w:pPr>
      <w:r>
        <w:separator/>
      </w:r>
    </w:p>
  </w:endnote>
  <w:endnote w:type="continuationSeparator" w:id="0">
    <w:p>
      <w:pPr>
        <w:pBdr>
          <w:bottom w:val="none" w:sz="96" w:space="0" w:color="FFFFFF" w:shadow="1" w:frame="1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  <w:pBdr>
        <w:bottom w:val="none" w:sz="96" w:space="0" w:color="FFFFFF" w:shadow="1" w:frame="1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  <w:pBdr>
        <w:bottom w:val="none" w:sz="96" w:space="0" w:color="FFFFFF" w:shadow="1" w:frame="1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  <w:pBdr>
        <w:bottom w:val="none" w:sz="96" w:space="0" w:color="FFFFFF" w:shadow="1" w:frame="1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  <w:pBdr>
        <w:bottom w:val="none" w:sz="96" w:space="0" w:color="FFFFFF" w:shadow="1" w:frame="1"/>
      </w:pBdr>
      <w:rPr>
        <w:rFonts w:asci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pBdr>
          <w:bottom w:val="none" w:sz="96" w:space="0" w:color="FFFFFF" w:shadow="1" w:frame="1"/>
        </w:pBdr>
      </w:pPr>
      <w:r>
        <w:separator/>
      </w:r>
    </w:p>
  </w:footnote>
  <w:footnote w:type="continuationSeparator" w:id="0">
    <w:p>
      <w:pPr>
        <w:pBdr>
          <w:bottom w:val="none" w:sz="96" w:space="0" w:color="FFFFFF" w:shadow="1" w:frame="1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pBdr>
        <w:bottom w:val="none" w:sz="96" w:space="0" w:color="FFFFFF" w:shadow="1" w:fram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pBdr>
        <w:bottom w:val="none" w:sz="96" w:space="0" w:color="FFFFFF" w:shadow="1" w:frame="1"/>
      </w:pBdr>
      <w:rPr>
        <w:rFonts w:asci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pBdr>
        <w:bottom w:val="none" w:sz="96" w:space="0" w:color="FFFFFF" w:shadow="1" w:fram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cs="Times New Roman"/>
      </w:rPr>
      <w:id w:val="58404615"/>
      <w:docPartObj>
        <w:docPartGallery w:val="Page Numbers (Top of Page)"/>
        <w:docPartUnique/>
      </w:docPartObj>
    </w:sdtPr>
    <w:sdtContent>
      <w:p>
        <w:pPr>
          <w:pStyle w:val="a4"/>
          <w:pBdr>
            <w:bottom w:val="none" w:sz="96" w:space="20" w:color="FFFFFF" w:shadow="1" w:frame="1"/>
          </w:pBdr>
          <w:jc w:val="right"/>
          <w:rPr>
            <w:rFonts w:ascii="Times New Roman" w:cs="Times New Roman"/>
          </w:rPr>
        </w:pPr>
        <w:r>
          <w:rPr>
            <w:rFonts w:ascii="Times New Roman" w:cs="Times New Roman"/>
          </w:rPr>
          <w:fldChar w:fldCharType="begin"/>
        </w:r>
        <w:r>
          <w:rPr>
            <w:rFonts w:ascii="Times New Roman" w:cs="Times New Roman"/>
          </w:rPr>
          <w:instrText xml:space="preserve"> PAGE   \* MERGEFORMAT </w:instrText>
        </w:r>
        <w:r>
          <w:rPr>
            <w:rFonts w:ascii="Times New Roman" w:cs="Times New Roman"/>
          </w:rPr>
          <w:fldChar w:fldCharType="separate"/>
        </w:r>
        <w:r>
          <w:rPr>
            <w:rFonts w:ascii="Times New Roman" w:cs="Times New Roman"/>
            <w:noProof/>
          </w:rPr>
          <w:t>22</w:t>
        </w:r>
        <w:r>
          <w:rPr>
            <w:rFonts w:asci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A063C"/>
    <w:multiLevelType w:val="hybridMultilevel"/>
    <w:tmpl w:val="FC3AD06C"/>
    <w:lvl w:ilvl="0" w:tplc="4872CE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line="240" w:lineRule="auto"/>
      <w:ind w:firstLine="0"/>
      <w:jc w:val="left"/>
    </w:pPr>
    <w:rPr>
      <w:rFonts w:ascii="Arial Unicode MS" w:eastAsia="Arial Unicode MS"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Arial Unicode MS" w:eastAsia="Arial Unicode MS" w:cs="Arial Unicode MS"/>
      <w:color w:val="000000"/>
      <w:sz w:val="24"/>
      <w:szCs w:val="24"/>
      <w:u w:color="000000"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Arial Unicode MS" w:hAnsi="Tahoma" w:cs="Tahoma"/>
      <w:color w:val="000000"/>
      <w:sz w:val="16"/>
      <w:szCs w:val="16"/>
      <w:u w:color="000000"/>
    </w:rPr>
  </w:style>
  <w:style w:type="paragraph" w:styleId="a8">
    <w:name w:val="List Paragraph"/>
    <w:basedOn w:val="a"/>
    <w:uiPriority w:val="34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ind w:left="720"/>
      <w:contextualSpacing/>
    </w:pPr>
    <w:rPr>
      <w:rFonts w:ascii="Times New Roman" w:eastAsia="Times New Roman" w:cs="Times New Roman"/>
      <w:color w:val="auto"/>
      <w:lang w:eastAsia="ru-RU"/>
    </w:rPr>
  </w:style>
  <w:style w:type="paragraph" w:styleId="a9">
    <w:name w:val="Normal (Web)"/>
    <w:basedOn w:val="a"/>
    <w:uiPriority w:val="99"/>
    <w:unhideWhenUsed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lang w:eastAsia="ru-RU"/>
    </w:rPr>
  </w:style>
  <w:style w:type="character" w:customStyle="1" w:styleId="apple-converted-space">
    <w:name w:val="apple-converted-space"/>
    <w:basedOn w:val="a0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Arial Unicode MS" w:eastAsia="Arial Unicode MS" w:cs="Arial Unicode MS"/>
      <w:color w:val="000000"/>
      <w:sz w:val="24"/>
      <w:szCs w:val="24"/>
      <w:u w:color="000000"/>
    </w:rPr>
  </w:style>
  <w:style w:type="paragraph" w:styleId="ac">
    <w:name w:val="TOC Heading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paragraph" w:styleId="2">
    <w:name w:val="toc 2"/>
    <w:basedOn w:val="a"/>
    <w:next w:val="a"/>
    <w:autoRedefine/>
    <w:uiPriority w:val="39"/>
    <w:semiHidden/>
    <w:unhideWhenUsed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100" w:line="276" w:lineRule="auto"/>
      <w:ind w:left="220"/>
    </w:pPr>
    <w:rPr>
      <w:rFonts w:asciiTheme="minorHAnsi" w:eastAsiaTheme="minorEastAsia" w:hAnsiTheme="minorHAnsi" w:cstheme="minorBidi"/>
      <w:color w:val="auto"/>
      <w:sz w:val="22"/>
      <w:szCs w:val="22"/>
    </w:rPr>
  </w:style>
  <w:style w:type="paragraph" w:styleId="11">
    <w:name w:val="toc 1"/>
    <w:basedOn w:val="a"/>
    <w:next w:val="a"/>
    <w:autoRedefine/>
    <w:uiPriority w:val="39"/>
    <w:semiHidden/>
    <w:unhideWhenUsed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100" w:line="276" w:lineRule="auto"/>
    </w:pPr>
    <w:rPr>
      <w:rFonts w:asciiTheme="minorHAnsi" w:eastAsiaTheme="minorEastAsia" w:hAnsiTheme="minorHAnsi" w:cstheme="minorBidi"/>
      <w:color w:val="auto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100" w:line="276" w:lineRule="auto"/>
      <w:ind w:left="440"/>
    </w:pPr>
    <w:rPr>
      <w:rFonts w:asciiTheme="minorHAnsi" w:eastAsiaTheme="minorEastAsia" w:hAnsiTheme="minorHAnsi" w:cstheme="minorBidi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spacing w:line="240" w:lineRule="auto"/>
      <w:ind w:firstLine="0"/>
      <w:jc w:val="left"/>
    </w:pPr>
    <w:rPr>
      <w:rFonts w:ascii="Arial Unicode MS" w:eastAsia="Arial Unicode MS"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Pr>
      <w:rFonts w:ascii="Arial Unicode MS" w:eastAsia="Arial Unicode MS" w:cs="Arial Unicode MS"/>
      <w:color w:val="000000"/>
      <w:sz w:val="24"/>
      <w:szCs w:val="24"/>
      <w:u w:color="000000"/>
    </w:r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Arial Unicode MS" w:hAnsi="Tahoma" w:cs="Tahoma"/>
      <w:color w:val="000000"/>
      <w:sz w:val="16"/>
      <w:szCs w:val="16"/>
      <w:u w:color="000000"/>
    </w:rPr>
  </w:style>
  <w:style w:type="paragraph" w:styleId="a8">
    <w:name w:val="List Paragraph"/>
    <w:basedOn w:val="a"/>
    <w:uiPriority w:val="34"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ind w:left="720"/>
      <w:contextualSpacing/>
    </w:pPr>
    <w:rPr>
      <w:rFonts w:ascii="Times New Roman" w:eastAsia="Times New Roman" w:cs="Times New Roman"/>
      <w:color w:val="auto"/>
      <w:lang w:eastAsia="ru-RU"/>
    </w:rPr>
  </w:style>
  <w:style w:type="paragraph" w:styleId="a9">
    <w:name w:val="Normal (Web)"/>
    <w:basedOn w:val="a"/>
    <w:uiPriority w:val="99"/>
    <w:unhideWhenUsed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lang w:eastAsia="ru-RU"/>
    </w:rPr>
  </w:style>
  <w:style w:type="character" w:customStyle="1" w:styleId="apple-converted-space">
    <w:name w:val="apple-converted-space"/>
    <w:basedOn w:val="a0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Arial Unicode MS" w:eastAsia="Arial Unicode MS" w:cs="Arial Unicode MS"/>
      <w:color w:val="000000"/>
      <w:sz w:val="24"/>
      <w:szCs w:val="24"/>
      <w:u w:color="000000"/>
    </w:rPr>
  </w:style>
  <w:style w:type="paragraph" w:styleId="ac">
    <w:name w:val="TOC Heading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paragraph" w:styleId="2">
    <w:name w:val="toc 2"/>
    <w:basedOn w:val="a"/>
    <w:next w:val="a"/>
    <w:autoRedefine/>
    <w:uiPriority w:val="39"/>
    <w:semiHidden/>
    <w:unhideWhenUsed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100" w:line="276" w:lineRule="auto"/>
      <w:ind w:left="220"/>
    </w:pPr>
    <w:rPr>
      <w:rFonts w:asciiTheme="minorHAnsi" w:eastAsiaTheme="minorEastAsia" w:hAnsiTheme="minorHAnsi" w:cstheme="minorBidi"/>
      <w:color w:val="auto"/>
      <w:sz w:val="22"/>
      <w:szCs w:val="22"/>
    </w:rPr>
  </w:style>
  <w:style w:type="paragraph" w:styleId="11">
    <w:name w:val="toc 1"/>
    <w:basedOn w:val="a"/>
    <w:next w:val="a"/>
    <w:autoRedefine/>
    <w:uiPriority w:val="39"/>
    <w:semiHidden/>
    <w:unhideWhenUsed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100" w:line="276" w:lineRule="auto"/>
    </w:pPr>
    <w:rPr>
      <w:rFonts w:asciiTheme="minorHAnsi" w:eastAsiaTheme="minorEastAsia" w:hAnsiTheme="minorHAnsi" w:cstheme="minorBidi"/>
      <w:color w:val="auto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100" w:line="276" w:lineRule="auto"/>
      <w:ind w:left="440"/>
    </w:pPr>
    <w:rPr>
      <w:rFonts w:asciiTheme="minorHAnsi" w:eastAsiaTheme="minorEastAsia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2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ru.wikipedia.org/wiki/%25D0%259A%25D0%25BE%25D0%25BC%25D0%25BF%25D1%258C%25D1%258E%25D1%2582%25D0%25B5%25D1%2580" TargetMode="External"/><Relationship Id="rId26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yperlink" Target="https://ru.wikipedia.org/wiki/%25D0%25A1%25D0%25B5%25D1%2582%25D0%25B5%25D0%25B2%25D0%25B0%25D1%258F_%25D1%2582%25D0%25BE%25D0%25BF%25D0%25BE%25D0%25BB%25D0%25BE%25D0%25B3%25D0%25B8%25D1%258F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ru.wikipedia.org/wiki/%25D0%259A%25D0%25BE%25D0%25BC%25D0%25BF%25D1%258C%25D1%258E%25D1%2582%25D0%25B5%25D1%2580%25D0%25BD%25D0%25B0%25D1%258F_%25D1%2581%25D0%25B5%25D1%2582%25D1%258C" TargetMode="External"/><Relationship Id="rId25" Type="http://schemas.openxmlformats.org/officeDocument/2006/relationships/hyperlink" Target="https://ru.wikipedia.org/wiki/%25D0%25A1%25D0%25B5%25D0%25B3%25D0%25BC%25D0%25B5%25D0%25BD%25D1%2582_%25D1%2581%25D0%25B5%25D1%2582%25D0%25B8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hyperlink" Target="https://ru.wikipedia.org/wiki/%25D0%25A1%25D0%25B5%25D0%25B3%25D0%25BC%25D0%25B5%25D0%25BD%25D1%2582_%25D1%2581%25D0%25B5%25D1%2582%25D0%25B8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s://ru.wikipedia.org/wiki/%25D0%259A%25D0%25BE%25D0%25BC%25D0%25BF%25D1%258C%25D1%258E%25D1%2582%25D0%25B5%25D1%2580%25D0%25BD%25D0%25B0%25D1%258F_%25D1%2581%25D0%25B5%25D1%2582%25D1%258C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hyperlink" Target="https://ru.wikipedia.org/wiki/%25D0%25A3%25D0%25B7%25D0%25B5%25D0%25BB_%25D1%2581%25D0%25B5%25D1%2582%25D0%25B8" TargetMode="External"/><Relationship Id="rId28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yperlink" Target="https://ru.wikipedia.org/wiki/%25D0%25A1%25D0%25B5%25D1%2582%25D0%25B5%25D0%25B2%25D0%25BE%25D0%25B9_%25D0%25B8%25D0%25BD%25D1%2582%25D0%25B5%25D1%2580%25D1%2584%25D0%25B5%25D0%25B9%25D1%2581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ru.wikipedia.org/wiki/%25D0%2590%25D0%25B4%25D0%25BC%25D0%25B8%25D0%25BD%25D0%25B8%25D1%2581%25D1%2582%25D1%2580%25D0%25B0%25D1%2582%25D0%25BE%25D1%2580_%25D0%25B2%25D1%258B%25D1%2587%25D0%25B8%25D1%2581%25D0%25BB%25D0%25B8%25D1%2582%25D0%25B5%25D0%25BB%25D1%258C%25D0%25BD%25D0%25BE%25D0%25B9_%25D1%2581%25D0%25B5%25D1%2582%25D0%25B8" TargetMode="External"/><Relationship Id="rId27" Type="http://schemas.openxmlformats.org/officeDocument/2006/relationships/image" Target="media/image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40B0923-EEFE-484D-B5E7-896045F9E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4001</Words>
  <Characters>22812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Матвеюк АЕ</dc:creator>
  <cp:lastModifiedBy>User</cp:lastModifiedBy>
  <cp:revision>2</cp:revision>
  <dcterms:created xsi:type="dcterms:W3CDTF">2016-03-25T03:45:00Z</dcterms:created>
  <dcterms:modified xsi:type="dcterms:W3CDTF">2016-03-25T03:45:00Z</dcterms:modified>
</cp:coreProperties>
</file>