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7C6" w:rsidRDefault="00BA09CB" w:rsidP="005A1F50">
      <w:pPr>
        <w:pStyle w:val="Default"/>
        <w:spacing w:line="360" w:lineRule="auto"/>
        <w:jc w:val="center"/>
        <w:rPr>
          <w:bCs/>
          <w:sz w:val="28"/>
          <w:szCs w:val="28"/>
        </w:rPr>
      </w:pPr>
      <w:bookmarkStart w:id="0" w:name="_GoBack"/>
      <w:r>
        <w:rPr>
          <w:bCs/>
          <w:sz w:val="28"/>
          <w:szCs w:val="28"/>
        </w:rPr>
        <w:t>Содержание</w:t>
      </w:r>
    </w:p>
    <w:p w:rsidR="009367C6" w:rsidRDefault="009367C6" w:rsidP="009367C6">
      <w:pPr>
        <w:pStyle w:val="Default"/>
        <w:spacing w:line="360" w:lineRule="auto"/>
        <w:ind w:firstLine="568"/>
        <w:jc w:val="center"/>
        <w:rPr>
          <w:bCs/>
          <w:sz w:val="28"/>
          <w:szCs w:val="28"/>
        </w:rPr>
      </w:pPr>
    </w:p>
    <w:p w:rsidR="0086408B" w:rsidRDefault="00EA7B71">
      <w:pPr>
        <w:pStyle w:val="11"/>
        <w:tabs>
          <w:tab w:val="right" w:leader="dot" w:pos="9345"/>
        </w:tabs>
        <w:rPr>
          <w:rFonts w:asciiTheme="minorHAnsi" w:eastAsiaTheme="minorEastAsia" w:hAnsiTheme="minorHAnsi" w:cstheme="minorBidi"/>
          <w:noProof/>
          <w:sz w:val="22"/>
          <w:szCs w:val="22"/>
          <w:lang w:val="ru-RU" w:eastAsia="ru-RU" w:bidi="ar-SA"/>
        </w:rPr>
      </w:pPr>
      <w:r>
        <w:rPr>
          <w:bCs/>
          <w:szCs w:val="28"/>
        </w:rPr>
        <w:fldChar w:fldCharType="begin"/>
      </w:r>
      <w:r w:rsidR="009367C6">
        <w:rPr>
          <w:bCs/>
          <w:szCs w:val="28"/>
        </w:rPr>
        <w:instrText xml:space="preserve"> TOC \o "1-1" \h \z \u </w:instrText>
      </w:r>
      <w:r>
        <w:rPr>
          <w:bCs/>
          <w:szCs w:val="28"/>
        </w:rPr>
        <w:fldChar w:fldCharType="separate"/>
      </w:r>
      <w:hyperlink w:anchor="_Toc445916601" w:history="1">
        <w:r w:rsidR="0086408B" w:rsidRPr="003549F8">
          <w:rPr>
            <w:rStyle w:val="ac"/>
            <w:noProof/>
          </w:rPr>
          <w:t>1. Особенности механизма мобилизации доходов в федеральный бюджет. Состав и структура доходов федерального бюджета, ее оценка.</w:t>
        </w:r>
        <w:r w:rsidR="0086408B">
          <w:rPr>
            <w:noProof/>
            <w:webHidden/>
          </w:rPr>
          <w:tab/>
        </w:r>
        <w:r w:rsidR="0086408B">
          <w:rPr>
            <w:noProof/>
            <w:webHidden/>
          </w:rPr>
          <w:fldChar w:fldCharType="begin"/>
        </w:r>
        <w:r w:rsidR="0086408B">
          <w:rPr>
            <w:noProof/>
            <w:webHidden/>
          </w:rPr>
          <w:instrText xml:space="preserve"> PAGEREF _Toc445916601 \h </w:instrText>
        </w:r>
        <w:r w:rsidR="0086408B">
          <w:rPr>
            <w:noProof/>
            <w:webHidden/>
          </w:rPr>
        </w:r>
        <w:r w:rsidR="0086408B">
          <w:rPr>
            <w:noProof/>
            <w:webHidden/>
          </w:rPr>
          <w:fldChar w:fldCharType="separate"/>
        </w:r>
        <w:r w:rsidR="0086408B">
          <w:rPr>
            <w:noProof/>
            <w:webHidden/>
          </w:rPr>
          <w:t>3</w:t>
        </w:r>
        <w:r w:rsidR="0086408B">
          <w:rPr>
            <w:noProof/>
            <w:webHidden/>
          </w:rPr>
          <w:fldChar w:fldCharType="end"/>
        </w:r>
      </w:hyperlink>
    </w:p>
    <w:p w:rsidR="0086408B" w:rsidRDefault="009B1567">
      <w:pPr>
        <w:pStyle w:val="11"/>
        <w:tabs>
          <w:tab w:val="right" w:leader="dot" w:pos="9345"/>
        </w:tabs>
        <w:rPr>
          <w:rFonts w:asciiTheme="minorHAnsi" w:eastAsiaTheme="minorEastAsia" w:hAnsiTheme="minorHAnsi" w:cstheme="minorBidi"/>
          <w:noProof/>
          <w:sz w:val="22"/>
          <w:szCs w:val="22"/>
          <w:lang w:val="ru-RU" w:eastAsia="ru-RU" w:bidi="ar-SA"/>
        </w:rPr>
      </w:pPr>
      <w:hyperlink w:anchor="_Toc445916602" w:history="1">
        <w:r w:rsidR="0086408B" w:rsidRPr="003549F8">
          <w:rPr>
            <w:rStyle w:val="ac"/>
            <w:noProof/>
          </w:rPr>
          <w:t xml:space="preserve">2. </w:t>
        </w:r>
        <w:r w:rsidR="0086408B" w:rsidRPr="003549F8">
          <w:rPr>
            <w:rStyle w:val="ac"/>
            <w:iCs/>
            <w:noProof/>
          </w:rPr>
          <w:t>Тестовое задание</w:t>
        </w:r>
        <w:r w:rsidR="0086408B" w:rsidRPr="003549F8">
          <w:rPr>
            <w:rStyle w:val="ac"/>
            <w:rFonts w:eastAsia="TimesNewRomanPSMT"/>
            <w:noProof/>
          </w:rPr>
          <w:t>.</w:t>
        </w:r>
        <w:r w:rsidR="0086408B">
          <w:rPr>
            <w:noProof/>
            <w:webHidden/>
          </w:rPr>
          <w:tab/>
        </w:r>
        <w:r w:rsidR="0086408B">
          <w:rPr>
            <w:noProof/>
            <w:webHidden/>
          </w:rPr>
          <w:fldChar w:fldCharType="begin"/>
        </w:r>
        <w:r w:rsidR="0086408B">
          <w:rPr>
            <w:noProof/>
            <w:webHidden/>
          </w:rPr>
          <w:instrText xml:space="preserve"> PAGEREF _Toc445916602 \h </w:instrText>
        </w:r>
        <w:r w:rsidR="0086408B">
          <w:rPr>
            <w:noProof/>
            <w:webHidden/>
          </w:rPr>
        </w:r>
        <w:r w:rsidR="0086408B">
          <w:rPr>
            <w:noProof/>
            <w:webHidden/>
          </w:rPr>
          <w:fldChar w:fldCharType="separate"/>
        </w:r>
        <w:r w:rsidR="0086408B">
          <w:rPr>
            <w:noProof/>
            <w:webHidden/>
          </w:rPr>
          <w:t>7</w:t>
        </w:r>
        <w:r w:rsidR="0086408B">
          <w:rPr>
            <w:noProof/>
            <w:webHidden/>
          </w:rPr>
          <w:fldChar w:fldCharType="end"/>
        </w:r>
      </w:hyperlink>
    </w:p>
    <w:p w:rsidR="0086408B" w:rsidRDefault="009B1567">
      <w:pPr>
        <w:pStyle w:val="11"/>
        <w:tabs>
          <w:tab w:val="right" w:leader="dot" w:pos="9345"/>
        </w:tabs>
        <w:rPr>
          <w:rFonts w:asciiTheme="minorHAnsi" w:eastAsiaTheme="minorEastAsia" w:hAnsiTheme="minorHAnsi" w:cstheme="minorBidi"/>
          <w:noProof/>
          <w:sz w:val="22"/>
          <w:szCs w:val="22"/>
          <w:lang w:val="ru-RU" w:eastAsia="ru-RU" w:bidi="ar-SA"/>
        </w:rPr>
      </w:pPr>
      <w:hyperlink w:anchor="_Toc445916603" w:history="1">
        <w:r w:rsidR="0086408B" w:rsidRPr="003549F8">
          <w:rPr>
            <w:rStyle w:val="ac"/>
            <w:rFonts w:eastAsia="Calibri"/>
            <w:noProof/>
          </w:rPr>
          <w:t>3. Задача</w:t>
        </w:r>
        <w:r w:rsidR="0086408B">
          <w:rPr>
            <w:noProof/>
            <w:webHidden/>
          </w:rPr>
          <w:tab/>
        </w:r>
        <w:r w:rsidR="0086408B">
          <w:rPr>
            <w:noProof/>
            <w:webHidden/>
          </w:rPr>
          <w:fldChar w:fldCharType="begin"/>
        </w:r>
        <w:r w:rsidR="0086408B">
          <w:rPr>
            <w:noProof/>
            <w:webHidden/>
          </w:rPr>
          <w:instrText xml:space="preserve"> PAGEREF _Toc445916603 \h </w:instrText>
        </w:r>
        <w:r w:rsidR="0086408B">
          <w:rPr>
            <w:noProof/>
            <w:webHidden/>
          </w:rPr>
        </w:r>
        <w:r w:rsidR="0086408B">
          <w:rPr>
            <w:noProof/>
            <w:webHidden/>
          </w:rPr>
          <w:fldChar w:fldCharType="separate"/>
        </w:r>
        <w:r w:rsidR="0086408B">
          <w:rPr>
            <w:noProof/>
            <w:webHidden/>
          </w:rPr>
          <w:t>9</w:t>
        </w:r>
        <w:r w:rsidR="0086408B">
          <w:rPr>
            <w:noProof/>
            <w:webHidden/>
          </w:rPr>
          <w:fldChar w:fldCharType="end"/>
        </w:r>
      </w:hyperlink>
    </w:p>
    <w:p w:rsidR="0086408B" w:rsidRDefault="009B1567">
      <w:pPr>
        <w:pStyle w:val="11"/>
        <w:tabs>
          <w:tab w:val="right" w:leader="dot" w:pos="9345"/>
        </w:tabs>
        <w:rPr>
          <w:rFonts w:asciiTheme="minorHAnsi" w:eastAsiaTheme="minorEastAsia" w:hAnsiTheme="minorHAnsi" w:cstheme="minorBidi"/>
          <w:noProof/>
          <w:sz w:val="22"/>
          <w:szCs w:val="22"/>
          <w:lang w:val="ru-RU" w:eastAsia="ru-RU" w:bidi="ar-SA"/>
        </w:rPr>
      </w:pPr>
      <w:hyperlink w:anchor="_Toc445916604" w:history="1">
        <w:r w:rsidR="0086408B" w:rsidRPr="003549F8">
          <w:rPr>
            <w:rStyle w:val="ac"/>
            <w:noProof/>
            <w:shd w:val="clear" w:color="auto" w:fill="FFFFFF"/>
          </w:rPr>
          <w:t>Список использованной литературы</w:t>
        </w:r>
        <w:r w:rsidR="0086408B">
          <w:rPr>
            <w:noProof/>
            <w:webHidden/>
          </w:rPr>
          <w:tab/>
        </w:r>
        <w:r w:rsidR="0086408B">
          <w:rPr>
            <w:noProof/>
            <w:webHidden/>
          </w:rPr>
          <w:fldChar w:fldCharType="begin"/>
        </w:r>
        <w:r w:rsidR="0086408B">
          <w:rPr>
            <w:noProof/>
            <w:webHidden/>
          </w:rPr>
          <w:instrText xml:space="preserve"> PAGEREF _Toc445916604 \h </w:instrText>
        </w:r>
        <w:r w:rsidR="0086408B">
          <w:rPr>
            <w:noProof/>
            <w:webHidden/>
          </w:rPr>
        </w:r>
        <w:r w:rsidR="0086408B">
          <w:rPr>
            <w:noProof/>
            <w:webHidden/>
          </w:rPr>
          <w:fldChar w:fldCharType="separate"/>
        </w:r>
        <w:r w:rsidR="0086408B">
          <w:rPr>
            <w:noProof/>
            <w:webHidden/>
          </w:rPr>
          <w:t>11</w:t>
        </w:r>
        <w:r w:rsidR="0086408B">
          <w:rPr>
            <w:noProof/>
            <w:webHidden/>
          </w:rPr>
          <w:fldChar w:fldCharType="end"/>
        </w:r>
      </w:hyperlink>
    </w:p>
    <w:p w:rsidR="00AE1C52" w:rsidRDefault="00EA7B71" w:rsidP="009367C6">
      <w:pPr>
        <w:rPr>
          <w:bCs/>
          <w:szCs w:val="28"/>
        </w:rPr>
      </w:pPr>
      <w:r>
        <w:rPr>
          <w:bCs/>
          <w:szCs w:val="28"/>
        </w:rPr>
        <w:fldChar w:fldCharType="end"/>
      </w:r>
    </w:p>
    <w:p w:rsidR="00AE1C52" w:rsidRPr="00577040" w:rsidRDefault="00AE1C52" w:rsidP="00577040">
      <w:pPr>
        <w:pStyle w:val="1"/>
        <w:spacing w:before="0"/>
      </w:pPr>
      <w:r>
        <w:br w:type="page"/>
      </w:r>
      <w:bookmarkStart w:id="1" w:name="_Toc445916601"/>
      <w:bookmarkEnd w:id="0"/>
      <w:r w:rsidR="00577040" w:rsidRPr="00577040">
        <w:lastRenderedPageBreak/>
        <w:t>1. Особенности механизма мобилизации доходов в федеральный бюджет. Состав и структура доходов федерального бюджета, ее оценка.</w:t>
      </w:r>
      <w:bookmarkEnd w:id="1"/>
    </w:p>
    <w:p w:rsidR="0023277E" w:rsidRDefault="0023277E" w:rsidP="0023277E">
      <w:pPr>
        <w:rPr>
          <w:lang w:eastAsia="ru-RU"/>
        </w:rPr>
      </w:pPr>
      <w:r w:rsidRPr="0023277E">
        <w:rPr>
          <w:lang w:eastAsia="ru-RU"/>
        </w:rPr>
        <w:t>Механизм мобилизации денежных средств фактически представляет собой формирование доходной части бюджета.</w:t>
      </w:r>
    </w:p>
    <w:p w:rsidR="003C707C" w:rsidRPr="00924CF6" w:rsidRDefault="003C707C" w:rsidP="003C707C">
      <w:r w:rsidRPr="00924CF6">
        <w:t>Основные функции управления государством возложены на центральные органы власти. Для выполнения ими их обязанностей, для финансового обеспечения общегосударственных мероприятий формируется централизованный финансовый фонд – федеральный бюджет.</w:t>
      </w:r>
    </w:p>
    <w:p w:rsidR="0047092D" w:rsidRPr="00924CF6" w:rsidRDefault="0047092D" w:rsidP="0047092D">
      <w:r w:rsidRPr="00924CF6">
        <w:rPr>
          <w:b/>
        </w:rPr>
        <w:t>Федеральный бюджет</w:t>
      </w:r>
      <w:r w:rsidRPr="00924CF6">
        <w:t xml:space="preserve"> – основной финансовый план государства, утверждаемый Федеральным Собранием в виде федерального закона. Именно федеральный бюджет является главным средством перераспределения национального дохода и валового внутреннего продукта, через него мобилизуются финансовые ресурсы, необходимые для регулирования экономического развития страны и реализации социальной политики на территории всей России.</w:t>
      </w:r>
    </w:p>
    <w:p w:rsidR="0047092D" w:rsidRPr="00924CF6" w:rsidRDefault="0047092D" w:rsidP="0047092D">
      <w:pPr>
        <w:rPr>
          <w:snapToGrid w:val="0"/>
        </w:rPr>
      </w:pPr>
      <w:r w:rsidRPr="00924CF6">
        <w:rPr>
          <w:snapToGrid w:val="0"/>
        </w:rPr>
        <w:t xml:space="preserve">Для решения многочисленных задач федеральный бюджет наделен федеральными налогами и неналоговыми доходами. </w:t>
      </w:r>
    </w:p>
    <w:p w:rsidR="0047092D" w:rsidRPr="00924CF6" w:rsidRDefault="0047092D" w:rsidP="0047092D">
      <w:r w:rsidRPr="00924CF6">
        <w:rPr>
          <w:snapToGrid w:val="0"/>
          <w:u w:val="single"/>
        </w:rPr>
        <w:t>Доходы федерального бюджета</w:t>
      </w:r>
      <w:r w:rsidRPr="00924CF6">
        <w:rPr>
          <w:snapToGrid w:val="0"/>
        </w:rPr>
        <w:t xml:space="preserve"> – это денежные средства, поступающие в безвозмездном и безвозвратном порядке в соответствии с законодательством Российской Федерации в распоряжение органов государственной власти Российской Федерации[6]. </w:t>
      </w:r>
    </w:p>
    <w:p w:rsidR="0047092D" w:rsidRDefault="0047092D" w:rsidP="0047092D">
      <w:pPr>
        <w:rPr>
          <w:snapToGrid w:val="0"/>
        </w:rPr>
      </w:pPr>
      <w:r w:rsidRPr="00924CF6">
        <w:rPr>
          <w:snapToGrid w:val="0"/>
        </w:rPr>
        <w:t xml:space="preserve">В соответствии со статьей 49 Бюджетного кодекса РФ, к </w:t>
      </w:r>
      <w:r w:rsidRPr="00924CF6">
        <w:rPr>
          <w:b/>
          <w:snapToGrid w:val="0"/>
        </w:rPr>
        <w:t xml:space="preserve">налоговым </w:t>
      </w:r>
      <w:r w:rsidRPr="00924CF6">
        <w:rPr>
          <w:snapToGrid w:val="0"/>
        </w:rPr>
        <w:t xml:space="preserve">доходам федерального бюджета относятся[1]: </w:t>
      </w:r>
    </w:p>
    <w:p w:rsidR="003C707C" w:rsidRPr="00924CF6" w:rsidRDefault="003C707C" w:rsidP="003C707C">
      <w:pPr>
        <w:rPr>
          <w:snapToGrid w:val="0"/>
          <w:szCs w:val="28"/>
        </w:rPr>
      </w:pPr>
      <w:r w:rsidRPr="00924CF6">
        <w:rPr>
          <w:snapToGrid w:val="0"/>
          <w:szCs w:val="28"/>
        </w:rPr>
        <w:t xml:space="preserve">- федеральные налоги и сборы. Их перечень и ставки определяются налоговым законодательством РФ, а пропорции распределения в порядке бюджетного регулирования между бюджетами разных уровней бюджетной системы РФ утверждаются федеральным законом о федеральном бюджете на очередной финансовый год на срок не менее трех лет при условии возможного увеличения нормативов отчислений в бюджеты нижестоящего уровня на очередной финансовый год. Срок действия долговременных </w:t>
      </w:r>
      <w:r w:rsidRPr="00924CF6">
        <w:rPr>
          <w:snapToGrid w:val="0"/>
          <w:szCs w:val="28"/>
        </w:rPr>
        <w:lastRenderedPageBreak/>
        <w:t>нормативов может быть сокращен только в случае внесения изменений в налоговое законодательство РФ;</w:t>
      </w:r>
    </w:p>
    <w:p w:rsidR="003C707C" w:rsidRPr="00924CF6" w:rsidRDefault="003C707C" w:rsidP="003C707C">
      <w:pPr>
        <w:rPr>
          <w:snapToGrid w:val="0"/>
          <w:szCs w:val="28"/>
        </w:rPr>
      </w:pPr>
      <w:r w:rsidRPr="00924CF6">
        <w:rPr>
          <w:snapToGrid w:val="0"/>
          <w:szCs w:val="28"/>
        </w:rPr>
        <w:t>- таможенные пошлины, таможенные сборы и иные таможенные платежи;</w:t>
      </w:r>
    </w:p>
    <w:p w:rsidR="003C707C" w:rsidRPr="00924CF6" w:rsidRDefault="003C707C" w:rsidP="003C707C">
      <w:pPr>
        <w:rPr>
          <w:snapToGrid w:val="0"/>
          <w:szCs w:val="28"/>
        </w:rPr>
      </w:pPr>
      <w:r w:rsidRPr="00924CF6">
        <w:rPr>
          <w:snapToGrid w:val="0"/>
          <w:szCs w:val="28"/>
        </w:rPr>
        <w:t>- государственная пошлина в соответствии с законодательством Российской Федерации.</w:t>
      </w:r>
    </w:p>
    <w:p w:rsidR="0093247D" w:rsidRPr="00924CF6" w:rsidRDefault="0093247D" w:rsidP="0093247D">
      <w:pPr>
        <w:rPr>
          <w:snapToGrid w:val="0"/>
        </w:rPr>
      </w:pPr>
      <w:r w:rsidRPr="00924CF6">
        <w:rPr>
          <w:snapToGrid w:val="0"/>
        </w:rPr>
        <w:t xml:space="preserve">Согласно статьям 41-46 и 51 Бюджетного кодекса РФ, к </w:t>
      </w:r>
      <w:r w:rsidRPr="00924CF6">
        <w:rPr>
          <w:b/>
          <w:snapToGrid w:val="0"/>
        </w:rPr>
        <w:t xml:space="preserve">неналоговым </w:t>
      </w:r>
      <w:r w:rsidRPr="00924CF6">
        <w:rPr>
          <w:snapToGrid w:val="0"/>
        </w:rPr>
        <w:t>доходам федерального бюджета относятся:</w:t>
      </w:r>
    </w:p>
    <w:p w:rsidR="0093247D" w:rsidRPr="00924CF6" w:rsidRDefault="0093247D" w:rsidP="0093247D">
      <w:pPr>
        <w:rPr>
          <w:snapToGrid w:val="0"/>
        </w:rPr>
      </w:pPr>
      <w:r w:rsidRPr="00924CF6">
        <w:rPr>
          <w:snapToGrid w:val="0"/>
        </w:rPr>
        <w:t>доходы от использования имущества, находящегося в государственной собственности;</w:t>
      </w:r>
    </w:p>
    <w:p w:rsidR="0093247D" w:rsidRPr="00924CF6" w:rsidRDefault="0093247D" w:rsidP="0093247D">
      <w:pPr>
        <w:rPr>
          <w:snapToGrid w:val="0"/>
        </w:rPr>
      </w:pPr>
      <w:r w:rsidRPr="00924CF6">
        <w:rPr>
          <w:snapToGrid w:val="0"/>
        </w:rPr>
        <w:t>доходы от платных услуг, оказываемых бюджетными учреждениями, находящимися в ведении соответственно органов государственной власти Российской Федерации;</w:t>
      </w:r>
    </w:p>
    <w:p w:rsidR="0093247D" w:rsidRPr="00924CF6" w:rsidRDefault="0093247D" w:rsidP="0093247D">
      <w:pPr>
        <w:rPr>
          <w:snapToGrid w:val="0"/>
        </w:rPr>
      </w:pPr>
      <w:r w:rsidRPr="00924CF6">
        <w:rPr>
          <w:snapToGrid w:val="0"/>
        </w:rPr>
        <w:t>часть прибыли унитарных предприятий, созданных Российской Федерацией, остающаяся после уплаты налогов и иных обязательных платежей,</w:t>
      </w:r>
    </w:p>
    <w:p w:rsidR="0093247D" w:rsidRPr="00924CF6" w:rsidRDefault="0093247D" w:rsidP="0093247D">
      <w:pPr>
        <w:rPr>
          <w:snapToGrid w:val="0"/>
        </w:rPr>
      </w:pPr>
      <w:r w:rsidRPr="00924CF6">
        <w:rPr>
          <w:snapToGrid w:val="0"/>
        </w:rPr>
        <w:t>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Российской Федерации и иные суммы принудительного изъятия;</w:t>
      </w:r>
    </w:p>
    <w:p w:rsidR="0093247D" w:rsidRPr="00924CF6" w:rsidRDefault="0093247D" w:rsidP="0093247D">
      <w:pPr>
        <w:rPr>
          <w:snapToGrid w:val="0"/>
        </w:rPr>
      </w:pPr>
      <w:r w:rsidRPr="00924CF6">
        <w:rPr>
          <w:snapToGrid w:val="0"/>
        </w:rPr>
        <w:t>доходы в виде финансовой помощи, полученной от бюджетов других уровней бюджетной системы Российской Федерации, за исключением бюджетных ссуд и бюджетных кредитов;</w:t>
      </w:r>
    </w:p>
    <w:p w:rsidR="0093247D" w:rsidRPr="00924CF6" w:rsidRDefault="0093247D" w:rsidP="0093247D">
      <w:pPr>
        <w:rPr>
          <w:snapToGrid w:val="0"/>
        </w:rPr>
      </w:pPr>
      <w:r w:rsidRPr="00924CF6">
        <w:rPr>
          <w:snapToGrid w:val="0"/>
        </w:rPr>
        <w:t>иные неналоговые доходы.</w:t>
      </w:r>
    </w:p>
    <w:p w:rsidR="0093247D" w:rsidRPr="00924CF6" w:rsidRDefault="0093247D" w:rsidP="0093247D">
      <w:pPr>
        <w:rPr>
          <w:snapToGrid w:val="0"/>
        </w:rPr>
      </w:pPr>
      <w:r w:rsidRPr="00924CF6">
        <w:rPr>
          <w:snapToGrid w:val="0"/>
        </w:rPr>
        <w:t>В соответствии с пунктом 2 статьи 51 Кодекса, в доходах федерального бюджета, помимо перечисленных выше, учитываются также прибыль Банка России и доходы от внешнеэкономической деятельности.</w:t>
      </w:r>
    </w:p>
    <w:p w:rsidR="0093247D" w:rsidRPr="00924CF6" w:rsidRDefault="0093247D" w:rsidP="0093247D">
      <w:pPr>
        <w:rPr>
          <w:snapToGrid w:val="0"/>
        </w:rPr>
      </w:pPr>
      <w:r w:rsidRPr="00924CF6">
        <w:rPr>
          <w:snapToGrid w:val="0"/>
        </w:rPr>
        <w:t xml:space="preserve">На основании статьи 54 Бюджетного кодекса РФ, в доходах федерального бюджета обособленно учитываются доходы федеральных </w:t>
      </w:r>
      <w:r w:rsidRPr="00924CF6">
        <w:rPr>
          <w:snapToGrid w:val="0"/>
        </w:rPr>
        <w:lastRenderedPageBreak/>
        <w:t>целевых бюджетных фондов. Они учитываются по ставкам, установленным налоговым законодательством РФ, и распределяются между федеральными целевыми бюджетными фондами и территориальными целевыми бюджетными фондами по нормативам, определенным федеральным законом о федеральном бюджете на очередной финансовый год.</w:t>
      </w:r>
    </w:p>
    <w:p w:rsidR="0093247D" w:rsidRPr="00924CF6" w:rsidRDefault="0093247D" w:rsidP="0093247D">
      <w:pPr>
        <w:rPr>
          <w:snapToGrid w:val="0"/>
        </w:rPr>
      </w:pPr>
      <w:r w:rsidRPr="00924CF6">
        <w:rPr>
          <w:snapToGrid w:val="0"/>
        </w:rPr>
        <w:t>Доходы бюджета классифицируются не только по методам взимания и формам их мобилизации – на налоговые и неналоговые, но и по другим признакам, в частности[5]:</w:t>
      </w:r>
    </w:p>
    <w:p w:rsidR="0093247D" w:rsidRPr="00924CF6" w:rsidRDefault="0093247D" w:rsidP="0093247D">
      <w:pPr>
        <w:rPr>
          <w:snapToGrid w:val="0"/>
        </w:rPr>
      </w:pPr>
      <w:r w:rsidRPr="00924CF6">
        <w:rPr>
          <w:snapToGrid w:val="0"/>
        </w:rPr>
        <w:t xml:space="preserve">в зависимости от механизма поступления доходов в бюджет, они подразделяются на собственные и регулирующие. </w:t>
      </w:r>
    </w:p>
    <w:p w:rsidR="0093247D" w:rsidRPr="00924CF6" w:rsidRDefault="0093247D" w:rsidP="0093247D">
      <w:pPr>
        <w:rPr>
          <w:snapToGrid w:val="0"/>
        </w:rPr>
      </w:pPr>
      <w:r w:rsidRPr="00924CF6">
        <w:rPr>
          <w:snapToGrid w:val="0"/>
        </w:rPr>
        <w:t>по социально – экономическому признаку выделяют доходы, поступающие от юридических лиц и от физических лиц;</w:t>
      </w:r>
    </w:p>
    <w:p w:rsidR="0093247D" w:rsidRPr="00924CF6" w:rsidRDefault="0093247D" w:rsidP="0093247D">
      <w:pPr>
        <w:rPr>
          <w:snapToGrid w:val="0"/>
        </w:rPr>
      </w:pPr>
      <w:r w:rsidRPr="00924CF6">
        <w:rPr>
          <w:snapToGrid w:val="0"/>
        </w:rPr>
        <w:t>в зависимости от конкретных объектов обложения – взимаемые с имущества или дохода;</w:t>
      </w:r>
    </w:p>
    <w:p w:rsidR="0093247D" w:rsidRPr="00924CF6" w:rsidRDefault="0093247D" w:rsidP="0093247D">
      <w:pPr>
        <w:rPr>
          <w:snapToGrid w:val="0"/>
        </w:rPr>
      </w:pPr>
      <w:r w:rsidRPr="00924CF6">
        <w:rPr>
          <w:snapToGrid w:val="0"/>
        </w:rPr>
        <w:t>по признаку источников уплаты – налоги, уплачиваемые из выручки, из прибыли, и налоги, относимые на себестоимость продукции (работ, услуг);</w:t>
      </w:r>
    </w:p>
    <w:p w:rsidR="0093247D" w:rsidRPr="00924CF6" w:rsidRDefault="0093247D" w:rsidP="0093247D">
      <w:pPr>
        <w:rPr>
          <w:snapToGrid w:val="0"/>
        </w:rPr>
      </w:pPr>
      <w:r w:rsidRPr="00924CF6">
        <w:rPr>
          <w:snapToGrid w:val="0"/>
        </w:rPr>
        <w:t>по конкретным видам прямых и косвенных налогов (налог на прибыль предприятий и организаций, подоходный налог с физических лиц и др.; акцизы, НДС, таможенные пошлины и т.д.).</w:t>
      </w:r>
    </w:p>
    <w:p w:rsidR="0093247D" w:rsidRPr="00924CF6" w:rsidRDefault="0093247D" w:rsidP="003C707C">
      <w:pPr>
        <w:rPr>
          <w:snapToGrid w:val="0"/>
        </w:rPr>
      </w:pPr>
      <w:r w:rsidRPr="00924CF6">
        <w:rPr>
          <w:snapToGrid w:val="0"/>
        </w:rPr>
        <w:t xml:space="preserve">Исполнение федерального бюджета по доходам является важной частью процесса исполнения федерального бюджета, поскольку финансирование расходов осуществляется по мере поступления доходов в бюджет. Следовательно, если доходы не поступают в полном объеме, то и расходы не могут быть профинансированы в соответствии с утвержденными бюджетными назначениями. </w:t>
      </w:r>
    </w:p>
    <w:p w:rsidR="003C707C" w:rsidRPr="003C707C" w:rsidRDefault="003C707C" w:rsidP="003C707C">
      <w:pPr>
        <w:rPr>
          <w:lang w:eastAsia="ru-RU"/>
        </w:rPr>
      </w:pPr>
      <w:r w:rsidRPr="003C707C">
        <w:rPr>
          <w:lang w:eastAsia="ru-RU"/>
        </w:rPr>
        <w:t xml:space="preserve">В доходах российского федерального бюджета основные налоговые поступления это косвенные налоги (налог на добавленную стоимость, акцизы, таможенные пошлины). Доля этих налоговых платежей составляет около 62% от всех налоговых доходов. Это также свидетельствует о недостаточно рациональной структуре доходных источников. Поскольку </w:t>
      </w:r>
      <w:r w:rsidRPr="003C707C">
        <w:rPr>
          <w:lang w:eastAsia="ru-RU"/>
        </w:rPr>
        <w:lastRenderedPageBreak/>
        <w:t>косвенное налогообложение по существу представляет собой надбавки к цене товара, которые полностью оплачивают конечные потребители, в конечном итоге, чрезмерное косвенное налогообложение сужает внутренний покупательный спрос и соответственно сокращает потенциальные возможности экономического развития страны.</w:t>
      </w:r>
    </w:p>
    <w:p w:rsidR="003C707C" w:rsidRPr="003C707C" w:rsidRDefault="003C707C" w:rsidP="003C707C">
      <w:pPr>
        <w:rPr>
          <w:lang w:eastAsia="ru-RU"/>
        </w:rPr>
      </w:pPr>
      <w:r w:rsidRPr="003C707C">
        <w:rPr>
          <w:lang w:eastAsia="ru-RU"/>
        </w:rPr>
        <w:t>Необходимо отметить, что ряд федеральных налогов являются регулирующими, т.е. часть из них направляется в бюджеты субъектов РФ и местные бюджеты. Полностью в федеральный бюджет поступают такие налоги, как, например, налог на добавленную стоимость на товары, ввозимые на территорию РФ; акцизы на нефть, природный газ, легковые автомобили, бензин автомобильный, спирт этиловый из всех видов сырья (за исключением пищевого); налоги на операции с ценными бумагами; таможенные пошлины, сборы и иные таможенные платежи, а также доходы от внешнеэкономической деятельности.</w:t>
      </w:r>
    </w:p>
    <w:p w:rsidR="003C707C" w:rsidRPr="003C707C" w:rsidRDefault="003C707C" w:rsidP="003C707C">
      <w:pPr>
        <w:rPr>
          <w:lang w:eastAsia="ru-RU"/>
        </w:rPr>
      </w:pPr>
      <w:r w:rsidRPr="003C707C">
        <w:rPr>
          <w:lang w:eastAsia="ru-RU"/>
        </w:rPr>
        <w:t>Единый социальный налог (ЕСН) в настоящее время частично поступает в федеральный бюджет РФ, после чего эти средства передаются далее Пенсионному Фонду. Ввиду его особого назначения ЕСН записан в бюджете отдельной строкой и не включен в раздел налоговых доходов бюджета, однако, он входит в сумму доходов консолидированного бюджета РФ</w:t>
      </w:r>
      <w:r w:rsidR="000C53EE">
        <w:rPr>
          <w:lang w:eastAsia="ru-RU"/>
        </w:rPr>
        <w:t>.</w:t>
      </w:r>
    </w:p>
    <w:p w:rsidR="00577040" w:rsidRDefault="00577040" w:rsidP="003C707C">
      <w:pPr>
        <w:rPr>
          <w:color w:val="000000"/>
          <w:sz w:val="22"/>
        </w:rPr>
      </w:pPr>
    </w:p>
    <w:p w:rsidR="00AE1C52" w:rsidRDefault="00AE1C52" w:rsidP="00577040">
      <w:pPr>
        <w:pStyle w:val="1"/>
        <w:ind w:firstLine="0"/>
      </w:pPr>
      <w:r>
        <w:rPr>
          <w:color w:val="000000"/>
          <w:sz w:val="22"/>
        </w:rPr>
        <w:br w:type="page"/>
      </w:r>
      <w:bookmarkStart w:id="2" w:name="_Toc445916602"/>
      <w:r>
        <w:lastRenderedPageBreak/>
        <w:t xml:space="preserve">2. </w:t>
      </w:r>
      <w:r w:rsidR="00577040" w:rsidRPr="00577040">
        <w:rPr>
          <w:iCs/>
        </w:rPr>
        <w:t>Тестовое задание</w:t>
      </w:r>
      <w:r w:rsidR="007D3927">
        <w:rPr>
          <w:rFonts w:eastAsia="TimesNewRomanPSMT"/>
        </w:rPr>
        <w:t>.</w:t>
      </w:r>
      <w:bookmarkEnd w:id="2"/>
    </w:p>
    <w:p w:rsidR="00B57F44" w:rsidRPr="003478FB" w:rsidRDefault="00B57F44" w:rsidP="00B57F44">
      <w:r w:rsidRPr="003478FB">
        <w:t>1. Какие поступления преобладают в доходах федерального бюджета РФ?</w:t>
      </w:r>
    </w:p>
    <w:p w:rsidR="00B57F44" w:rsidRPr="003478FB" w:rsidRDefault="00B57F44" w:rsidP="00B57F44">
      <w:pPr>
        <w:rPr>
          <w:u w:val="single"/>
        </w:rPr>
      </w:pPr>
      <w:r w:rsidRPr="002C3824">
        <w:t>а) налоговые доходы</w:t>
      </w:r>
      <w:r w:rsidRPr="003478FB">
        <w:rPr>
          <w:u w:val="single"/>
        </w:rPr>
        <w:t>:</w:t>
      </w:r>
    </w:p>
    <w:p w:rsidR="00B57F44" w:rsidRPr="003478FB" w:rsidRDefault="00B57F44" w:rsidP="00B57F44">
      <w:r w:rsidRPr="003478FB">
        <w:t>б) неналоговые доходы;</w:t>
      </w:r>
    </w:p>
    <w:p w:rsidR="00B57F44" w:rsidRDefault="00B57F44" w:rsidP="00B57F44">
      <w:r w:rsidRPr="003478FB">
        <w:t>в) кредиты международных финансовых организаций.</w:t>
      </w:r>
    </w:p>
    <w:p w:rsidR="00421D9E" w:rsidRPr="00421D9E" w:rsidRDefault="00421D9E" w:rsidP="00B57F44">
      <w:r>
        <w:t xml:space="preserve">Ответ: </w:t>
      </w:r>
      <w:r w:rsidRPr="002C3824">
        <w:t>а) налоговые доходы</w:t>
      </w:r>
    </w:p>
    <w:p w:rsidR="00B57F44" w:rsidRPr="003478FB" w:rsidRDefault="00B57F44" w:rsidP="00B57F44">
      <w:r w:rsidRPr="003478FB">
        <w:t>2. Какие из перечисленных доходов бюджета относятся к неналоговым доходам?</w:t>
      </w:r>
    </w:p>
    <w:p w:rsidR="00B57F44" w:rsidRPr="003478FB" w:rsidRDefault="00B57F44" w:rsidP="00B57F44">
      <w:pPr>
        <w:rPr>
          <w:u w:val="single"/>
        </w:rPr>
      </w:pPr>
      <w:r w:rsidRPr="002C3824">
        <w:t>а) доходы от сдачи в аренду государственного имущества</w:t>
      </w:r>
      <w:r w:rsidRPr="003478FB">
        <w:rPr>
          <w:u w:val="single"/>
        </w:rPr>
        <w:t>;</w:t>
      </w:r>
    </w:p>
    <w:p w:rsidR="00B57F44" w:rsidRPr="003478FB" w:rsidRDefault="00B57F44" w:rsidP="00B57F44">
      <w:r w:rsidRPr="003478FB">
        <w:t>б) платежи за пользование природными ресурсами;</w:t>
      </w:r>
    </w:p>
    <w:p w:rsidR="00B57F44" w:rsidRDefault="00B57F44" w:rsidP="00B57F44">
      <w:r w:rsidRPr="003478FB">
        <w:t>в) государственная пошлина.</w:t>
      </w:r>
    </w:p>
    <w:p w:rsidR="00421D9E" w:rsidRDefault="00421D9E" w:rsidP="00B57F44">
      <w:r>
        <w:t xml:space="preserve">Ответ: </w:t>
      </w:r>
      <w:r w:rsidRPr="002C3824">
        <w:t>а) доходы от сдачи в аренду государственного имущества</w:t>
      </w:r>
    </w:p>
    <w:p w:rsidR="00421D9E" w:rsidRDefault="00421D9E" w:rsidP="00421D9E">
      <w:r>
        <w:t>В соответствии с требованиями ст. 41 Бюджетного кодекса РФ (БК РФ) к неналоговым доходам бюджета относятся:</w:t>
      </w:r>
    </w:p>
    <w:p w:rsidR="00421D9E" w:rsidRDefault="00421D9E" w:rsidP="00421D9E">
      <w:r>
        <w:t>- доходы от использования имущества, находящегося в государственной или муниципальной собственности, после уплаты налогов и сборов, предусмотренных законодательством о налогах и сборах;</w:t>
      </w:r>
    </w:p>
    <w:p w:rsidR="00B57F44" w:rsidRPr="003478FB" w:rsidRDefault="00B57F44" w:rsidP="00B57F44">
      <w:r w:rsidRPr="003478FB">
        <w:t>3. Входит ли в функции Счетной Палаты анализ состояния  государственного долга РФ?</w:t>
      </w:r>
    </w:p>
    <w:p w:rsidR="00B57F44" w:rsidRPr="002C3824" w:rsidRDefault="00B57F44" w:rsidP="00B57F44">
      <w:r w:rsidRPr="002C3824">
        <w:t>а) да;</w:t>
      </w:r>
    </w:p>
    <w:p w:rsidR="00B57F44" w:rsidRDefault="00B57F44" w:rsidP="00B57F44">
      <w:r w:rsidRPr="003478FB">
        <w:t>б) нет.</w:t>
      </w:r>
    </w:p>
    <w:p w:rsidR="00B57F44" w:rsidRDefault="00B57F44" w:rsidP="00B57F44">
      <w:r>
        <w:t>Ответ: а) да.</w:t>
      </w:r>
    </w:p>
    <w:p w:rsidR="00C07E17" w:rsidRPr="006116D3" w:rsidRDefault="00C07E17" w:rsidP="00C07E17">
      <w:r>
        <w:t>Счетн</w:t>
      </w:r>
      <w:r w:rsidR="006116D3">
        <w:t>ая палата проводит</w:t>
      </w:r>
      <w:r>
        <w:t xml:space="preserve"> экспертизу </w:t>
      </w:r>
      <w:r w:rsidR="006116D3">
        <w:t xml:space="preserve">и даст заключения: </w:t>
      </w:r>
      <w:r>
        <w:t>по про</w:t>
      </w:r>
      <w:r w:rsidR="006116D3">
        <w:t xml:space="preserve">екту федерального бюджета, </w:t>
      </w:r>
      <w:r>
        <w:t>обосно</w:t>
      </w:r>
      <w:r w:rsidR="006116D3">
        <w:t xml:space="preserve">ванности его доходных и </w:t>
      </w:r>
      <w:r>
        <w:t>рас</w:t>
      </w:r>
      <w:r w:rsidR="006116D3">
        <w:t xml:space="preserve">ходных статей, размерам государственного внутреннего и </w:t>
      </w:r>
      <w:r>
        <w:t xml:space="preserve">внешнего </w:t>
      </w:r>
      <w:r w:rsidR="006116D3">
        <w:t>долга и дефицита; по вопросам бюджетно-финансовой</w:t>
      </w:r>
      <w:r>
        <w:t xml:space="preserve"> п</w:t>
      </w:r>
      <w:r w:rsidR="006116D3">
        <w:t>олитики</w:t>
      </w:r>
      <w:r>
        <w:t xml:space="preserve"> и </w:t>
      </w:r>
      <w:r w:rsidR="006116D3">
        <w:t>совершенствования бюджетного процесса в Российской</w:t>
      </w:r>
      <w:r>
        <w:t xml:space="preserve"> Федерации; </w:t>
      </w:r>
      <w:r w:rsidR="006116D3">
        <w:t xml:space="preserve">по проектам законодательных и </w:t>
      </w:r>
      <w:r>
        <w:t>др</w:t>
      </w:r>
      <w:r w:rsidR="006116D3">
        <w:t xml:space="preserve">угих нормативных правовых актов по </w:t>
      </w:r>
      <w:r>
        <w:t>бюджетно-</w:t>
      </w:r>
      <w:r w:rsidR="006116D3">
        <w:lastRenderedPageBreak/>
        <w:t xml:space="preserve">финансовым </w:t>
      </w:r>
      <w:r>
        <w:t>во</w:t>
      </w:r>
      <w:r w:rsidR="006116D3">
        <w:t xml:space="preserve">просам, выносимым на рассмотрение Государственной Думы; по </w:t>
      </w:r>
      <w:r>
        <w:t xml:space="preserve">проектам </w:t>
      </w:r>
      <w:r w:rsidR="006116D3">
        <w:t xml:space="preserve">международных договоров Российской Федерации, влекущим правовые последствия </w:t>
      </w:r>
      <w:r>
        <w:t xml:space="preserve">для </w:t>
      </w:r>
      <w:r w:rsidR="006116D3">
        <w:t xml:space="preserve">федерального бюджета; по проектам программ, на </w:t>
      </w:r>
      <w:r>
        <w:t xml:space="preserve">финансирование </w:t>
      </w:r>
      <w:r w:rsidR="006116D3">
        <w:t>которых используются</w:t>
      </w:r>
      <w:r>
        <w:t xml:space="preserve"> средства федерального бюджета.</w:t>
      </w:r>
      <w:r w:rsidR="006116D3" w:rsidRPr="006116D3">
        <w:t>[</w:t>
      </w:r>
      <w:r w:rsidR="006116D3">
        <w:fldChar w:fldCharType="begin"/>
      </w:r>
      <w:r w:rsidR="006116D3">
        <w:instrText xml:space="preserve"> REF _Ref445828177 \r \h </w:instrText>
      </w:r>
      <w:r w:rsidR="006116D3">
        <w:fldChar w:fldCharType="separate"/>
      </w:r>
      <w:r w:rsidR="003F2149">
        <w:t>3</w:t>
      </w:r>
      <w:r w:rsidR="006116D3">
        <w:fldChar w:fldCharType="end"/>
      </w:r>
      <w:r w:rsidR="006116D3">
        <w:t>, с.460</w:t>
      </w:r>
      <w:r w:rsidR="006116D3" w:rsidRPr="006116D3">
        <w:t>]</w:t>
      </w:r>
    </w:p>
    <w:p w:rsidR="00B57F44" w:rsidRPr="003478FB" w:rsidRDefault="00B57F44" w:rsidP="00B57F44">
      <w:r w:rsidRPr="003478FB">
        <w:t>4. Укажите основное направление расходов региональных бюджетов:</w:t>
      </w:r>
    </w:p>
    <w:p w:rsidR="00B57F44" w:rsidRPr="003478FB" w:rsidRDefault="00B57F44" w:rsidP="00B57F44">
      <w:r w:rsidRPr="003478FB">
        <w:t>а) расходы на национальную оборону;</w:t>
      </w:r>
    </w:p>
    <w:p w:rsidR="00B57F44" w:rsidRPr="003478FB" w:rsidRDefault="00B57F44" w:rsidP="00B57F44">
      <w:pPr>
        <w:rPr>
          <w:u w:val="single"/>
        </w:rPr>
      </w:pPr>
      <w:r w:rsidRPr="002C3824">
        <w:t>б) расходы на здравоохранение и образование</w:t>
      </w:r>
      <w:r w:rsidRPr="003478FB">
        <w:rPr>
          <w:u w:val="single"/>
        </w:rPr>
        <w:t>;</w:t>
      </w:r>
    </w:p>
    <w:p w:rsidR="00B57F44" w:rsidRDefault="00B57F44" w:rsidP="00B57F44">
      <w:r w:rsidRPr="003478FB">
        <w:t>в) расходы на правоохранительную деятельность.</w:t>
      </w:r>
    </w:p>
    <w:p w:rsidR="00421D9E" w:rsidRPr="003478FB" w:rsidRDefault="00421D9E" w:rsidP="00B57F44">
      <w:r>
        <w:t xml:space="preserve">Ответ: </w:t>
      </w:r>
      <w:r w:rsidRPr="002C3824">
        <w:t>б) расходы на здравоохранение и образование</w:t>
      </w:r>
    </w:p>
    <w:p w:rsidR="00B57F44" w:rsidRPr="003478FB" w:rsidRDefault="00B57F44" w:rsidP="00B57F44">
      <w:r w:rsidRPr="003478FB">
        <w:t>5. Имеют ли право региональные органы власти с целью финансирования бюджетного дефицита вводить налоги и сборы, не предусмотренные налоговым законодательством?</w:t>
      </w:r>
    </w:p>
    <w:p w:rsidR="00B57F44" w:rsidRPr="003478FB" w:rsidRDefault="00B57F44" w:rsidP="00B57F44">
      <w:r w:rsidRPr="003478FB">
        <w:t>а) да;</w:t>
      </w:r>
    </w:p>
    <w:p w:rsidR="00B57F44" w:rsidRPr="003478FB" w:rsidRDefault="00B57F44" w:rsidP="00B57F44">
      <w:r w:rsidRPr="003478FB">
        <w:t>б) нет.</w:t>
      </w:r>
    </w:p>
    <w:p w:rsidR="00577040" w:rsidRDefault="00421D9E" w:rsidP="0049761E">
      <w:r>
        <w:t xml:space="preserve">Ответ: </w:t>
      </w:r>
      <w:r w:rsidRPr="003478FB">
        <w:t>б) нет</w:t>
      </w:r>
    </w:p>
    <w:p w:rsidR="00BA09CB" w:rsidRPr="003429B5" w:rsidRDefault="00BA09CB" w:rsidP="00BA09CB">
      <w:r>
        <w:t>Региональные налоги и сборы устанавливаются Налоговым кодексом РФ, а законами субъектов Федерации — только вводятся в действие и прекращают действовать на территориях субъектов Федерации.</w:t>
      </w:r>
      <w:r w:rsidR="003429B5" w:rsidRPr="003429B5">
        <w:t>[</w:t>
      </w:r>
      <w:r w:rsidR="003429B5">
        <w:fldChar w:fldCharType="begin"/>
      </w:r>
      <w:r w:rsidR="003429B5">
        <w:instrText xml:space="preserve"> REF _Ref445826340 \r \h </w:instrText>
      </w:r>
      <w:r w:rsidR="003429B5">
        <w:fldChar w:fldCharType="separate"/>
      </w:r>
      <w:r w:rsidR="003F2149">
        <w:t>5</w:t>
      </w:r>
      <w:r w:rsidR="003429B5">
        <w:fldChar w:fldCharType="end"/>
      </w:r>
      <w:r w:rsidR="003429B5">
        <w:t>, с.97</w:t>
      </w:r>
      <w:r w:rsidR="003429B5" w:rsidRPr="003429B5">
        <w:t>]</w:t>
      </w:r>
    </w:p>
    <w:p w:rsidR="00AE1C52" w:rsidRPr="0049761E" w:rsidRDefault="00317D19" w:rsidP="0049761E">
      <w:pPr>
        <w:rPr>
          <w:rStyle w:val="10"/>
          <w:rFonts w:eastAsia="Calibri"/>
        </w:rPr>
      </w:pPr>
      <w:r>
        <w:rPr>
          <w:lang w:eastAsia="ru-RU"/>
        </w:rPr>
        <w:br w:type="page"/>
      </w:r>
      <w:bookmarkStart w:id="3" w:name="_Toc445916603"/>
      <w:r w:rsidR="00AE1C52" w:rsidRPr="0049761E">
        <w:rPr>
          <w:rStyle w:val="10"/>
          <w:rFonts w:eastAsia="Calibri"/>
        </w:rPr>
        <w:lastRenderedPageBreak/>
        <w:t xml:space="preserve">3. </w:t>
      </w:r>
      <w:r w:rsidR="00577040" w:rsidRPr="00577040">
        <w:rPr>
          <w:rStyle w:val="10"/>
          <w:rFonts w:eastAsia="Calibri"/>
        </w:rPr>
        <w:t>Задача</w:t>
      </w:r>
      <w:bookmarkEnd w:id="3"/>
    </w:p>
    <w:p w:rsidR="0086217B" w:rsidRDefault="0086217B" w:rsidP="00CC2B82">
      <w:r>
        <w:t xml:space="preserve">Доходы бюджета субъекта РФ – 63 485 </w:t>
      </w:r>
      <w:r w:rsidRPr="003478FB">
        <w:t>100 тыс. руб., в т.ч. безвозмездные п</w:t>
      </w:r>
      <w:r>
        <w:t xml:space="preserve">оступления - 7,5%; расходы – 65 795 </w:t>
      </w:r>
      <w:r w:rsidRPr="003478FB">
        <w:t xml:space="preserve">890 тыс. руб., в том числе расходы, финансируемые за счет субвенций </w:t>
      </w:r>
      <w:r>
        <w:t>–</w:t>
      </w:r>
      <w:r w:rsidRPr="003478FB">
        <w:t xml:space="preserve"> 4</w:t>
      </w:r>
      <w:r>
        <w:t xml:space="preserve"> 530 </w:t>
      </w:r>
      <w:r w:rsidRPr="003478FB">
        <w:t>000 тыс. руб. Определить соответствует ли размер дефицита требованиям бюджетного законодательства, а также предельный объем расходов на обслуживание государственного долга субъекта РФ и предельный размер резервных фондов органов исполнительной власти.</w:t>
      </w:r>
    </w:p>
    <w:p w:rsidR="009701CC" w:rsidRDefault="009701CC" w:rsidP="00CC2B82">
      <w:r>
        <w:t>Решение:</w:t>
      </w:r>
    </w:p>
    <w:p w:rsidR="00152B94" w:rsidRDefault="00152B94" w:rsidP="00CC2B82">
      <w:pPr>
        <w:pStyle w:val="a3"/>
        <w:numPr>
          <w:ilvl w:val="0"/>
          <w:numId w:val="18"/>
        </w:numPr>
        <w:ind w:left="0" w:firstLine="709"/>
      </w:pPr>
      <w:r>
        <w:t>Находим дефицит субъекта РФ:</w:t>
      </w:r>
    </w:p>
    <w:p w:rsidR="00901912" w:rsidRDefault="00CC2B82" w:rsidP="00CC2B82">
      <w:r>
        <w:t>С</w:t>
      </w:r>
      <w:r w:rsidR="00152B94">
        <w:t xml:space="preserve">огласно </w:t>
      </w:r>
      <w:r w:rsidR="00901912">
        <w:t>с. 92 п.4 БК РФ</w:t>
      </w:r>
    </w:p>
    <w:p w:rsidR="00901912" w:rsidRDefault="00901912" w:rsidP="00CC2B82">
      <w:r>
        <w:t>Размер дефицита бюджета субъекта Российской Федерации, утвержденный законом субъекта Российской Федерации о бюджете на соответствующий год, не может превышать 15 процентов объема доходов бюджета субъекта Российской Федерации без учета финансовой помощи из федерального бюджета. В случае утверждения законом субъекта Российской Федерации о бюджете на соответствующий год размера поступлений от продажи имущества предельный размер дефицита бюджета субъекта Российской Федерации может превышать ограничение, установленное частью первой настоящего пункта, но не более чем на величину поступлений от продажи имущества.</w:t>
      </w:r>
      <w:r w:rsidRPr="00901912">
        <w:t>[</w:t>
      </w:r>
      <w:r>
        <w:fldChar w:fldCharType="begin"/>
      </w:r>
      <w:r>
        <w:instrText xml:space="preserve"> REF _Ref444187526 \r \h </w:instrText>
      </w:r>
      <w:r>
        <w:fldChar w:fldCharType="separate"/>
      </w:r>
      <w:r>
        <w:t>1</w:t>
      </w:r>
      <w:r>
        <w:fldChar w:fldCharType="end"/>
      </w:r>
      <w:r w:rsidRPr="00901912">
        <w:t>]</w:t>
      </w:r>
    </w:p>
    <w:p w:rsidR="009701CC" w:rsidRDefault="009701CC" w:rsidP="00CC2B82">
      <w:r>
        <w:t>Ищем собственные доходы 63485100</w:t>
      </w:r>
      <w:r w:rsidR="00E542C2">
        <w:t xml:space="preserve"> </w:t>
      </w:r>
      <w:r>
        <w:t>-</w:t>
      </w:r>
      <w:r w:rsidR="00E542C2">
        <w:t xml:space="preserve"> </w:t>
      </w:r>
      <w:r>
        <w:t>7,5%</w:t>
      </w:r>
      <w:r w:rsidR="00E542C2">
        <w:t xml:space="preserve"> </w:t>
      </w:r>
      <w:r>
        <w:t>=</w:t>
      </w:r>
      <w:r w:rsidR="00E542C2">
        <w:t xml:space="preserve"> </w:t>
      </w:r>
      <w:r>
        <w:t>63485100</w:t>
      </w:r>
      <w:r w:rsidR="00E542C2">
        <w:t xml:space="preserve"> – </w:t>
      </w:r>
      <w:r>
        <w:t>4761383</w:t>
      </w:r>
      <w:r w:rsidR="00E542C2">
        <w:t xml:space="preserve"> </w:t>
      </w:r>
      <w:r>
        <w:t>=</w:t>
      </w:r>
      <w:r w:rsidR="00E542C2">
        <w:t xml:space="preserve"> </w:t>
      </w:r>
      <w:r>
        <w:t>58723717 тыс. руб.</w:t>
      </w:r>
    </w:p>
    <w:p w:rsidR="009701CC" w:rsidRDefault="009701CC" w:rsidP="00CC2B82">
      <w:r>
        <w:t xml:space="preserve">Теперь находим расходы без субвенций </w:t>
      </w:r>
      <m:oMath>
        <m:r>
          <m:rPr>
            <m:sty m:val="p"/>
          </m:rPr>
          <w:rPr>
            <w:rFonts w:ascii="Cambria Math" w:hAnsi="Cambria Math"/>
          </w:rPr>
          <m:t>65795890-4530000=61265890</m:t>
        </m:r>
      </m:oMath>
    </w:p>
    <w:p w:rsidR="009701CC" w:rsidRPr="00901912" w:rsidRDefault="009701CC" w:rsidP="00CC2B82">
      <w:r>
        <w:t xml:space="preserve">Находим дефицит бюджета </w:t>
      </w:r>
      <w:r w:rsidR="00E542C2">
        <w:t xml:space="preserve">собственные доходы делим на расходы без субвенций </w:t>
      </w:r>
      <m:oMath>
        <m:r>
          <m:rPr>
            <m:sty m:val="p"/>
          </m:rPr>
          <w:rPr>
            <w:rFonts w:ascii="Cambria Math" w:hAnsi="Cambria Math"/>
          </w:rPr>
          <m:t>ДЕФт=</m:t>
        </m:r>
        <m:f>
          <m:fPr>
            <m:ctrlPr>
              <w:rPr>
                <w:rFonts w:ascii="Cambria Math" w:eastAsia="Times New Roman" w:hAnsi="Cambria Math"/>
                <w:sz w:val="24"/>
                <w:szCs w:val="24"/>
                <w:lang w:eastAsia="ru-RU"/>
              </w:rPr>
            </m:ctrlPr>
          </m:fPr>
          <m:num>
            <m:r>
              <m:rPr>
                <m:sty m:val="p"/>
              </m:rPr>
              <w:rPr>
                <w:rFonts w:ascii="Cambria Math" w:hAnsi="Cambria Math"/>
              </w:rPr>
              <m:t>Дс</m:t>
            </m:r>
          </m:num>
          <m:den>
            <m:r>
              <m:rPr>
                <m:sty m:val="p"/>
              </m:rPr>
              <w:rPr>
                <w:rFonts w:ascii="Cambria Math" w:hAnsi="Cambria Math"/>
              </w:rPr>
              <m:t>Рт</m:t>
            </m:r>
          </m:den>
        </m:f>
        <m:r>
          <m:rPr>
            <m:sty m:val="p"/>
          </m:rPr>
          <w:rPr>
            <w:rFonts w:ascii="Cambria Math" w:hAnsi="Cambria Math"/>
          </w:rPr>
          <m:t>*100-100</m:t>
        </m:r>
      </m:oMath>
    </w:p>
    <w:p w:rsidR="00901912" w:rsidRDefault="00901912" w:rsidP="00CC2B82">
      <m:oMath>
        <m:r>
          <w:rPr>
            <w:rFonts w:ascii="Cambria Math" w:hAnsi="Cambria Math"/>
          </w:rPr>
          <m:t>ДЕФт=</m:t>
        </m:r>
        <m:f>
          <m:fPr>
            <m:ctrlPr>
              <w:rPr>
                <w:rFonts w:ascii="Cambria Math" w:hAnsi="Cambria Math"/>
                <w:i/>
              </w:rPr>
            </m:ctrlPr>
          </m:fPr>
          <m:num>
            <m:r>
              <m:rPr>
                <m:sty m:val="p"/>
              </m:rPr>
              <w:rPr>
                <w:rFonts w:ascii="Cambria Math" w:hAnsi="Cambria Math"/>
              </w:rPr>
              <m:t>58723717</m:t>
            </m:r>
          </m:num>
          <m:den>
            <m:r>
              <m:rPr>
                <m:sty m:val="p"/>
              </m:rPr>
              <w:rPr>
                <w:rFonts w:ascii="Cambria Math" w:hAnsi="Cambria Math"/>
              </w:rPr>
              <m:t>61265890</m:t>
            </m:r>
          </m:den>
        </m:f>
        <m:r>
          <m:rPr>
            <m:sty m:val="p"/>
          </m:rPr>
          <w:rPr>
            <w:rFonts w:ascii="Cambria Math" w:hAnsi="Cambria Math"/>
          </w:rPr>
          <m:t>*100-100= -4,149410055089382</m:t>
        </m:r>
      </m:oMath>
      <w:r>
        <w:t xml:space="preserve"> </w:t>
      </w:r>
    </w:p>
    <w:p w:rsidR="00901912" w:rsidRDefault="00901912" w:rsidP="00CC2B82">
      <w:r>
        <w:lastRenderedPageBreak/>
        <w:t>Дефицит субъекта РФ равен 4,15% что не нарушает Бюджетного кодекса.</w:t>
      </w:r>
    </w:p>
    <w:p w:rsidR="00152B94" w:rsidRDefault="00152B94" w:rsidP="00CC2B82">
      <w:pPr>
        <w:pStyle w:val="a3"/>
        <w:numPr>
          <w:ilvl w:val="0"/>
          <w:numId w:val="18"/>
        </w:numPr>
        <w:ind w:left="0" w:firstLine="709"/>
      </w:pPr>
      <w:r>
        <w:t xml:space="preserve">Находим </w:t>
      </w:r>
      <w:r w:rsidRPr="003478FB">
        <w:t>предельный объем расходов на обслуживание государственного долга субъекта РФ</w:t>
      </w:r>
      <w:r>
        <w:t>:</w:t>
      </w:r>
    </w:p>
    <w:p w:rsidR="0086217B" w:rsidRDefault="0086217B" w:rsidP="00CC2B82">
      <w:r>
        <w:t xml:space="preserve">Согласно с </w:t>
      </w:r>
      <w:proofErr w:type="spellStart"/>
      <w:r>
        <w:t>с</w:t>
      </w:r>
      <w:proofErr w:type="spellEnd"/>
      <w:r>
        <w:t xml:space="preserve">. 111 БК РФ </w:t>
      </w:r>
    </w:p>
    <w:p w:rsidR="0086217B" w:rsidRDefault="0086217B" w:rsidP="00CC2B82">
      <w:r>
        <w:t xml:space="preserve">Предельный объем расходов на обслуживание государственного долга субъекта Российской Федерации или муниципального долга в очередном финансовом году (очередном финансовом году и плановом периоде), утвержденный законом (решением) о соответствующем бюджете, по данным отчета об исполнении соответствующего бюджета за отчетный финансовый год, не должен превышать 15 процентов объема расходов соответствующего бюджета, за исключением объема расходов, которые осуществляются за счет субвенций, </w:t>
      </w:r>
      <w:bookmarkStart w:id="4" w:name="a8a53"/>
      <w:bookmarkEnd w:id="4"/>
      <w:r>
        <w:t>предоставляемых из бюджетов бюджетной системы Российской Федерации.</w:t>
      </w:r>
      <w:r w:rsidR="00FD4BD4" w:rsidRPr="00FD4BD4">
        <w:t>[</w:t>
      </w:r>
      <w:r w:rsidR="009B1567">
        <w:fldChar w:fldCharType="begin"/>
      </w:r>
      <w:r w:rsidR="009B1567">
        <w:instrText xml:space="preserve"> REF _Ref444187526 \r \h  \* MERGEFORMAT </w:instrText>
      </w:r>
      <w:r w:rsidR="009B1567">
        <w:fldChar w:fldCharType="separate"/>
      </w:r>
      <w:r w:rsidR="003F2149">
        <w:t>1</w:t>
      </w:r>
      <w:r w:rsidR="009B1567">
        <w:fldChar w:fldCharType="end"/>
      </w:r>
      <w:r w:rsidR="00FD4BD4" w:rsidRPr="00FD4BD4">
        <w:t>]</w:t>
      </w:r>
    </w:p>
    <w:p w:rsidR="00901912" w:rsidRDefault="00152B94" w:rsidP="00CC2B82">
      <w:pPr>
        <w:pStyle w:val="a3"/>
        <w:ind w:left="0"/>
      </w:pPr>
      <w:r>
        <w:t>Находим расходы без субвенций.</w:t>
      </w:r>
    </w:p>
    <w:p w:rsidR="009701CC" w:rsidRDefault="00152B94" w:rsidP="00CC2B82">
      <w:r>
        <w:t xml:space="preserve">Теперь ищем </w:t>
      </w:r>
      <w:r w:rsidRPr="003478FB">
        <w:t>предельный объем расходов на обслуживание государственного долга субъекта РФ</w:t>
      </w:r>
      <w:r>
        <w:t xml:space="preserve"> </w:t>
      </w:r>
      <m:oMath>
        <m:r>
          <w:rPr>
            <w:rFonts w:ascii="Cambria Math" w:hAnsi="Cambria Math"/>
          </w:rPr>
          <m:t>Р-суб*15%=</m:t>
        </m:r>
        <m:d>
          <m:dPr>
            <m:ctrlPr>
              <w:rPr>
                <w:rFonts w:ascii="Cambria Math" w:hAnsi="Cambria Math"/>
                <w:i/>
              </w:rPr>
            </m:ctrlPr>
          </m:dPr>
          <m:e>
            <m:r>
              <m:rPr>
                <m:sty m:val="p"/>
              </m:rPr>
              <w:rPr>
                <w:rFonts w:ascii="Cambria Math" w:hAnsi="Cambria Math"/>
              </w:rPr>
              <m:t>65795890-4530000</m:t>
            </m:r>
            <m:ctrlPr>
              <w:rPr>
                <w:rFonts w:ascii="Cambria Math" w:hAnsi="Cambria Math"/>
              </w:rPr>
            </m:ctrlPr>
          </m:e>
        </m:d>
        <m:r>
          <m:rPr>
            <m:sty m:val="p"/>
          </m:rPr>
          <w:rPr>
            <w:rFonts w:ascii="Cambria Math" w:hAnsi="Cambria Math"/>
          </w:rPr>
          <m:t>*15%=61265890*15%=9189884</m:t>
        </m:r>
      </m:oMath>
      <w:r>
        <w:t xml:space="preserve"> тыс.руб.</w:t>
      </w:r>
    </w:p>
    <w:p w:rsidR="00152B94" w:rsidRDefault="00152B94" w:rsidP="00CC2B82">
      <w:pPr>
        <w:pStyle w:val="a3"/>
        <w:numPr>
          <w:ilvl w:val="0"/>
          <w:numId w:val="18"/>
        </w:numPr>
        <w:ind w:left="0" w:firstLine="709"/>
      </w:pPr>
      <w:r>
        <w:t xml:space="preserve">Находим </w:t>
      </w:r>
      <w:r w:rsidRPr="003478FB">
        <w:t>предельный размер резервных фондов органов исполнительной власти</w:t>
      </w:r>
      <w:r>
        <w:t>:</w:t>
      </w:r>
    </w:p>
    <w:p w:rsidR="00985B90" w:rsidRDefault="00152B94" w:rsidP="00CC2B82">
      <w:r>
        <w:t>Согласно с.</w:t>
      </w:r>
      <w:r w:rsidR="00985B90">
        <w:t xml:space="preserve"> 81</w:t>
      </w:r>
      <w:r>
        <w:t xml:space="preserve"> п.3 БК РФ</w:t>
      </w:r>
    </w:p>
    <w:p w:rsidR="00985B90" w:rsidRPr="00CC2B82" w:rsidRDefault="00985B90" w:rsidP="00CC2B82">
      <w:r>
        <w:t xml:space="preserve"> Размер резервных фондов исполнительных органов государственной власти (местных администраций) устанавливается законами (решениями) о соответствующих бюджетах и не может превышать 3 процента утвержденного указанными законами (решениями) общего объема расходов.</w:t>
      </w:r>
      <w:r w:rsidR="00CC2B82" w:rsidRPr="00CC2B82">
        <w:t>[</w:t>
      </w:r>
      <w:r w:rsidR="00CC2B82">
        <w:fldChar w:fldCharType="begin"/>
      </w:r>
      <w:r w:rsidR="00CC2B82">
        <w:instrText xml:space="preserve"> REF _Ref444187526 \r \h </w:instrText>
      </w:r>
      <w:r w:rsidR="00CC2B82">
        <w:fldChar w:fldCharType="separate"/>
      </w:r>
      <w:r w:rsidR="00CC2B82">
        <w:t>1</w:t>
      </w:r>
      <w:r w:rsidR="00CC2B82">
        <w:fldChar w:fldCharType="end"/>
      </w:r>
      <w:r w:rsidR="00CC2B82" w:rsidRPr="00CC2B82">
        <w:t>]</w:t>
      </w:r>
    </w:p>
    <w:p w:rsidR="009367C6" w:rsidRDefault="00CC2B82" w:rsidP="00CC2B82">
      <w:pPr>
        <w:rPr>
          <w:color w:val="000000"/>
        </w:rPr>
      </w:pPr>
      <w:r>
        <w:t>П</w:t>
      </w:r>
      <w:r w:rsidRPr="003478FB">
        <w:t>редельный размер резервных фондов органов исполнительной власти</w:t>
      </w:r>
      <w:r>
        <w:t xml:space="preserve"> находим расходы умножаем на 3% </w:t>
      </w:r>
      <m:oMath>
        <m:r>
          <m:rPr>
            <m:sty m:val="p"/>
          </m:rPr>
          <w:rPr>
            <w:rFonts w:ascii="Cambria Math" w:hAnsi="Cambria Math"/>
          </w:rPr>
          <m:t>65795890*3%=1973877</m:t>
        </m:r>
      </m:oMath>
      <w:r>
        <w:t xml:space="preserve"> тыс. руб.</w:t>
      </w:r>
      <w:r w:rsidR="00AE1C52">
        <w:br w:type="page"/>
      </w:r>
    </w:p>
    <w:p w:rsidR="00FA6672" w:rsidRPr="00FA6672" w:rsidRDefault="00943AE2" w:rsidP="00BE404C">
      <w:pPr>
        <w:pStyle w:val="1"/>
        <w:spacing w:before="0"/>
        <w:jc w:val="center"/>
        <w:rPr>
          <w:shd w:val="clear" w:color="auto" w:fill="FFFFFF"/>
        </w:rPr>
      </w:pPr>
      <w:bookmarkStart w:id="5" w:name="_Toc445916604"/>
      <w:r w:rsidRPr="00943AE2">
        <w:rPr>
          <w:shd w:val="clear" w:color="auto" w:fill="FFFFFF"/>
        </w:rPr>
        <w:lastRenderedPageBreak/>
        <w:t>Список использованной литературы</w:t>
      </w:r>
      <w:bookmarkEnd w:id="5"/>
    </w:p>
    <w:p w:rsidR="002C324B" w:rsidRPr="002C324B" w:rsidRDefault="002C324B" w:rsidP="00BE404C"/>
    <w:p w:rsidR="00B010D0" w:rsidRPr="006268B9" w:rsidRDefault="00B010D0" w:rsidP="002D743A">
      <w:pPr>
        <w:numPr>
          <w:ilvl w:val="0"/>
          <w:numId w:val="4"/>
        </w:numPr>
        <w:ind w:left="0" w:firstLine="709"/>
        <w:rPr>
          <w:szCs w:val="28"/>
        </w:rPr>
      </w:pPr>
      <w:bookmarkStart w:id="6" w:name="_Ref444187526"/>
      <w:bookmarkStart w:id="7" w:name="_Ref433130284"/>
      <w:r>
        <w:t>Бюджетный кодекс Российской Федерации от 31.07.1998 N 145-ФЗ (ред. от 15.02.2016)</w:t>
      </w:r>
      <w:bookmarkEnd w:id="6"/>
    </w:p>
    <w:p w:rsidR="006268B9" w:rsidRPr="006268B9" w:rsidRDefault="006268B9" w:rsidP="006268B9">
      <w:pPr>
        <w:numPr>
          <w:ilvl w:val="0"/>
          <w:numId w:val="4"/>
        </w:numPr>
        <w:ind w:left="0" w:firstLine="709"/>
        <w:rPr>
          <w:szCs w:val="28"/>
        </w:rPr>
      </w:pPr>
      <w:r w:rsidRPr="006268B9">
        <w:rPr>
          <w:szCs w:val="28"/>
        </w:rPr>
        <w:t>Александров И. М. Бюджетная система Российской Федерации: Учебник /</w:t>
      </w:r>
      <w:r>
        <w:rPr>
          <w:szCs w:val="28"/>
        </w:rPr>
        <w:t xml:space="preserve"> </w:t>
      </w:r>
      <w:r w:rsidRPr="006268B9">
        <w:rPr>
          <w:szCs w:val="28"/>
        </w:rPr>
        <w:t xml:space="preserve">И. М. Александров, О. В. Субботина. — 4-е изд., </w:t>
      </w:r>
      <w:proofErr w:type="spellStart"/>
      <w:r w:rsidRPr="006268B9">
        <w:rPr>
          <w:szCs w:val="28"/>
        </w:rPr>
        <w:t>перераб</w:t>
      </w:r>
      <w:proofErr w:type="spellEnd"/>
      <w:r w:rsidRPr="006268B9">
        <w:rPr>
          <w:szCs w:val="28"/>
        </w:rPr>
        <w:t>. и доп. — М.: Издательско-торговая корпорация «Даш-ков и К°», 2010. — 448 с.</w:t>
      </w:r>
    </w:p>
    <w:p w:rsidR="006116D3" w:rsidRDefault="006116D3" w:rsidP="006116D3">
      <w:pPr>
        <w:numPr>
          <w:ilvl w:val="0"/>
          <w:numId w:val="4"/>
        </w:numPr>
        <w:ind w:left="0" w:firstLine="709"/>
        <w:rPr>
          <w:szCs w:val="28"/>
        </w:rPr>
      </w:pPr>
      <w:bookmarkStart w:id="8" w:name="_Ref445828177"/>
      <w:r w:rsidRPr="006116D3">
        <w:rPr>
          <w:szCs w:val="28"/>
        </w:rPr>
        <w:t>Баби</w:t>
      </w:r>
      <w:r>
        <w:rPr>
          <w:szCs w:val="28"/>
        </w:rPr>
        <w:t xml:space="preserve">ч А.М., </w:t>
      </w:r>
      <w:r w:rsidRPr="006116D3">
        <w:rPr>
          <w:szCs w:val="28"/>
        </w:rPr>
        <w:t xml:space="preserve">Павлова Л.Н. Государственные и муниципальные финансы: Учебник </w:t>
      </w:r>
      <w:r>
        <w:rPr>
          <w:szCs w:val="28"/>
        </w:rPr>
        <w:t xml:space="preserve">для вузов. — </w:t>
      </w:r>
      <w:r w:rsidRPr="006116D3">
        <w:rPr>
          <w:szCs w:val="28"/>
        </w:rPr>
        <w:t xml:space="preserve">2-е </w:t>
      </w:r>
      <w:r>
        <w:rPr>
          <w:szCs w:val="28"/>
        </w:rPr>
        <w:t>н</w:t>
      </w:r>
      <w:r w:rsidRPr="006116D3">
        <w:rPr>
          <w:szCs w:val="28"/>
        </w:rPr>
        <w:t>и</w:t>
      </w:r>
      <w:r>
        <w:rPr>
          <w:szCs w:val="28"/>
        </w:rPr>
        <w:t xml:space="preserve"> .,  </w:t>
      </w:r>
      <w:proofErr w:type="spellStart"/>
      <w:r>
        <w:rPr>
          <w:szCs w:val="28"/>
        </w:rPr>
        <w:t>персраб</w:t>
      </w:r>
      <w:proofErr w:type="spellEnd"/>
      <w:r>
        <w:rPr>
          <w:szCs w:val="28"/>
        </w:rPr>
        <w:t>.  и  доп.  —  М.: ЮНИТИ-ДАНА, 2012 .-70</w:t>
      </w:r>
      <w:r w:rsidRPr="006116D3">
        <w:rPr>
          <w:szCs w:val="28"/>
        </w:rPr>
        <w:t>3 с.</w:t>
      </w:r>
      <w:bookmarkEnd w:id="8"/>
    </w:p>
    <w:p w:rsidR="006268B9" w:rsidRPr="006268B9" w:rsidRDefault="006268B9" w:rsidP="006268B9">
      <w:pPr>
        <w:numPr>
          <w:ilvl w:val="0"/>
          <w:numId w:val="4"/>
        </w:numPr>
        <w:ind w:left="0" w:firstLine="709"/>
        <w:rPr>
          <w:szCs w:val="28"/>
        </w:rPr>
      </w:pPr>
      <w:r w:rsidRPr="006268B9">
        <w:rPr>
          <w:szCs w:val="28"/>
        </w:rPr>
        <w:t xml:space="preserve">Белоножко М.Л. Государственные  и  муниципальные  финансы:  учебник  /  М.Л.  Белоножко, А.Л. Скифская. — СПб: ИЦ «Интермедия», 2014. — 208 с.: </w:t>
      </w:r>
      <w:proofErr w:type="spellStart"/>
      <w:r w:rsidRPr="006268B9">
        <w:rPr>
          <w:szCs w:val="28"/>
        </w:rPr>
        <w:t>илл</w:t>
      </w:r>
      <w:proofErr w:type="spellEnd"/>
      <w:r w:rsidRPr="006268B9">
        <w:rPr>
          <w:szCs w:val="28"/>
        </w:rPr>
        <w:t>.</w:t>
      </w:r>
    </w:p>
    <w:p w:rsidR="003429B5" w:rsidRPr="003429B5" w:rsidRDefault="003429B5" w:rsidP="003429B5">
      <w:pPr>
        <w:numPr>
          <w:ilvl w:val="0"/>
          <w:numId w:val="4"/>
        </w:numPr>
        <w:ind w:left="0" w:firstLine="709"/>
        <w:rPr>
          <w:szCs w:val="28"/>
        </w:rPr>
      </w:pPr>
      <w:bookmarkStart w:id="9" w:name="_Ref445826340"/>
      <w:r w:rsidRPr="003429B5">
        <w:rPr>
          <w:szCs w:val="28"/>
        </w:rPr>
        <w:t xml:space="preserve">Годин А. М. Бюджетная система Российской Федерации: Учебник / А. М. Годин, В. П. </w:t>
      </w:r>
      <w:proofErr w:type="spellStart"/>
      <w:r w:rsidRPr="003429B5">
        <w:rPr>
          <w:szCs w:val="28"/>
        </w:rPr>
        <w:t>Горегляд</w:t>
      </w:r>
      <w:proofErr w:type="spellEnd"/>
      <w:r w:rsidRPr="003429B5">
        <w:rPr>
          <w:szCs w:val="28"/>
        </w:rPr>
        <w:t xml:space="preserve">, И. В. </w:t>
      </w:r>
      <w:proofErr w:type="spellStart"/>
      <w:r w:rsidRPr="003429B5">
        <w:rPr>
          <w:szCs w:val="28"/>
        </w:rPr>
        <w:t>Подпорина</w:t>
      </w:r>
      <w:proofErr w:type="spellEnd"/>
      <w:r w:rsidRPr="003429B5">
        <w:rPr>
          <w:szCs w:val="28"/>
        </w:rPr>
        <w:t xml:space="preserve">. — 9-е изд., </w:t>
      </w:r>
      <w:proofErr w:type="spellStart"/>
      <w:r w:rsidRPr="003429B5">
        <w:rPr>
          <w:szCs w:val="28"/>
        </w:rPr>
        <w:t>испр</w:t>
      </w:r>
      <w:proofErr w:type="spellEnd"/>
      <w:r w:rsidRPr="003429B5">
        <w:rPr>
          <w:szCs w:val="28"/>
        </w:rPr>
        <w:t xml:space="preserve">. и доп. — М.: </w:t>
      </w:r>
      <w:proofErr w:type="spellStart"/>
      <w:r w:rsidRPr="003429B5">
        <w:rPr>
          <w:szCs w:val="28"/>
        </w:rPr>
        <w:t>Издательско</w:t>
      </w:r>
      <w:proofErr w:type="spellEnd"/>
      <w:r>
        <w:rPr>
          <w:szCs w:val="28"/>
        </w:rPr>
        <w:t xml:space="preserve"> торговая корпо</w:t>
      </w:r>
      <w:r w:rsidRPr="003429B5">
        <w:rPr>
          <w:szCs w:val="28"/>
        </w:rPr>
        <w:t>рация «Дашков и К°», 2010. — 628 с.</w:t>
      </w:r>
      <w:bookmarkEnd w:id="9"/>
    </w:p>
    <w:p w:rsidR="00482F67" w:rsidRPr="00482F67" w:rsidRDefault="00482F67" w:rsidP="00482F67">
      <w:pPr>
        <w:numPr>
          <w:ilvl w:val="0"/>
          <w:numId w:val="4"/>
        </w:numPr>
        <w:ind w:left="0" w:firstLine="709"/>
        <w:rPr>
          <w:szCs w:val="28"/>
        </w:rPr>
      </w:pPr>
      <w:bookmarkStart w:id="10" w:name="_Ref433134076"/>
      <w:bookmarkEnd w:id="7"/>
      <w:r w:rsidRPr="00482F67">
        <w:rPr>
          <w:lang w:eastAsia="ru-RU"/>
        </w:rPr>
        <w:t>Климович В.П.</w:t>
      </w:r>
      <w:r>
        <w:rPr>
          <w:lang w:eastAsia="ru-RU"/>
        </w:rPr>
        <w:t xml:space="preserve">, </w:t>
      </w:r>
      <w:r w:rsidRPr="00482F67">
        <w:rPr>
          <w:lang w:eastAsia="ru-RU"/>
        </w:rPr>
        <w:t xml:space="preserve">Финансы, денежное обращение и кредит : учебник / В.П. Климович. — 4-е изд., </w:t>
      </w:r>
      <w:proofErr w:type="spellStart"/>
      <w:r w:rsidRPr="00482F67">
        <w:rPr>
          <w:lang w:eastAsia="ru-RU"/>
        </w:rPr>
        <w:t>перераб</w:t>
      </w:r>
      <w:proofErr w:type="spellEnd"/>
      <w:r w:rsidRPr="00482F67">
        <w:rPr>
          <w:lang w:eastAsia="ru-RU"/>
        </w:rPr>
        <w:t>. и доп. — М.: ИД «ФОРУМ»: ИНФРА-М, 2015. — 336 с. — (Профессиональное образование).</w:t>
      </w:r>
      <w:bookmarkEnd w:id="10"/>
    </w:p>
    <w:p w:rsidR="00263857" w:rsidRPr="00263857" w:rsidRDefault="00263857" w:rsidP="00263857">
      <w:pPr>
        <w:numPr>
          <w:ilvl w:val="0"/>
          <w:numId w:val="4"/>
        </w:numPr>
        <w:ind w:left="0" w:firstLine="709"/>
        <w:rPr>
          <w:sz w:val="24"/>
          <w:szCs w:val="24"/>
          <w:lang w:eastAsia="ru-RU"/>
        </w:rPr>
      </w:pPr>
      <w:bookmarkStart w:id="11" w:name="_Ref433134436"/>
      <w:proofErr w:type="spellStart"/>
      <w:r w:rsidRPr="00263857">
        <w:rPr>
          <w:lang w:eastAsia="ru-RU"/>
        </w:rPr>
        <w:t>Нешитой</w:t>
      </w:r>
      <w:proofErr w:type="spellEnd"/>
      <w:r w:rsidRPr="00263857">
        <w:rPr>
          <w:lang w:eastAsia="ru-RU"/>
        </w:rPr>
        <w:t xml:space="preserve"> А. С.</w:t>
      </w:r>
      <w:r>
        <w:rPr>
          <w:lang w:eastAsia="ru-RU"/>
        </w:rPr>
        <w:t xml:space="preserve">, </w:t>
      </w:r>
      <w:r w:rsidRPr="00263857">
        <w:rPr>
          <w:lang w:eastAsia="ru-RU"/>
        </w:rPr>
        <w:t xml:space="preserve">Финансы и кредит: Учебник / А. С. </w:t>
      </w:r>
      <w:proofErr w:type="spellStart"/>
      <w:r w:rsidRPr="00263857">
        <w:rPr>
          <w:lang w:eastAsia="ru-RU"/>
        </w:rPr>
        <w:t>Нешитой</w:t>
      </w:r>
      <w:proofErr w:type="spellEnd"/>
      <w:r w:rsidRPr="00263857">
        <w:rPr>
          <w:lang w:eastAsia="ru-RU"/>
        </w:rPr>
        <w:t xml:space="preserve">. — 6-е изд., </w:t>
      </w:r>
      <w:proofErr w:type="spellStart"/>
      <w:r w:rsidRPr="00263857">
        <w:rPr>
          <w:lang w:eastAsia="ru-RU"/>
        </w:rPr>
        <w:t>перераб</w:t>
      </w:r>
      <w:proofErr w:type="spellEnd"/>
      <w:r w:rsidRPr="00263857">
        <w:rPr>
          <w:lang w:eastAsia="ru-RU"/>
        </w:rPr>
        <w:t>. и доп. — М</w:t>
      </w:r>
      <w:r>
        <w:rPr>
          <w:lang w:eastAsia="ru-RU"/>
        </w:rPr>
        <w:t>.: Издательско-торговая корпора</w:t>
      </w:r>
      <w:r w:rsidRPr="00263857">
        <w:rPr>
          <w:lang w:eastAsia="ru-RU"/>
        </w:rPr>
        <w:t>ция «Дашков и К°», 2011. — 576 с.</w:t>
      </w:r>
      <w:bookmarkEnd w:id="11"/>
    </w:p>
    <w:sectPr w:rsidR="00263857" w:rsidRPr="00263857" w:rsidSect="0045633B">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567" w:rsidRDefault="009B1567" w:rsidP="002316B4">
      <w:pPr>
        <w:spacing w:line="240" w:lineRule="auto"/>
      </w:pPr>
      <w:r>
        <w:separator/>
      </w:r>
    </w:p>
  </w:endnote>
  <w:endnote w:type="continuationSeparator" w:id="0">
    <w:p w:rsidR="009B1567" w:rsidRDefault="009B1567" w:rsidP="002316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DA5" w:rsidRDefault="00597DA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DA5" w:rsidRDefault="009B1567">
    <w:pPr>
      <w:pStyle w:val="af0"/>
      <w:jc w:val="center"/>
    </w:pPr>
    <w:r>
      <w:fldChar w:fldCharType="begin"/>
    </w:r>
    <w:r>
      <w:instrText xml:space="preserve"> PAGE   \* MERGEFORMAT </w:instrText>
    </w:r>
    <w:r>
      <w:fldChar w:fldCharType="separate"/>
    </w:r>
    <w:r w:rsidR="005A1F50">
      <w:rPr>
        <w:noProof/>
      </w:rPr>
      <w:t>10</w:t>
    </w:r>
    <w:r>
      <w:rPr>
        <w:noProof/>
      </w:rPr>
      <w:fldChar w:fldCharType="end"/>
    </w:r>
  </w:p>
  <w:p w:rsidR="00597DA5" w:rsidRDefault="00597DA5">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DA5" w:rsidRDefault="00597DA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567" w:rsidRDefault="009B1567" w:rsidP="002316B4">
      <w:pPr>
        <w:spacing w:line="240" w:lineRule="auto"/>
      </w:pPr>
      <w:r>
        <w:separator/>
      </w:r>
    </w:p>
  </w:footnote>
  <w:footnote w:type="continuationSeparator" w:id="0">
    <w:p w:rsidR="009B1567" w:rsidRDefault="009B1567" w:rsidP="002316B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DA5" w:rsidRDefault="00597DA5">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DA5" w:rsidRDefault="00597DA5">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DA5" w:rsidRDefault="00597DA5">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ahoma" w:hAnsi="Tahoma" w:cs="Tahoma"/>
        <w:b w:val="0"/>
        <w:bCs w:val="0"/>
        <w:i w:val="0"/>
        <w:iCs w:val="0"/>
        <w:smallCaps w:val="0"/>
        <w:strike w:val="0"/>
        <w:color w:val="000000"/>
        <w:spacing w:val="0"/>
        <w:w w:val="100"/>
        <w:position w:val="0"/>
        <w:sz w:val="15"/>
        <w:szCs w:val="15"/>
        <w:u w:val="none"/>
      </w:rPr>
    </w:lvl>
    <w:lvl w:ilvl="1">
      <w:start w:val="1"/>
      <w:numFmt w:val="decimal"/>
      <w:lvlText w:val="%1."/>
      <w:lvlJc w:val="left"/>
      <w:rPr>
        <w:rFonts w:ascii="Tahoma" w:hAnsi="Tahoma" w:cs="Tahoma"/>
        <w:b w:val="0"/>
        <w:bCs w:val="0"/>
        <w:i w:val="0"/>
        <w:iCs w:val="0"/>
        <w:smallCaps w:val="0"/>
        <w:strike w:val="0"/>
        <w:color w:val="000000"/>
        <w:spacing w:val="0"/>
        <w:w w:val="100"/>
        <w:position w:val="0"/>
        <w:sz w:val="15"/>
        <w:szCs w:val="15"/>
        <w:u w:val="none"/>
      </w:rPr>
    </w:lvl>
    <w:lvl w:ilvl="2">
      <w:start w:val="1"/>
      <w:numFmt w:val="decimal"/>
      <w:lvlText w:val="%1."/>
      <w:lvlJc w:val="left"/>
      <w:rPr>
        <w:rFonts w:ascii="Tahoma" w:hAnsi="Tahoma" w:cs="Tahoma"/>
        <w:b w:val="0"/>
        <w:bCs w:val="0"/>
        <w:i w:val="0"/>
        <w:iCs w:val="0"/>
        <w:smallCaps w:val="0"/>
        <w:strike w:val="0"/>
        <w:color w:val="000000"/>
        <w:spacing w:val="0"/>
        <w:w w:val="100"/>
        <w:position w:val="0"/>
        <w:sz w:val="15"/>
        <w:szCs w:val="15"/>
        <w:u w:val="none"/>
      </w:rPr>
    </w:lvl>
    <w:lvl w:ilvl="3">
      <w:start w:val="1"/>
      <w:numFmt w:val="decimal"/>
      <w:lvlText w:val="%1."/>
      <w:lvlJc w:val="left"/>
      <w:rPr>
        <w:rFonts w:ascii="Tahoma" w:hAnsi="Tahoma" w:cs="Tahoma"/>
        <w:b w:val="0"/>
        <w:bCs w:val="0"/>
        <w:i w:val="0"/>
        <w:iCs w:val="0"/>
        <w:smallCaps w:val="0"/>
        <w:strike w:val="0"/>
        <w:color w:val="000000"/>
        <w:spacing w:val="0"/>
        <w:w w:val="100"/>
        <w:position w:val="0"/>
        <w:sz w:val="15"/>
        <w:szCs w:val="15"/>
        <w:u w:val="none"/>
      </w:rPr>
    </w:lvl>
    <w:lvl w:ilvl="4">
      <w:start w:val="1"/>
      <w:numFmt w:val="decimal"/>
      <w:lvlText w:val="%1."/>
      <w:lvlJc w:val="left"/>
      <w:rPr>
        <w:rFonts w:ascii="Tahoma" w:hAnsi="Tahoma" w:cs="Tahoma"/>
        <w:b w:val="0"/>
        <w:bCs w:val="0"/>
        <w:i w:val="0"/>
        <w:iCs w:val="0"/>
        <w:smallCaps w:val="0"/>
        <w:strike w:val="0"/>
        <w:color w:val="000000"/>
        <w:spacing w:val="0"/>
        <w:w w:val="100"/>
        <w:position w:val="0"/>
        <w:sz w:val="15"/>
        <w:szCs w:val="15"/>
        <w:u w:val="none"/>
      </w:rPr>
    </w:lvl>
    <w:lvl w:ilvl="5">
      <w:start w:val="1"/>
      <w:numFmt w:val="decimal"/>
      <w:lvlText w:val="%1."/>
      <w:lvlJc w:val="left"/>
      <w:rPr>
        <w:rFonts w:ascii="Tahoma" w:hAnsi="Tahoma" w:cs="Tahoma"/>
        <w:b w:val="0"/>
        <w:bCs w:val="0"/>
        <w:i w:val="0"/>
        <w:iCs w:val="0"/>
        <w:smallCaps w:val="0"/>
        <w:strike w:val="0"/>
        <w:color w:val="000000"/>
        <w:spacing w:val="0"/>
        <w:w w:val="100"/>
        <w:position w:val="0"/>
        <w:sz w:val="15"/>
        <w:szCs w:val="15"/>
        <w:u w:val="none"/>
      </w:rPr>
    </w:lvl>
    <w:lvl w:ilvl="6">
      <w:start w:val="1"/>
      <w:numFmt w:val="decimal"/>
      <w:lvlText w:val="%1."/>
      <w:lvlJc w:val="left"/>
      <w:rPr>
        <w:rFonts w:ascii="Tahoma" w:hAnsi="Tahoma" w:cs="Tahoma"/>
        <w:b w:val="0"/>
        <w:bCs w:val="0"/>
        <w:i w:val="0"/>
        <w:iCs w:val="0"/>
        <w:smallCaps w:val="0"/>
        <w:strike w:val="0"/>
        <w:color w:val="000000"/>
        <w:spacing w:val="0"/>
        <w:w w:val="100"/>
        <w:position w:val="0"/>
        <w:sz w:val="15"/>
        <w:szCs w:val="15"/>
        <w:u w:val="none"/>
      </w:rPr>
    </w:lvl>
    <w:lvl w:ilvl="7">
      <w:start w:val="1"/>
      <w:numFmt w:val="decimal"/>
      <w:lvlText w:val="%1."/>
      <w:lvlJc w:val="left"/>
      <w:rPr>
        <w:rFonts w:ascii="Tahoma" w:hAnsi="Tahoma" w:cs="Tahoma"/>
        <w:b w:val="0"/>
        <w:bCs w:val="0"/>
        <w:i w:val="0"/>
        <w:iCs w:val="0"/>
        <w:smallCaps w:val="0"/>
        <w:strike w:val="0"/>
        <w:color w:val="000000"/>
        <w:spacing w:val="0"/>
        <w:w w:val="100"/>
        <w:position w:val="0"/>
        <w:sz w:val="15"/>
        <w:szCs w:val="15"/>
        <w:u w:val="none"/>
      </w:rPr>
    </w:lvl>
    <w:lvl w:ilvl="8">
      <w:start w:val="1"/>
      <w:numFmt w:val="decimal"/>
      <w:lvlText w:val="%1."/>
      <w:lvlJc w:val="left"/>
      <w:rPr>
        <w:rFonts w:ascii="Tahoma" w:hAnsi="Tahoma" w:cs="Tahoma"/>
        <w:b w:val="0"/>
        <w:bCs w:val="0"/>
        <w:i w:val="0"/>
        <w:iCs w:val="0"/>
        <w:smallCaps w:val="0"/>
        <w:strike w:val="0"/>
        <w:color w:val="000000"/>
        <w:spacing w:val="0"/>
        <w:w w:val="100"/>
        <w:position w:val="0"/>
        <w:sz w:val="15"/>
        <w:szCs w:val="15"/>
        <w:u w:val="none"/>
      </w:rPr>
    </w:lvl>
  </w:abstractNum>
  <w:abstractNum w:abstractNumId="1">
    <w:nsid w:val="057D2AFD"/>
    <w:multiLevelType w:val="hybridMultilevel"/>
    <w:tmpl w:val="D93216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DC3636"/>
    <w:multiLevelType w:val="singleLevel"/>
    <w:tmpl w:val="C87AA768"/>
    <w:lvl w:ilvl="0">
      <w:numFmt w:val="bullet"/>
      <w:lvlText w:val="-"/>
      <w:lvlJc w:val="left"/>
      <w:pPr>
        <w:tabs>
          <w:tab w:val="num" w:pos="845"/>
        </w:tabs>
        <w:ind w:left="845" w:hanging="360"/>
      </w:pPr>
      <w:rPr>
        <w:rFonts w:hint="default"/>
      </w:rPr>
    </w:lvl>
  </w:abstractNum>
  <w:abstractNum w:abstractNumId="3">
    <w:nsid w:val="0B6E3C00"/>
    <w:multiLevelType w:val="hybridMultilevel"/>
    <w:tmpl w:val="86608920"/>
    <w:lvl w:ilvl="0" w:tplc="19F05E9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10372E37"/>
    <w:multiLevelType w:val="hybridMultilevel"/>
    <w:tmpl w:val="5C50D696"/>
    <w:lvl w:ilvl="0" w:tplc="F8963248">
      <w:start w:val="1"/>
      <w:numFmt w:val="upperRoman"/>
      <w:lvlText w:val="%1-"/>
      <w:lvlJc w:val="left"/>
      <w:pPr>
        <w:ind w:left="1804" w:hanging="720"/>
      </w:pPr>
      <w:rPr>
        <w:rFonts w:hint="default"/>
      </w:rPr>
    </w:lvl>
    <w:lvl w:ilvl="1" w:tplc="04190019" w:tentative="1">
      <w:start w:val="1"/>
      <w:numFmt w:val="lowerLetter"/>
      <w:lvlText w:val="%2."/>
      <w:lvlJc w:val="left"/>
      <w:pPr>
        <w:ind w:left="2164" w:hanging="360"/>
      </w:pPr>
    </w:lvl>
    <w:lvl w:ilvl="2" w:tplc="0419001B" w:tentative="1">
      <w:start w:val="1"/>
      <w:numFmt w:val="lowerRoman"/>
      <w:lvlText w:val="%3."/>
      <w:lvlJc w:val="right"/>
      <w:pPr>
        <w:ind w:left="2884" w:hanging="180"/>
      </w:pPr>
    </w:lvl>
    <w:lvl w:ilvl="3" w:tplc="0419000F" w:tentative="1">
      <w:start w:val="1"/>
      <w:numFmt w:val="decimal"/>
      <w:lvlText w:val="%4."/>
      <w:lvlJc w:val="left"/>
      <w:pPr>
        <w:ind w:left="3604" w:hanging="360"/>
      </w:pPr>
    </w:lvl>
    <w:lvl w:ilvl="4" w:tplc="04190019" w:tentative="1">
      <w:start w:val="1"/>
      <w:numFmt w:val="lowerLetter"/>
      <w:lvlText w:val="%5."/>
      <w:lvlJc w:val="left"/>
      <w:pPr>
        <w:ind w:left="4324" w:hanging="360"/>
      </w:pPr>
    </w:lvl>
    <w:lvl w:ilvl="5" w:tplc="0419001B" w:tentative="1">
      <w:start w:val="1"/>
      <w:numFmt w:val="lowerRoman"/>
      <w:lvlText w:val="%6."/>
      <w:lvlJc w:val="right"/>
      <w:pPr>
        <w:ind w:left="5044" w:hanging="180"/>
      </w:pPr>
    </w:lvl>
    <w:lvl w:ilvl="6" w:tplc="0419000F" w:tentative="1">
      <w:start w:val="1"/>
      <w:numFmt w:val="decimal"/>
      <w:lvlText w:val="%7."/>
      <w:lvlJc w:val="left"/>
      <w:pPr>
        <w:ind w:left="5764" w:hanging="360"/>
      </w:pPr>
    </w:lvl>
    <w:lvl w:ilvl="7" w:tplc="04190019" w:tentative="1">
      <w:start w:val="1"/>
      <w:numFmt w:val="lowerLetter"/>
      <w:lvlText w:val="%8."/>
      <w:lvlJc w:val="left"/>
      <w:pPr>
        <w:ind w:left="6484" w:hanging="360"/>
      </w:pPr>
    </w:lvl>
    <w:lvl w:ilvl="8" w:tplc="0419001B" w:tentative="1">
      <w:start w:val="1"/>
      <w:numFmt w:val="lowerRoman"/>
      <w:lvlText w:val="%9."/>
      <w:lvlJc w:val="right"/>
      <w:pPr>
        <w:ind w:left="7204" w:hanging="180"/>
      </w:pPr>
    </w:lvl>
  </w:abstractNum>
  <w:abstractNum w:abstractNumId="5">
    <w:nsid w:val="267753CA"/>
    <w:multiLevelType w:val="hybridMultilevel"/>
    <w:tmpl w:val="93C2DF56"/>
    <w:lvl w:ilvl="0" w:tplc="46489AA8">
      <w:start w:val="1"/>
      <w:numFmt w:val="upperLetter"/>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CA0300A"/>
    <w:multiLevelType w:val="hybridMultilevel"/>
    <w:tmpl w:val="C8E6D8CE"/>
    <w:lvl w:ilvl="0" w:tplc="1B18D7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1CF0F69"/>
    <w:multiLevelType w:val="hybridMultilevel"/>
    <w:tmpl w:val="C0680680"/>
    <w:lvl w:ilvl="0" w:tplc="98DA77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4EA292B"/>
    <w:multiLevelType w:val="hybridMultilevel"/>
    <w:tmpl w:val="298C5C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C3508A2"/>
    <w:multiLevelType w:val="hybridMultilevel"/>
    <w:tmpl w:val="591C03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23D6842"/>
    <w:multiLevelType w:val="hybridMultilevel"/>
    <w:tmpl w:val="21147B1A"/>
    <w:lvl w:ilvl="0" w:tplc="E3DAAA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D0869F5"/>
    <w:multiLevelType w:val="hybridMultilevel"/>
    <w:tmpl w:val="41FE21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6E72C58"/>
    <w:multiLevelType w:val="hybridMultilevel"/>
    <w:tmpl w:val="CD88787C"/>
    <w:lvl w:ilvl="0" w:tplc="B6C2B7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C08721B"/>
    <w:multiLevelType w:val="singleLevel"/>
    <w:tmpl w:val="E1065576"/>
    <w:lvl w:ilvl="0">
      <w:start w:val="1"/>
      <w:numFmt w:val="decimal"/>
      <w:lvlText w:val="%1)"/>
      <w:lvlJc w:val="left"/>
      <w:pPr>
        <w:tabs>
          <w:tab w:val="num" w:pos="1080"/>
        </w:tabs>
        <w:ind w:left="1080" w:hanging="360"/>
      </w:pPr>
      <w:rPr>
        <w:rFonts w:cs="Times New Roman" w:hint="default"/>
      </w:rPr>
    </w:lvl>
  </w:abstractNum>
  <w:abstractNum w:abstractNumId="14">
    <w:nsid w:val="61B064EB"/>
    <w:multiLevelType w:val="hybridMultilevel"/>
    <w:tmpl w:val="341A5B28"/>
    <w:lvl w:ilvl="0" w:tplc="0DD0601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5">
    <w:nsid w:val="6DAB1831"/>
    <w:multiLevelType w:val="hybridMultilevel"/>
    <w:tmpl w:val="3F1ED1DC"/>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6">
    <w:nsid w:val="6F236E48"/>
    <w:multiLevelType w:val="hybridMultilevel"/>
    <w:tmpl w:val="403EF0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6CD6F5E"/>
    <w:multiLevelType w:val="hybridMultilevel"/>
    <w:tmpl w:val="6D1C4F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17"/>
  </w:num>
  <w:num w:numId="3">
    <w:abstractNumId w:val="16"/>
  </w:num>
  <w:num w:numId="4">
    <w:abstractNumId w:val="8"/>
  </w:num>
  <w:num w:numId="5">
    <w:abstractNumId w:val="11"/>
  </w:num>
  <w:num w:numId="6">
    <w:abstractNumId w:val="6"/>
  </w:num>
  <w:num w:numId="7">
    <w:abstractNumId w:val="5"/>
  </w:num>
  <w:num w:numId="8">
    <w:abstractNumId w:val="4"/>
  </w:num>
  <w:num w:numId="9">
    <w:abstractNumId w:val="7"/>
  </w:num>
  <w:num w:numId="10">
    <w:abstractNumId w:val="0"/>
  </w:num>
  <w:num w:numId="11">
    <w:abstractNumId w:val="15"/>
  </w:num>
  <w:num w:numId="12">
    <w:abstractNumId w:val="1"/>
  </w:num>
  <w:num w:numId="13">
    <w:abstractNumId w:val="9"/>
  </w:num>
  <w:num w:numId="14">
    <w:abstractNumId w:val="10"/>
  </w:num>
  <w:num w:numId="15">
    <w:abstractNumId w:val="2"/>
  </w:num>
  <w:num w:numId="16">
    <w:abstractNumId w:val="13"/>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917A5"/>
    <w:rsid w:val="00004FD8"/>
    <w:rsid w:val="00032BB0"/>
    <w:rsid w:val="000333E7"/>
    <w:rsid w:val="00036E30"/>
    <w:rsid w:val="00040780"/>
    <w:rsid w:val="000543A8"/>
    <w:rsid w:val="000650EC"/>
    <w:rsid w:val="000758EC"/>
    <w:rsid w:val="0008081E"/>
    <w:rsid w:val="0009192B"/>
    <w:rsid w:val="000A39A3"/>
    <w:rsid w:val="000A7866"/>
    <w:rsid w:val="000B2D97"/>
    <w:rsid w:val="000C53EE"/>
    <w:rsid w:val="000C636B"/>
    <w:rsid w:val="000E7E8F"/>
    <w:rsid w:val="000F4A2D"/>
    <w:rsid w:val="0010713E"/>
    <w:rsid w:val="00111024"/>
    <w:rsid w:val="001217B9"/>
    <w:rsid w:val="00125020"/>
    <w:rsid w:val="00152B94"/>
    <w:rsid w:val="00153842"/>
    <w:rsid w:val="00184BE3"/>
    <w:rsid w:val="0018755D"/>
    <w:rsid w:val="00193447"/>
    <w:rsid w:val="001B5E40"/>
    <w:rsid w:val="001D1E42"/>
    <w:rsid w:val="001E11C0"/>
    <w:rsid w:val="0020060C"/>
    <w:rsid w:val="00204BD4"/>
    <w:rsid w:val="00210E65"/>
    <w:rsid w:val="00216289"/>
    <w:rsid w:val="00216899"/>
    <w:rsid w:val="002316B4"/>
    <w:rsid w:val="0023277E"/>
    <w:rsid w:val="00234E66"/>
    <w:rsid w:val="00235D0E"/>
    <w:rsid w:val="002363CE"/>
    <w:rsid w:val="00246EED"/>
    <w:rsid w:val="00263857"/>
    <w:rsid w:val="00274A25"/>
    <w:rsid w:val="002766B8"/>
    <w:rsid w:val="002823B8"/>
    <w:rsid w:val="002A4FA1"/>
    <w:rsid w:val="002A7277"/>
    <w:rsid w:val="002C324B"/>
    <w:rsid w:val="002D743A"/>
    <w:rsid w:val="003111AF"/>
    <w:rsid w:val="00317D19"/>
    <w:rsid w:val="00331783"/>
    <w:rsid w:val="003429B5"/>
    <w:rsid w:val="003578E2"/>
    <w:rsid w:val="00372AAE"/>
    <w:rsid w:val="00394ADE"/>
    <w:rsid w:val="003A4482"/>
    <w:rsid w:val="003C707C"/>
    <w:rsid w:val="003D1D5C"/>
    <w:rsid w:val="003D4B35"/>
    <w:rsid w:val="003E3292"/>
    <w:rsid w:val="003E7D7A"/>
    <w:rsid w:val="003F2149"/>
    <w:rsid w:val="004206A8"/>
    <w:rsid w:val="00421D9E"/>
    <w:rsid w:val="00424BBE"/>
    <w:rsid w:val="00425447"/>
    <w:rsid w:val="00430D27"/>
    <w:rsid w:val="0045633B"/>
    <w:rsid w:val="004571D2"/>
    <w:rsid w:val="00461621"/>
    <w:rsid w:val="0046164B"/>
    <w:rsid w:val="00466794"/>
    <w:rsid w:val="0047092D"/>
    <w:rsid w:val="00473530"/>
    <w:rsid w:val="004743FD"/>
    <w:rsid w:val="00482F67"/>
    <w:rsid w:val="00487866"/>
    <w:rsid w:val="00491EB6"/>
    <w:rsid w:val="0049761E"/>
    <w:rsid w:val="004D6540"/>
    <w:rsid w:val="00504A33"/>
    <w:rsid w:val="00515F9F"/>
    <w:rsid w:val="00517AA3"/>
    <w:rsid w:val="00530B38"/>
    <w:rsid w:val="00534C2E"/>
    <w:rsid w:val="00534EE3"/>
    <w:rsid w:val="00540D72"/>
    <w:rsid w:val="0057100E"/>
    <w:rsid w:val="00572672"/>
    <w:rsid w:val="005739E6"/>
    <w:rsid w:val="00577040"/>
    <w:rsid w:val="005918C2"/>
    <w:rsid w:val="00597DA5"/>
    <w:rsid w:val="005A1F50"/>
    <w:rsid w:val="005B0F74"/>
    <w:rsid w:val="005C5C78"/>
    <w:rsid w:val="005D0AE9"/>
    <w:rsid w:val="005D1B27"/>
    <w:rsid w:val="005E3F8A"/>
    <w:rsid w:val="005E55FC"/>
    <w:rsid w:val="006052F8"/>
    <w:rsid w:val="006116D3"/>
    <w:rsid w:val="006268B9"/>
    <w:rsid w:val="006409D3"/>
    <w:rsid w:val="00645C10"/>
    <w:rsid w:val="006A6231"/>
    <w:rsid w:val="006A7C75"/>
    <w:rsid w:val="006F17C2"/>
    <w:rsid w:val="0070188D"/>
    <w:rsid w:val="0070235E"/>
    <w:rsid w:val="00703193"/>
    <w:rsid w:val="00725DC3"/>
    <w:rsid w:val="007332A8"/>
    <w:rsid w:val="00745171"/>
    <w:rsid w:val="00746838"/>
    <w:rsid w:val="00763995"/>
    <w:rsid w:val="007722FA"/>
    <w:rsid w:val="00774E0D"/>
    <w:rsid w:val="00785DE6"/>
    <w:rsid w:val="007C2180"/>
    <w:rsid w:val="007C5357"/>
    <w:rsid w:val="007D3927"/>
    <w:rsid w:val="007D7C6D"/>
    <w:rsid w:val="007E699C"/>
    <w:rsid w:val="007F166D"/>
    <w:rsid w:val="007F3CE9"/>
    <w:rsid w:val="0080188A"/>
    <w:rsid w:val="00805D62"/>
    <w:rsid w:val="0082050D"/>
    <w:rsid w:val="00840746"/>
    <w:rsid w:val="008423BC"/>
    <w:rsid w:val="00854D95"/>
    <w:rsid w:val="0086217B"/>
    <w:rsid w:val="00863A46"/>
    <w:rsid w:val="0086408B"/>
    <w:rsid w:val="00864205"/>
    <w:rsid w:val="008A6EBD"/>
    <w:rsid w:val="008C6268"/>
    <w:rsid w:val="008F5AAE"/>
    <w:rsid w:val="00901912"/>
    <w:rsid w:val="00912093"/>
    <w:rsid w:val="009139AA"/>
    <w:rsid w:val="0093247D"/>
    <w:rsid w:val="00932BAF"/>
    <w:rsid w:val="009367C6"/>
    <w:rsid w:val="00937F8C"/>
    <w:rsid w:val="00940027"/>
    <w:rsid w:val="00942B44"/>
    <w:rsid w:val="00943AE2"/>
    <w:rsid w:val="009512BD"/>
    <w:rsid w:val="00955B5B"/>
    <w:rsid w:val="009701CC"/>
    <w:rsid w:val="0097141D"/>
    <w:rsid w:val="00985B90"/>
    <w:rsid w:val="00997754"/>
    <w:rsid w:val="009B1567"/>
    <w:rsid w:val="009B4163"/>
    <w:rsid w:val="009D4038"/>
    <w:rsid w:val="009E0F03"/>
    <w:rsid w:val="009E2C07"/>
    <w:rsid w:val="009F18D2"/>
    <w:rsid w:val="009F5B61"/>
    <w:rsid w:val="00A12FBE"/>
    <w:rsid w:val="00A33353"/>
    <w:rsid w:val="00A55423"/>
    <w:rsid w:val="00A614D0"/>
    <w:rsid w:val="00A753BD"/>
    <w:rsid w:val="00A818D5"/>
    <w:rsid w:val="00A867DC"/>
    <w:rsid w:val="00AA4D13"/>
    <w:rsid w:val="00AA52A1"/>
    <w:rsid w:val="00AB7443"/>
    <w:rsid w:val="00AC000B"/>
    <w:rsid w:val="00AC1D62"/>
    <w:rsid w:val="00AE1C52"/>
    <w:rsid w:val="00AE3E53"/>
    <w:rsid w:val="00AE56B7"/>
    <w:rsid w:val="00AF2BF5"/>
    <w:rsid w:val="00AF46B3"/>
    <w:rsid w:val="00B010D0"/>
    <w:rsid w:val="00B13896"/>
    <w:rsid w:val="00B1656C"/>
    <w:rsid w:val="00B25C8F"/>
    <w:rsid w:val="00B461FD"/>
    <w:rsid w:val="00B57F44"/>
    <w:rsid w:val="00B71FA8"/>
    <w:rsid w:val="00B734DC"/>
    <w:rsid w:val="00B848CC"/>
    <w:rsid w:val="00B917A5"/>
    <w:rsid w:val="00BA0179"/>
    <w:rsid w:val="00BA09CB"/>
    <w:rsid w:val="00BA4C7E"/>
    <w:rsid w:val="00BC694F"/>
    <w:rsid w:val="00BD52CD"/>
    <w:rsid w:val="00BE404C"/>
    <w:rsid w:val="00BE6F44"/>
    <w:rsid w:val="00BF4199"/>
    <w:rsid w:val="00C02510"/>
    <w:rsid w:val="00C07E17"/>
    <w:rsid w:val="00C1413D"/>
    <w:rsid w:val="00C25161"/>
    <w:rsid w:val="00C3360A"/>
    <w:rsid w:val="00C36FD2"/>
    <w:rsid w:val="00C371CF"/>
    <w:rsid w:val="00C43C5C"/>
    <w:rsid w:val="00C60455"/>
    <w:rsid w:val="00C6290F"/>
    <w:rsid w:val="00C74FEF"/>
    <w:rsid w:val="00C878AE"/>
    <w:rsid w:val="00CA00B5"/>
    <w:rsid w:val="00CA57F4"/>
    <w:rsid w:val="00CB3504"/>
    <w:rsid w:val="00CC2B82"/>
    <w:rsid w:val="00CD0406"/>
    <w:rsid w:val="00D41385"/>
    <w:rsid w:val="00D7147F"/>
    <w:rsid w:val="00D754EC"/>
    <w:rsid w:val="00D8479E"/>
    <w:rsid w:val="00D9607B"/>
    <w:rsid w:val="00DA2109"/>
    <w:rsid w:val="00DA4523"/>
    <w:rsid w:val="00DB1F46"/>
    <w:rsid w:val="00DB41A0"/>
    <w:rsid w:val="00DD3E1C"/>
    <w:rsid w:val="00DE4761"/>
    <w:rsid w:val="00E021EA"/>
    <w:rsid w:val="00E1090E"/>
    <w:rsid w:val="00E24D03"/>
    <w:rsid w:val="00E41897"/>
    <w:rsid w:val="00E542C2"/>
    <w:rsid w:val="00E66EB1"/>
    <w:rsid w:val="00E67550"/>
    <w:rsid w:val="00E947FE"/>
    <w:rsid w:val="00E963CA"/>
    <w:rsid w:val="00EA7B71"/>
    <w:rsid w:val="00EB6216"/>
    <w:rsid w:val="00EB6571"/>
    <w:rsid w:val="00EC2419"/>
    <w:rsid w:val="00EC5669"/>
    <w:rsid w:val="00EE3FEB"/>
    <w:rsid w:val="00EE6179"/>
    <w:rsid w:val="00F00C52"/>
    <w:rsid w:val="00F11311"/>
    <w:rsid w:val="00F253CF"/>
    <w:rsid w:val="00F46CF5"/>
    <w:rsid w:val="00F751A0"/>
    <w:rsid w:val="00F77245"/>
    <w:rsid w:val="00F901F4"/>
    <w:rsid w:val="00FA6672"/>
    <w:rsid w:val="00FC40F7"/>
    <w:rsid w:val="00FD0236"/>
    <w:rsid w:val="00FD4BD4"/>
    <w:rsid w:val="00FF41A1"/>
    <w:rsid w:val="00FF77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EB"/>
    <w:pPr>
      <w:spacing w:line="360" w:lineRule="auto"/>
      <w:ind w:firstLine="709"/>
      <w:jc w:val="both"/>
    </w:pPr>
    <w:rPr>
      <w:rFonts w:ascii="Times New Roman" w:hAnsi="Times New Roman"/>
      <w:sz w:val="28"/>
      <w:szCs w:val="22"/>
      <w:lang w:eastAsia="en-US"/>
    </w:rPr>
  </w:style>
  <w:style w:type="paragraph" w:styleId="1">
    <w:name w:val="heading 1"/>
    <w:basedOn w:val="a"/>
    <w:next w:val="a"/>
    <w:link w:val="10"/>
    <w:uiPriority w:val="9"/>
    <w:qFormat/>
    <w:rsid w:val="009367C6"/>
    <w:pPr>
      <w:keepNext/>
      <w:keepLines/>
      <w:spacing w:before="480"/>
      <w:outlineLvl w:val="0"/>
    </w:pPr>
    <w:rPr>
      <w:rFonts w:eastAsia="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848CC"/>
  </w:style>
  <w:style w:type="paragraph" w:styleId="a3">
    <w:name w:val="List Paragraph"/>
    <w:basedOn w:val="a"/>
    <w:uiPriority w:val="34"/>
    <w:qFormat/>
    <w:rsid w:val="002316B4"/>
    <w:pPr>
      <w:ind w:left="720"/>
      <w:contextualSpacing/>
    </w:pPr>
  </w:style>
  <w:style w:type="paragraph" w:styleId="a4">
    <w:name w:val="endnote text"/>
    <w:basedOn w:val="a"/>
    <w:link w:val="a5"/>
    <w:uiPriority w:val="99"/>
    <w:semiHidden/>
    <w:unhideWhenUsed/>
    <w:rsid w:val="002316B4"/>
    <w:pPr>
      <w:spacing w:line="240" w:lineRule="auto"/>
    </w:pPr>
    <w:rPr>
      <w:sz w:val="20"/>
      <w:szCs w:val="20"/>
    </w:rPr>
  </w:style>
  <w:style w:type="character" w:customStyle="1" w:styleId="a5">
    <w:name w:val="Текст концевой сноски Знак"/>
    <w:basedOn w:val="a0"/>
    <w:link w:val="a4"/>
    <w:uiPriority w:val="99"/>
    <w:semiHidden/>
    <w:rsid w:val="002316B4"/>
    <w:rPr>
      <w:sz w:val="20"/>
      <w:szCs w:val="20"/>
    </w:rPr>
  </w:style>
  <w:style w:type="character" w:styleId="a6">
    <w:name w:val="endnote reference"/>
    <w:basedOn w:val="a0"/>
    <w:uiPriority w:val="99"/>
    <w:semiHidden/>
    <w:unhideWhenUsed/>
    <w:rsid w:val="002316B4"/>
    <w:rPr>
      <w:vertAlign w:val="superscript"/>
    </w:rPr>
  </w:style>
  <w:style w:type="paragraph" w:styleId="a7">
    <w:name w:val="Balloon Text"/>
    <w:basedOn w:val="a"/>
    <w:link w:val="a8"/>
    <w:uiPriority w:val="99"/>
    <w:semiHidden/>
    <w:unhideWhenUsed/>
    <w:rsid w:val="002316B4"/>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2316B4"/>
    <w:rPr>
      <w:rFonts w:ascii="Tahoma" w:hAnsi="Tahoma" w:cs="Tahoma"/>
      <w:sz w:val="16"/>
      <w:szCs w:val="16"/>
    </w:rPr>
  </w:style>
  <w:style w:type="character" w:customStyle="1" w:styleId="10">
    <w:name w:val="Заголовок 1 Знак"/>
    <w:basedOn w:val="a0"/>
    <w:link w:val="1"/>
    <w:uiPriority w:val="9"/>
    <w:rsid w:val="009367C6"/>
    <w:rPr>
      <w:rFonts w:ascii="Times New Roman" w:eastAsia="Times New Roman" w:hAnsi="Times New Roman" w:cs="Times New Roman"/>
      <w:b/>
      <w:bCs/>
      <w:sz w:val="28"/>
      <w:szCs w:val="28"/>
    </w:rPr>
  </w:style>
  <w:style w:type="paragraph" w:styleId="a9">
    <w:name w:val="Normal (Web)"/>
    <w:basedOn w:val="a"/>
    <w:unhideWhenUsed/>
    <w:rsid w:val="00840746"/>
    <w:pPr>
      <w:spacing w:before="100" w:beforeAutospacing="1" w:after="100" w:afterAutospacing="1" w:line="240" w:lineRule="auto"/>
    </w:pPr>
    <w:rPr>
      <w:rFonts w:eastAsia="Times New Roman"/>
      <w:sz w:val="24"/>
      <w:szCs w:val="24"/>
      <w:lang w:eastAsia="ru-RU"/>
    </w:rPr>
  </w:style>
  <w:style w:type="character" w:styleId="aa">
    <w:name w:val="Strong"/>
    <w:basedOn w:val="a0"/>
    <w:uiPriority w:val="22"/>
    <w:qFormat/>
    <w:rsid w:val="00840746"/>
    <w:rPr>
      <w:b/>
      <w:bCs/>
    </w:rPr>
  </w:style>
  <w:style w:type="character" w:styleId="ab">
    <w:name w:val="Emphasis"/>
    <w:basedOn w:val="a0"/>
    <w:uiPriority w:val="20"/>
    <w:qFormat/>
    <w:rsid w:val="009E0F03"/>
    <w:rPr>
      <w:i/>
      <w:iCs/>
    </w:rPr>
  </w:style>
  <w:style w:type="character" w:styleId="ac">
    <w:name w:val="Hyperlink"/>
    <w:basedOn w:val="a0"/>
    <w:uiPriority w:val="99"/>
    <w:unhideWhenUsed/>
    <w:rsid w:val="00425447"/>
    <w:rPr>
      <w:color w:val="0000FF"/>
      <w:u w:val="single"/>
    </w:rPr>
  </w:style>
  <w:style w:type="table" w:styleId="ad">
    <w:name w:val="Table Grid"/>
    <w:basedOn w:val="a1"/>
    <w:uiPriority w:val="59"/>
    <w:rsid w:val="00487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semiHidden/>
    <w:unhideWhenUsed/>
    <w:rsid w:val="0045633B"/>
    <w:pPr>
      <w:tabs>
        <w:tab w:val="center" w:pos="4677"/>
        <w:tab w:val="right" w:pos="9355"/>
      </w:tabs>
      <w:spacing w:line="240" w:lineRule="auto"/>
    </w:pPr>
  </w:style>
  <w:style w:type="character" w:customStyle="1" w:styleId="af">
    <w:name w:val="Верхний колонтитул Знак"/>
    <w:basedOn w:val="a0"/>
    <w:link w:val="ae"/>
    <w:uiPriority w:val="99"/>
    <w:semiHidden/>
    <w:rsid w:val="0045633B"/>
  </w:style>
  <w:style w:type="paragraph" w:styleId="af0">
    <w:name w:val="footer"/>
    <w:basedOn w:val="a"/>
    <w:link w:val="af1"/>
    <w:uiPriority w:val="99"/>
    <w:unhideWhenUsed/>
    <w:rsid w:val="0045633B"/>
    <w:pPr>
      <w:tabs>
        <w:tab w:val="center" w:pos="4677"/>
        <w:tab w:val="right" w:pos="9355"/>
      </w:tabs>
      <w:spacing w:line="240" w:lineRule="auto"/>
    </w:pPr>
  </w:style>
  <w:style w:type="character" w:customStyle="1" w:styleId="af1">
    <w:name w:val="Нижний колонтитул Знак"/>
    <w:basedOn w:val="a0"/>
    <w:link w:val="af0"/>
    <w:uiPriority w:val="99"/>
    <w:rsid w:val="0045633B"/>
  </w:style>
  <w:style w:type="paragraph" w:styleId="2">
    <w:name w:val="List 2"/>
    <w:basedOn w:val="a"/>
    <w:uiPriority w:val="99"/>
    <w:rsid w:val="00424BBE"/>
    <w:pPr>
      <w:spacing w:line="240" w:lineRule="auto"/>
      <w:ind w:left="566" w:hanging="283"/>
    </w:pPr>
    <w:rPr>
      <w:rFonts w:eastAsia="Times New Roman"/>
      <w:sz w:val="24"/>
      <w:szCs w:val="24"/>
      <w:lang w:eastAsia="ru-RU"/>
    </w:rPr>
  </w:style>
  <w:style w:type="paragraph" w:styleId="11">
    <w:name w:val="toc 1"/>
    <w:basedOn w:val="a"/>
    <w:next w:val="a"/>
    <w:autoRedefine/>
    <w:uiPriority w:val="39"/>
    <w:unhideWhenUsed/>
    <w:rsid w:val="009367C6"/>
    <w:rPr>
      <w:rFonts w:eastAsia="Times New Roman"/>
      <w:szCs w:val="24"/>
      <w:lang w:val="en-US" w:bidi="en-US"/>
    </w:rPr>
  </w:style>
  <w:style w:type="paragraph" w:customStyle="1" w:styleId="Default">
    <w:name w:val="Default"/>
    <w:rsid w:val="009367C6"/>
    <w:pPr>
      <w:autoSpaceDE w:val="0"/>
      <w:autoSpaceDN w:val="0"/>
      <w:adjustRightInd w:val="0"/>
    </w:pPr>
    <w:rPr>
      <w:rFonts w:ascii="Times New Roman" w:eastAsia="Times New Roman" w:hAnsi="Times New Roman"/>
      <w:color w:val="000000"/>
      <w:sz w:val="24"/>
      <w:szCs w:val="24"/>
    </w:rPr>
  </w:style>
  <w:style w:type="character" w:styleId="af2">
    <w:name w:val="Placeholder Text"/>
    <w:basedOn w:val="a0"/>
    <w:uiPriority w:val="99"/>
    <w:semiHidden/>
    <w:rsid w:val="00997754"/>
    <w:rPr>
      <w:color w:val="808080"/>
    </w:rPr>
  </w:style>
  <w:style w:type="paragraph" w:styleId="af3">
    <w:name w:val="No Spacing"/>
    <w:uiPriority w:val="1"/>
    <w:qFormat/>
    <w:rsid w:val="00540D72"/>
    <w:pPr>
      <w:ind w:firstLine="709"/>
      <w:jc w:val="both"/>
    </w:pPr>
    <w:rPr>
      <w:rFonts w:ascii="Times New Roman" w:hAnsi="Times New Roman"/>
      <w:sz w:val="28"/>
      <w:szCs w:val="22"/>
      <w:lang w:eastAsia="en-US"/>
    </w:rPr>
  </w:style>
  <w:style w:type="paragraph" w:styleId="af4">
    <w:name w:val="Body Text Indent"/>
    <w:basedOn w:val="a"/>
    <w:link w:val="af5"/>
    <w:rsid w:val="00FF41A1"/>
    <w:pPr>
      <w:spacing w:line="240" w:lineRule="auto"/>
      <w:ind w:left="720" w:firstLine="0"/>
    </w:pPr>
    <w:rPr>
      <w:rFonts w:eastAsia="Times New Roman"/>
      <w:sz w:val="24"/>
      <w:szCs w:val="24"/>
      <w:lang w:eastAsia="ru-RU"/>
    </w:rPr>
  </w:style>
  <w:style w:type="character" w:customStyle="1" w:styleId="af5">
    <w:name w:val="Основной текст с отступом Знак"/>
    <w:basedOn w:val="a0"/>
    <w:link w:val="af4"/>
    <w:rsid w:val="00FF41A1"/>
    <w:rPr>
      <w:rFonts w:ascii="Times New Roman" w:eastAsia="Times New Roman" w:hAnsi="Times New Roman"/>
      <w:sz w:val="24"/>
      <w:szCs w:val="24"/>
    </w:rPr>
  </w:style>
  <w:style w:type="paragraph" w:customStyle="1" w:styleId="a00">
    <w:name w:val="a0"/>
    <w:basedOn w:val="a"/>
    <w:rsid w:val="00D9607B"/>
    <w:pPr>
      <w:spacing w:before="100" w:beforeAutospacing="1" w:after="100" w:afterAutospacing="1" w:line="240" w:lineRule="auto"/>
      <w:ind w:firstLine="0"/>
      <w:jc w:val="left"/>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30007">
      <w:bodyDiv w:val="1"/>
      <w:marLeft w:val="0"/>
      <w:marRight w:val="0"/>
      <w:marTop w:val="0"/>
      <w:marBottom w:val="0"/>
      <w:divBdr>
        <w:top w:val="none" w:sz="0" w:space="0" w:color="auto"/>
        <w:left w:val="none" w:sz="0" w:space="0" w:color="auto"/>
        <w:bottom w:val="none" w:sz="0" w:space="0" w:color="auto"/>
        <w:right w:val="none" w:sz="0" w:space="0" w:color="auto"/>
      </w:divBdr>
    </w:div>
    <w:div w:id="146822819">
      <w:bodyDiv w:val="1"/>
      <w:marLeft w:val="0"/>
      <w:marRight w:val="0"/>
      <w:marTop w:val="0"/>
      <w:marBottom w:val="0"/>
      <w:divBdr>
        <w:top w:val="none" w:sz="0" w:space="0" w:color="auto"/>
        <w:left w:val="none" w:sz="0" w:space="0" w:color="auto"/>
        <w:bottom w:val="none" w:sz="0" w:space="0" w:color="auto"/>
        <w:right w:val="none" w:sz="0" w:space="0" w:color="auto"/>
      </w:divBdr>
    </w:div>
    <w:div w:id="149177225">
      <w:bodyDiv w:val="1"/>
      <w:marLeft w:val="0"/>
      <w:marRight w:val="0"/>
      <w:marTop w:val="0"/>
      <w:marBottom w:val="0"/>
      <w:divBdr>
        <w:top w:val="none" w:sz="0" w:space="0" w:color="auto"/>
        <w:left w:val="none" w:sz="0" w:space="0" w:color="auto"/>
        <w:bottom w:val="none" w:sz="0" w:space="0" w:color="auto"/>
        <w:right w:val="none" w:sz="0" w:space="0" w:color="auto"/>
      </w:divBdr>
    </w:div>
    <w:div w:id="224995159">
      <w:bodyDiv w:val="1"/>
      <w:marLeft w:val="0"/>
      <w:marRight w:val="0"/>
      <w:marTop w:val="0"/>
      <w:marBottom w:val="0"/>
      <w:divBdr>
        <w:top w:val="none" w:sz="0" w:space="0" w:color="auto"/>
        <w:left w:val="none" w:sz="0" w:space="0" w:color="auto"/>
        <w:bottom w:val="none" w:sz="0" w:space="0" w:color="auto"/>
        <w:right w:val="none" w:sz="0" w:space="0" w:color="auto"/>
      </w:divBdr>
    </w:div>
    <w:div w:id="267854889">
      <w:bodyDiv w:val="1"/>
      <w:marLeft w:val="0"/>
      <w:marRight w:val="0"/>
      <w:marTop w:val="0"/>
      <w:marBottom w:val="0"/>
      <w:divBdr>
        <w:top w:val="none" w:sz="0" w:space="0" w:color="auto"/>
        <w:left w:val="none" w:sz="0" w:space="0" w:color="auto"/>
        <w:bottom w:val="none" w:sz="0" w:space="0" w:color="auto"/>
        <w:right w:val="none" w:sz="0" w:space="0" w:color="auto"/>
      </w:divBdr>
    </w:div>
    <w:div w:id="273559238">
      <w:bodyDiv w:val="1"/>
      <w:marLeft w:val="0"/>
      <w:marRight w:val="0"/>
      <w:marTop w:val="0"/>
      <w:marBottom w:val="0"/>
      <w:divBdr>
        <w:top w:val="none" w:sz="0" w:space="0" w:color="auto"/>
        <w:left w:val="none" w:sz="0" w:space="0" w:color="auto"/>
        <w:bottom w:val="none" w:sz="0" w:space="0" w:color="auto"/>
        <w:right w:val="none" w:sz="0" w:space="0" w:color="auto"/>
      </w:divBdr>
    </w:div>
    <w:div w:id="323438671">
      <w:bodyDiv w:val="1"/>
      <w:marLeft w:val="0"/>
      <w:marRight w:val="0"/>
      <w:marTop w:val="0"/>
      <w:marBottom w:val="0"/>
      <w:divBdr>
        <w:top w:val="none" w:sz="0" w:space="0" w:color="auto"/>
        <w:left w:val="none" w:sz="0" w:space="0" w:color="auto"/>
        <w:bottom w:val="none" w:sz="0" w:space="0" w:color="auto"/>
        <w:right w:val="none" w:sz="0" w:space="0" w:color="auto"/>
      </w:divBdr>
      <w:divsChild>
        <w:div w:id="1963875748">
          <w:marLeft w:val="0"/>
          <w:marRight w:val="0"/>
          <w:marTop w:val="0"/>
          <w:marBottom w:val="0"/>
          <w:divBdr>
            <w:top w:val="none" w:sz="0" w:space="0" w:color="auto"/>
            <w:left w:val="none" w:sz="0" w:space="0" w:color="auto"/>
            <w:bottom w:val="none" w:sz="0" w:space="0" w:color="auto"/>
            <w:right w:val="none" w:sz="0" w:space="0" w:color="auto"/>
          </w:divBdr>
        </w:div>
      </w:divsChild>
    </w:div>
    <w:div w:id="379403633">
      <w:bodyDiv w:val="1"/>
      <w:marLeft w:val="0"/>
      <w:marRight w:val="0"/>
      <w:marTop w:val="0"/>
      <w:marBottom w:val="0"/>
      <w:divBdr>
        <w:top w:val="none" w:sz="0" w:space="0" w:color="auto"/>
        <w:left w:val="none" w:sz="0" w:space="0" w:color="auto"/>
        <w:bottom w:val="none" w:sz="0" w:space="0" w:color="auto"/>
        <w:right w:val="none" w:sz="0" w:space="0" w:color="auto"/>
      </w:divBdr>
      <w:divsChild>
        <w:div w:id="1148980465">
          <w:marLeft w:val="0"/>
          <w:marRight w:val="0"/>
          <w:marTop w:val="0"/>
          <w:marBottom w:val="0"/>
          <w:divBdr>
            <w:top w:val="none" w:sz="0" w:space="0" w:color="auto"/>
            <w:left w:val="none" w:sz="0" w:space="0" w:color="auto"/>
            <w:bottom w:val="none" w:sz="0" w:space="0" w:color="auto"/>
            <w:right w:val="none" w:sz="0" w:space="0" w:color="auto"/>
          </w:divBdr>
        </w:div>
      </w:divsChild>
    </w:div>
    <w:div w:id="386337596">
      <w:bodyDiv w:val="1"/>
      <w:marLeft w:val="0"/>
      <w:marRight w:val="0"/>
      <w:marTop w:val="0"/>
      <w:marBottom w:val="0"/>
      <w:divBdr>
        <w:top w:val="none" w:sz="0" w:space="0" w:color="auto"/>
        <w:left w:val="none" w:sz="0" w:space="0" w:color="auto"/>
        <w:bottom w:val="none" w:sz="0" w:space="0" w:color="auto"/>
        <w:right w:val="none" w:sz="0" w:space="0" w:color="auto"/>
      </w:divBdr>
    </w:div>
    <w:div w:id="386609305">
      <w:bodyDiv w:val="1"/>
      <w:marLeft w:val="0"/>
      <w:marRight w:val="0"/>
      <w:marTop w:val="0"/>
      <w:marBottom w:val="0"/>
      <w:divBdr>
        <w:top w:val="none" w:sz="0" w:space="0" w:color="auto"/>
        <w:left w:val="none" w:sz="0" w:space="0" w:color="auto"/>
        <w:bottom w:val="none" w:sz="0" w:space="0" w:color="auto"/>
        <w:right w:val="none" w:sz="0" w:space="0" w:color="auto"/>
      </w:divBdr>
    </w:div>
    <w:div w:id="431242588">
      <w:bodyDiv w:val="1"/>
      <w:marLeft w:val="0"/>
      <w:marRight w:val="0"/>
      <w:marTop w:val="0"/>
      <w:marBottom w:val="0"/>
      <w:divBdr>
        <w:top w:val="none" w:sz="0" w:space="0" w:color="auto"/>
        <w:left w:val="none" w:sz="0" w:space="0" w:color="auto"/>
        <w:bottom w:val="none" w:sz="0" w:space="0" w:color="auto"/>
        <w:right w:val="none" w:sz="0" w:space="0" w:color="auto"/>
      </w:divBdr>
      <w:divsChild>
        <w:div w:id="1888755384">
          <w:marLeft w:val="0"/>
          <w:marRight w:val="0"/>
          <w:marTop w:val="0"/>
          <w:marBottom w:val="0"/>
          <w:divBdr>
            <w:top w:val="none" w:sz="0" w:space="0" w:color="auto"/>
            <w:left w:val="none" w:sz="0" w:space="0" w:color="auto"/>
            <w:bottom w:val="none" w:sz="0" w:space="0" w:color="auto"/>
            <w:right w:val="none" w:sz="0" w:space="0" w:color="auto"/>
          </w:divBdr>
        </w:div>
      </w:divsChild>
    </w:div>
    <w:div w:id="431825180">
      <w:bodyDiv w:val="1"/>
      <w:marLeft w:val="0"/>
      <w:marRight w:val="0"/>
      <w:marTop w:val="0"/>
      <w:marBottom w:val="0"/>
      <w:divBdr>
        <w:top w:val="none" w:sz="0" w:space="0" w:color="auto"/>
        <w:left w:val="none" w:sz="0" w:space="0" w:color="auto"/>
        <w:bottom w:val="none" w:sz="0" w:space="0" w:color="auto"/>
        <w:right w:val="none" w:sz="0" w:space="0" w:color="auto"/>
      </w:divBdr>
    </w:div>
    <w:div w:id="439035882">
      <w:bodyDiv w:val="1"/>
      <w:marLeft w:val="0"/>
      <w:marRight w:val="0"/>
      <w:marTop w:val="0"/>
      <w:marBottom w:val="0"/>
      <w:divBdr>
        <w:top w:val="none" w:sz="0" w:space="0" w:color="auto"/>
        <w:left w:val="none" w:sz="0" w:space="0" w:color="auto"/>
        <w:bottom w:val="none" w:sz="0" w:space="0" w:color="auto"/>
        <w:right w:val="none" w:sz="0" w:space="0" w:color="auto"/>
      </w:divBdr>
      <w:divsChild>
        <w:div w:id="617955500">
          <w:marLeft w:val="0"/>
          <w:marRight w:val="0"/>
          <w:marTop w:val="0"/>
          <w:marBottom w:val="0"/>
          <w:divBdr>
            <w:top w:val="none" w:sz="0" w:space="0" w:color="auto"/>
            <w:left w:val="none" w:sz="0" w:space="0" w:color="auto"/>
            <w:bottom w:val="none" w:sz="0" w:space="0" w:color="auto"/>
            <w:right w:val="none" w:sz="0" w:space="0" w:color="auto"/>
          </w:divBdr>
        </w:div>
      </w:divsChild>
    </w:div>
    <w:div w:id="468086882">
      <w:bodyDiv w:val="1"/>
      <w:marLeft w:val="0"/>
      <w:marRight w:val="0"/>
      <w:marTop w:val="0"/>
      <w:marBottom w:val="0"/>
      <w:divBdr>
        <w:top w:val="none" w:sz="0" w:space="0" w:color="auto"/>
        <w:left w:val="none" w:sz="0" w:space="0" w:color="auto"/>
        <w:bottom w:val="none" w:sz="0" w:space="0" w:color="auto"/>
        <w:right w:val="none" w:sz="0" w:space="0" w:color="auto"/>
      </w:divBdr>
    </w:div>
    <w:div w:id="609513073">
      <w:bodyDiv w:val="1"/>
      <w:marLeft w:val="0"/>
      <w:marRight w:val="0"/>
      <w:marTop w:val="0"/>
      <w:marBottom w:val="0"/>
      <w:divBdr>
        <w:top w:val="none" w:sz="0" w:space="0" w:color="auto"/>
        <w:left w:val="none" w:sz="0" w:space="0" w:color="auto"/>
        <w:bottom w:val="none" w:sz="0" w:space="0" w:color="auto"/>
        <w:right w:val="none" w:sz="0" w:space="0" w:color="auto"/>
      </w:divBdr>
    </w:div>
    <w:div w:id="730150592">
      <w:bodyDiv w:val="1"/>
      <w:marLeft w:val="0"/>
      <w:marRight w:val="0"/>
      <w:marTop w:val="0"/>
      <w:marBottom w:val="0"/>
      <w:divBdr>
        <w:top w:val="none" w:sz="0" w:space="0" w:color="auto"/>
        <w:left w:val="none" w:sz="0" w:space="0" w:color="auto"/>
        <w:bottom w:val="none" w:sz="0" w:space="0" w:color="auto"/>
        <w:right w:val="none" w:sz="0" w:space="0" w:color="auto"/>
      </w:divBdr>
    </w:div>
    <w:div w:id="788088114">
      <w:bodyDiv w:val="1"/>
      <w:marLeft w:val="0"/>
      <w:marRight w:val="0"/>
      <w:marTop w:val="0"/>
      <w:marBottom w:val="0"/>
      <w:divBdr>
        <w:top w:val="none" w:sz="0" w:space="0" w:color="auto"/>
        <w:left w:val="none" w:sz="0" w:space="0" w:color="auto"/>
        <w:bottom w:val="none" w:sz="0" w:space="0" w:color="auto"/>
        <w:right w:val="none" w:sz="0" w:space="0" w:color="auto"/>
      </w:divBdr>
    </w:div>
    <w:div w:id="788088650">
      <w:bodyDiv w:val="1"/>
      <w:marLeft w:val="0"/>
      <w:marRight w:val="0"/>
      <w:marTop w:val="0"/>
      <w:marBottom w:val="0"/>
      <w:divBdr>
        <w:top w:val="none" w:sz="0" w:space="0" w:color="auto"/>
        <w:left w:val="none" w:sz="0" w:space="0" w:color="auto"/>
        <w:bottom w:val="none" w:sz="0" w:space="0" w:color="auto"/>
        <w:right w:val="none" w:sz="0" w:space="0" w:color="auto"/>
      </w:divBdr>
      <w:divsChild>
        <w:div w:id="671645259">
          <w:marLeft w:val="0"/>
          <w:marRight w:val="0"/>
          <w:marTop w:val="0"/>
          <w:marBottom w:val="0"/>
          <w:divBdr>
            <w:top w:val="none" w:sz="0" w:space="0" w:color="auto"/>
            <w:left w:val="none" w:sz="0" w:space="0" w:color="auto"/>
            <w:bottom w:val="none" w:sz="0" w:space="0" w:color="auto"/>
            <w:right w:val="none" w:sz="0" w:space="0" w:color="auto"/>
          </w:divBdr>
        </w:div>
      </w:divsChild>
    </w:div>
    <w:div w:id="971710597">
      <w:bodyDiv w:val="1"/>
      <w:marLeft w:val="0"/>
      <w:marRight w:val="0"/>
      <w:marTop w:val="0"/>
      <w:marBottom w:val="0"/>
      <w:divBdr>
        <w:top w:val="none" w:sz="0" w:space="0" w:color="auto"/>
        <w:left w:val="none" w:sz="0" w:space="0" w:color="auto"/>
        <w:bottom w:val="none" w:sz="0" w:space="0" w:color="auto"/>
        <w:right w:val="none" w:sz="0" w:space="0" w:color="auto"/>
      </w:divBdr>
      <w:divsChild>
        <w:div w:id="118452304">
          <w:marLeft w:val="0"/>
          <w:marRight w:val="0"/>
          <w:marTop w:val="0"/>
          <w:marBottom w:val="0"/>
          <w:divBdr>
            <w:top w:val="none" w:sz="0" w:space="0" w:color="auto"/>
            <w:left w:val="none" w:sz="0" w:space="0" w:color="auto"/>
            <w:bottom w:val="none" w:sz="0" w:space="0" w:color="auto"/>
            <w:right w:val="none" w:sz="0" w:space="0" w:color="auto"/>
          </w:divBdr>
        </w:div>
        <w:div w:id="524834729">
          <w:marLeft w:val="0"/>
          <w:marRight w:val="0"/>
          <w:marTop w:val="0"/>
          <w:marBottom w:val="0"/>
          <w:divBdr>
            <w:top w:val="none" w:sz="0" w:space="0" w:color="auto"/>
            <w:left w:val="none" w:sz="0" w:space="0" w:color="auto"/>
            <w:bottom w:val="none" w:sz="0" w:space="0" w:color="auto"/>
            <w:right w:val="none" w:sz="0" w:space="0" w:color="auto"/>
          </w:divBdr>
        </w:div>
        <w:div w:id="754671816">
          <w:marLeft w:val="0"/>
          <w:marRight w:val="0"/>
          <w:marTop w:val="0"/>
          <w:marBottom w:val="0"/>
          <w:divBdr>
            <w:top w:val="none" w:sz="0" w:space="0" w:color="auto"/>
            <w:left w:val="none" w:sz="0" w:space="0" w:color="auto"/>
            <w:bottom w:val="none" w:sz="0" w:space="0" w:color="auto"/>
            <w:right w:val="none" w:sz="0" w:space="0" w:color="auto"/>
          </w:divBdr>
        </w:div>
        <w:div w:id="1171529439">
          <w:marLeft w:val="0"/>
          <w:marRight w:val="0"/>
          <w:marTop w:val="0"/>
          <w:marBottom w:val="0"/>
          <w:divBdr>
            <w:top w:val="none" w:sz="0" w:space="0" w:color="auto"/>
            <w:left w:val="none" w:sz="0" w:space="0" w:color="auto"/>
            <w:bottom w:val="none" w:sz="0" w:space="0" w:color="auto"/>
            <w:right w:val="none" w:sz="0" w:space="0" w:color="auto"/>
          </w:divBdr>
        </w:div>
        <w:div w:id="1328825442">
          <w:marLeft w:val="0"/>
          <w:marRight w:val="0"/>
          <w:marTop w:val="0"/>
          <w:marBottom w:val="0"/>
          <w:divBdr>
            <w:top w:val="none" w:sz="0" w:space="0" w:color="auto"/>
            <w:left w:val="none" w:sz="0" w:space="0" w:color="auto"/>
            <w:bottom w:val="none" w:sz="0" w:space="0" w:color="auto"/>
            <w:right w:val="none" w:sz="0" w:space="0" w:color="auto"/>
          </w:divBdr>
        </w:div>
        <w:div w:id="1417820360">
          <w:marLeft w:val="0"/>
          <w:marRight w:val="0"/>
          <w:marTop w:val="0"/>
          <w:marBottom w:val="0"/>
          <w:divBdr>
            <w:top w:val="none" w:sz="0" w:space="0" w:color="auto"/>
            <w:left w:val="none" w:sz="0" w:space="0" w:color="auto"/>
            <w:bottom w:val="none" w:sz="0" w:space="0" w:color="auto"/>
            <w:right w:val="none" w:sz="0" w:space="0" w:color="auto"/>
          </w:divBdr>
        </w:div>
        <w:div w:id="1480270438">
          <w:marLeft w:val="0"/>
          <w:marRight w:val="0"/>
          <w:marTop w:val="0"/>
          <w:marBottom w:val="0"/>
          <w:divBdr>
            <w:top w:val="none" w:sz="0" w:space="0" w:color="auto"/>
            <w:left w:val="none" w:sz="0" w:space="0" w:color="auto"/>
            <w:bottom w:val="none" w:sz="0" w:space="0" w:color="auto"/>
            <w:right w:val="none" w:sz="0" w:space="0" w:color="auto"/>
          </w:divBdr>
        </w:div>
        <w:div w:id="1489249238">
          <w:marLeft w:val="0"/>
          <w:marRight w:val="0"/>
          <w:marTop w:val="0"/>
          <w:marBottom w:val="0"/>
          <w:divBdr>
            <w:top w:val="none" w:sz="0" w:space="0" w:color="auto"/>
            <w:left w:val="none" w:sz="0" w:space="0" w:color="auto"/>
            <w:bottom w:val="none" w:sz="0" w:space="0" w:color="auto"/>
            <w:right w:val="none" w:sz="0" w:space="0" w:color="auto"/>
          </w:divBdr>
        </w:div>
        <w:div w:id="1646742782">
          <w:marLeft w:val="0"/>
          <w:marRight w:val="0"/>
          <w:marTop w:val="0"/>
          <w:marBottom w:val="0"/>
          <w:divBdr>
            <w:top w:val="none" w:sz="0" w:space="0" w:color="auto"/>
            <w:left w:val="none" w:sz="0" w:space="0" w:color="auto"/>
            <w:bottom w:val="none" w:sz="0" w:space="0" w:color="auto"/>
            <w:right w:val="none" w:sz="0" w:space="0" w:color="auto"/>
          </w:divBdr>
        </w:div>
        <w:div w:id="1663509030">
          <w:marLeft w:val="0"/>
          <w:marRight w:val="0"/>
          <w:marTop w:val="0"/>
          <w:marBottom w:val="0"/>
          <w:divBdr>
            <w:top w:val="none" w:sz="0" w:space="0" w:color="auto"/>
            <w:left w:val="none" w:sz="0" w:space="0" w:color="auto"/>
            <w:bottom w:val="none" w:sz="0" w:space="0" w:color="auto"/>
            <w:right w:val="none" w:sz="0" w:space="0" w:color="auto"/>
          </w:divBdr>
        </w:div>
        <w:div w:id="1939873525">
          <w:marLeft w:val="0"/>
          <w:marRight w:val="0"/>
          <w:marTop w:val="0"/>
          <w:marBottom w:val="0"/>
          <w:divBdr>
            <w:top w:val="none" w:sz="0" w:space="0" w:color="auto"/>
            <w:left w:val="none" w:sz="0" w:space="0" w:color="auto"/>
            <w:bottom w:val="none" w:sz="0" w:space="0" w:color="auto"/>
            <w:right w:val="none" w:sz="0" w:space="0" w:color="auto"/>
          </w:divBdr>
        </w:div>
        <w:div w:id="1940984088">
          <w:marLeft w:val="0"/>
          <w:marRight w:val="0"/>
          <w:marTop w:val="0"/>
          <w:marBottom w:val="0"/>
          <w:divBdr>
            <w:top w:val="none" w:sz="0" w:space="0" w:color="auto"/>
            <w:left w:val="none" w:sz="0" w:space="0" w:color="auto"/>
            <w:bottom w:val="none" w:sz="0" w:space="0" w:color="auto"/>
            <w:right w:val="none" w:sz="0" w:space="0" w:color="auto"/>
          </w:divBdr>
        </w:div>
        <w:div w:id="2138716174">
          <w:marLeft w:val="0"/>
          <w:marRight w:val="0"/>
          <w:marTop w:val="0"/>
          <w:marBottom w:val="0"/>
          <w:divBdr>
            <w:top w:val="none" w:sz="0" w:space="0" w:color="auto"/>
            <w:left w:val="none" w:sz="0" w:space="0" w:color="auto"/>
            <w:bottom w:val="none" w:sz="0" w:space="0" w:color="auto"/>
            <w:right w:val="none" w:sz="0" w:space="0" w:color="auto"/>
          </w:divBdr>
        </w:div>
      </w:divsChild>
    </w:div>
    <w:div w:id="978191875">
      <w:bodyDiv w:val="1"/>
      <w:marLeft w:val="0"/>
      <w:marRight w:val="0"/>
      <w:marTop w:val="0"/>
      <w:marBottom w:val="0"/>
      <w:divBdr>
        <w:top w:val="none" w:sz="0" w:space="0" w:color="auto"/>
        <w:left w:val="none" w:sz="0" w:space="0" w:color="auto"/>
        <w:bottom w:val="none" w:sz="0" w:space="0" w:color="auto"/>
        <w:right w:val="none" w:sz="0" w:space="0" w:color="auto"/>
      </w:divBdr>
    </w:div>
    <w:div w:id="1098330569">
      <w:bodyDiv w:val="1"/>
      <w:marLeft w:val="0"/>
      <w:marRight w:val="0"/>
      <w:marTop w:val="0"/>
      <w:marBottom w:val="0"/>
      <w:divBdr>
        <w:top w:val="none" w:sz="0" w:space="0" w:color="auto"/>
        <w:left w:val="none" w:sz="0" w:space="0" w:color="auto"/>
        <w:bottom w:val="none" w:sz="0" w:space="0" w:color="auto"/>
        <w:right w:val="none" w:sz="0" w:space="0" w:color="auto"/>
      </w:divBdr>
    </w:div>
    <w:div w:id="1120370349">
      <w:bodyDiv w:val="1"/>
      <w:marLeft w:val="0"/>
      <w:marRight w:val="0"/>
      <w:marTop w:val="0"/>
      <w:marBottom w:val="0"/>
      <w:divBdr>
        <w:top w:val="none" w:sz="0" w:space="0" w:color="auto"/>
        <w:left w:val="none" w:sz="0" w:space="0" w:color="auto"/>
        <w:bottom w:val="none" w:sz="0" w:space="0" w:color="auto"/>
        <w:right w:val="none" w:sz="0" w:space="0" w:color="auto"/>
      </w:divBdr>
    </w:div>
    <w:div w:id="1179930267">
      <w:bodyDiv w:val="1"/>
      <w:marLeft w:val="0"/>
      <w:marRight w:val="0"/>
      <w:marTop w:val="0"/>
      <w:marBottom w:val="0"/>
      <w:divBdr>
        <w:top w:val="none" w:sz="0" w:space="0" w:color="auto"/>
        <w:left w:val="none" w:sz="0" w:space="0" w:color="auto"/>
        <w:bottom w:val="none" w:sz="0" w:space="0" w:color="auto"/>
        <w:right w:val="none" w:sz="0" w:space="0" w:color="auto"/>
      </w:divBdr>
    </w:div>
    <w:div w:id="1217665613">
      <w:bodyDiv w:val="1"/>
      <w:marLeft w:val="0"/>
      <w:marRight w:val="0"/>
      <w:marTop w:val="0"/>
      <w:marBottom w:val="0"/>
      <w:divBdr>
        <w:top w:val="none" w:sz="0" w:space="0" w:color="auto"/>
        <w:left w:val="none" w:sz="0" w:space="0" w:color="auto"/>
        <w:bottom w:val="none" w:sz="0" w:space="0" w:color="auto"/>
        <w:right w:val="none" w:sz="0" w:space="0" w:color="auto"/>
      </w:divBdr>
    </w:div>
    <w:div w:id="1316691281">
      <w:bodyDiv w:val="1"/>
      <w:marLeft w:val="0"/>
      <w:marRight w:val="0"/>
      <w:marTop w:val="0"/>
      <w:marBottom w:val="0"/>
      <w:divBdr>
        <w:top w:val="none" w:sz="0" w:space="0" w:color="auto"/>
        <w:left w:val="none" w:sz="0" w:space="0" w:color="auto"/>
        <w:bottom w:val="none" w:sz="0" w:space="0" w:color="auto"/>
        <w:right w:val="none" w:sz="0" w:space="0" w:color="auto"/>
      </w:divBdr>
    </w:div>
    <w:div w:id="1323435975">
      <w:bodyDiv w:val="1"/>
      <w:marLeft w:val="0"/>
      <w:marRight w:val="0"/>
      <w:marTop w:val="0"/>
      <w:marBottom w:val="0"/>
      <w:divBdr>
        <w:top w:val="none" w:sz="0" w:space="0" w:color="auto"/>
        <w:left w:val="none" w:sz="0" w:space="0" w:color="auto"/>
        <w:bottom w:val="none" w:sz="0" w:space="0" w:color="auto"/>
        <w:right w:val="none" w:sz="0" w:space="0" w:color="auto"/>
      </w:divBdr>
    </w:div>
    <w:div w:id="1333531673">
      <w:bodyDiv w:val="1"/>
      <w:marLeft w:val="0"/>
      <w:marRight w:val="0"/>
      <w:marTop w:val="0"/>
      <w:marBottom w:val="0"/>
      <w:divBdr>
        <w:top w:val="none" w:sz="0" w:space="0" w:color="auto"/>
        <w:left w:val="none" w:sz="0" w:space="0" w:color="auto"/>
        <w:bottom w:val="none" w:sz="0" w:space="0" w:color="auto"/>
        <w:right w:val="none" w:sz="0" w:space="0" w:color="auto"/>
      </w:divBdr>
    </w:div>
    <w:div w:id="1337077703">
      <w:bodyDiv w:val="1"/>
      <w:marLeft w:val="0"/>
      <w:marRight w:val="0"/>
      <w:marTop w:val="0"/>
      <w:marBottom w:val="0"/>
      <w:divBdr>
        <w:top w:val="none" w:sz="0" w:space="0" w:color="auto"/>
        <w:left w:val="none" w:sz="0" w:space="0" w:color="auto"/>
        <w:bottom w:val="none" w:sz="0" w:space="0" w:color="auto"/>
        <w:right w:val="none" w:sz="0" w:space="0" w:color="auto"/>
      </w:divBdr>
    </w:div>
    <w:div w:id="1387024288">
      <w:bodyDiv w:val="1"/>
      <w:marLeft w:val="0"/>
      <w:marRight w:val="0"/>
      <w:marTop w:val="0"/>
      <w:marBottom w:val="0"/>
      <w:divBdr>
        <w:top w:val="none" w:sz="0" w:space="0" w:color="auto"/>
        <w:left w:val="none" w:sz="0" w:space="0" w:color="auto"/>
        <w:bottom w:val="none" w:sz="0" w:space="0" w:color="auto"/>
        <w:right w:val="none" w:sz="0" w:space="0" w:color="auto"/>
      </w:divBdr>
    </w:div>
    <w:div w:id="1408502893">
      <w:bodyDiv w:val="1"/>
      <w:marLeft w:val="0"/>
      <w:marRight w:val="0"/>
      <w:marTop w:val="0"/>
      <w:marBottom w:val="0"/>
      <w:divBdr>
        <w:top w:val="none" w:sz="0" w:space="0" w:color="auto"/>
        <w:left w:val="none" w:sz="0" w:space="0" w:color="auto"/>
        <w:bottom w:val="none" w:sz="0" w:space="0" w:color="auto"/>
        <w:right w:val="none" w:sz="0" w:space="0" w:color="auto"/>
      </w:divBdr>
      <w:divsChild>
        <w:div w:id="232548265">
          <w:marLeft w:val="0"/>
          <w:marRight w:val="0"/>
          <w:marTop w:val="0"/>
          <w:marBottom w:val="0"/>
          <w:divBdr>
            <w:top w:val="none" w:sz="0" w:space="0" w:color="auto"/>
            <w:left w:val="none" w:sz="0" w:space="0" w:color="auto"/>
            <w:bottom w:val="none" w:sz="0" w:space="0" w:color="auto"/>
            <w:right w:val="none" w:sz="0" w:space="0" w:color="auto"/>
          </w:divBdr>
        </w:div>
      </w:divsChild>
    </w:div>
    <w:div w:id="1474060692">
      <w:bodyDiv w:val="1"/>
      <w:marLeft w:val="0"/>
      <w:marRight w:val="0"/>
      <w:marTop w:val="0"/>
      <w:marBottom w:val="0"/>
      <w:divBdr>
        <w:top w:val="none" w:sz="0" w:space="0" w:color="auto"/>
        <w:left w:val="none" w:sz="0" w:space="0" w:color="auto"/>
        <w:bottom w:val="none" w:sz="0" w:space="0" w:color="auto"/>
        <w:right w:val="none" w:sz="0" w:space="0" w:color="auto"/>
      </w:divBdr>
    </w:div>
    <w:div w:id="1565750933">
      <w:bodyDiv w:val="1"/>
      <w:marLeft w:val="0"/>
      <w:marRight w:val="0"/>
      <w:marTop w:val="0"/>
      <w:marBottom w:val="0"/>
      <w:divBdr>
        <w:top w:val="none" w:sz="0" w:space="0" w:color="auto"/>
        <w:left w:val="none" w:sz="0" w:space="0" w:color="auto"/>
        <w:bottom w:val="none" w:sz="0" w:space="0" w:color="auto"/>
        <w:right w:val="none" w:sz="0" w:space="0" w:color="auto"/>
      </w:divBdr>
    </w:div>
    <w:div w:id="1603411858">
      <w:bodyDiv w:val="1"/>
      <w:marLeft w:val="0"/>
      <w:marRight w:val="0"/>
      <w:marTop w:val="0"/>
      <w:marBottom w:val="0"/>
      <w:divBdr>
        <w:top w:val="none" w:sz="0" w:space="0" w:color="auto"/>
        <w:left w:val="none" w:sz="0" w:space="0" w:color="auto"/>
        <w:bottom w:val="none" w:sz="0" w:space="0" w:color="auto"/>
        <w:right w:val="none" w:sz="0" w:space="0" w:color="auto"/>
      </w:divBdr>
    </w:div>
    <w:div w:id="1623150154">
      <w:bodyDiv w:val="1"/>
      <w:marLeft w:val="0"/>
      <w:marRight w:val="0"/>
      <w:marTop w:val="0"/>
      <w:marBottom w:val="0"/>
      <w:divBdr>
        <w:top w:val="none" w:sz="0" w:space="0" w:color="auto"/>
        <w:left w:val="none" w:sz="0" w:space="0" w:color="auto"/>
        <w:bottom w:val="none" w:sz="0" w:space="0" w:color="auto"/>
        <w:right w:val="none" w:sz="0" w:space="0" w:color="auto"/>
      </w:divBdr>
    </w:div>
    <w:div w:id="1686205165">
      <w:bodyDiv w:val="1"/>
      <w:marLeft w:val="0"/>
      <w:marRight w:val="0"/>
      <w:marTop w:val="0"/>
      <w:marBottom w:val="0"/>
      <w:divBdr>
        <w:top w:val="none" w:sz="0" w:space="0" w:color="auto"/>
        <w:left w:val="none" w:sz="0" w:space="0" w:color="auto"/>
        <w:bottom w:val="none" w:sz="0" w:space="0" w:color="auto"/>
        <w:right w:val="none" w:sz="0" w:space="0" w:color="auto"/>
      </w:divBdr>
      <w:divsChild>
        <w:div w:id="1077939020">
          <w:marLeft w:val="0"/>
          <w:marRight w:val="0"/>
          <w:marTop w:val="0"/>
          <w:marBottom w:val="0"/>
          <w:divBdr>
            <w:top w:val="none" w:sz="0" w:space="0" w:color="auto"/>
            <w:left w:val="none" w:sz="0" w:space="0" w:color="auto"/>
            <w:bottom w:val="none" w:sz="0" w:space="0" w:color="auto"/>
            <w:right w:val="none" w:sz="0" w:space="0" w:color="auto"/>
          </w:divBdr>
        </w:div>
      </w:divsChild>
    </w:div>
    <w:div w:id="1696148563">
      <w:bodyDiv w:val="1"/>
      <w:marLeft w:val="0"/>
      <w:marRight w:val="0"/>
      <w:marTop w:val="0"/>
      <w:marBottom w:val="0"/>
      <w:divBdr>
        <w:top w:val="none" w:sz="0" w:space="0" w:color="auto"/>
        <w:left w:val="none" w:sz="0" w:space="0" w:color="auto"/>
        <w:bottom w:val="none" w:sz="0" w:space="0" w:color="auto"/>
        <w:right w:val="none" w:sz="0" w:space="0" w:color="auto"/>
      </w:divBdr>
      <w:divsChild>
        <w:div w:id="2121953367">
          <w:marLeft w:val="0"/>
          <w:marRight w:val="0"/>
          <w:marTop w:val="0"/>
          <w:marBottom w:val="0"/>
          <w:divBdr>
            <w:top w:val="none" w:sz="0" w:space="0" w:color="auto"/>
            <w:left w:val="none" w:sz="0" w:space="0" w:color="auto"/>
            <w:bottom w:val="none" w:sz="0" w:space="0" w:color="auto"/>
            <w:right w:val="none" w:sz="0" w:space="0" w:color="auto"/>
          </w:divBdr>
        </w:div>
      </w:divsChild>
    </w:div>
    <w:div w:id="1845591539">
      <w:bodyDiv w:val="1"/>
      <w:marLeft w:val="0"/>
      <w:marRight w:val="0"/>
      <w:marTop w:val="0"/>
      <w:marBottom w:val="0"/>
      <w:divBdr>
        <w:top w:val="none" w:sz="0" w:space="0" w:color="auto"/>
        <w:left w:val="none" w:sz="0" w:space="0" w:color="auto"/>
        <w:bottom w:val="none" w:sz="0" w:space="0" w:color="auto"/>
        <w:right w:val="none" w:sz="0" w:space="0" w:color="auto"/>
      </w:divBdr>
    </w:div>
    <w:div w:id="1848860426">
      <w:bodyDiv w:val="1"/>
      <w:marLeft w:val="0"/>
      <w:marRight w:val="0"/>
      <w:marTop w:val="0"/>
      <w:marBottom w:val="0"/>
      <w:divBdr>
        <w:top w:val="none" w:sz="0" w:space="0" w:color="auto"/>
        <w:left w:val="none" w:sz="0" w:space="0" w:color="auto"/>
        <w:bottom w:val="none" w:sz="0" w:space="0" w:color="auto"/>
        <w:right w:val="none" w:sz="0" w:space="0" w:color="auto"/>
      </w:divBdr>
    </w:div>
    <w:div w:id="1902062202">
      <w:bodyDiv w:val="1"/>
      <w:marLeft w:val="0"/>
      <w:marRight w:val="0"/>
      <w:marTop w:val="0"/>
      <w:marBottom w:val="0"/>
      <w:divBdr>
        <w:top w:val="none" w:sz="0" w:space="0" w:color="auto"/>
        <w:left w:val="none" w:sz="0" w:space="0" w:color="auto"/>
        <w:bottom w:val="none" w:sz="0" w:space="0" w:color="auto"/>
        <w:right w:val="none" w:sz="0" w:space="0" w:color="auto"/>
      </w:divBdr>
    </w:div>
    <w:div w:id="1927691343">
      <w:bodyDiv w:val="1"/>
      <w:marLeft w:val="0"/>
      <w:marRight w:val="0"/>
      <w:marTop w:val="0"/>
      <w:marBottom w:val="0"/>
      <w:divBdr>
        <w:top w:val="none" w:sz="0" w:space="0" w:color="auto"/>
        <w:left w:val="none" w:sz="0" w:space="0" w:color="auto"/>
        <w:bottom w:val="none" w:sz="0" w:space="0" w:color="auto"/>
        <w:right w:val="none" w:sz="0" w:space="0" w:color="auto"/>
      </w:divBdr>
    </w:div>
    <w:div w:id="2001149615">
      <w:bodyDiv w:val="1"/>
      <w:marLeft w:val="0"/>
      <w:marRight w:val="0"/>
      <w:marTop w:val="0"/>
      <w:marBottom w:val="0"/>
      <w:divBdr>
        <w:top w:val="none" w:sz="0" w:space="0" w:color="auto"/>
        <w:left w:val="none" w:sz="0" w:space="0" w:color="auto"/>
        <w:bottom w:val="none" w:sz="0" w:space="0" w:color="auto"/>
        <w:right w:val="none" w:sz="0" w:space="0" w:color="auto"/>
      </w:divBdr>
    </w:div>
    <w:div w:id="201098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835352-5572-4785-ABA7-8EFFB994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1954</Words>
  <Characters>11142</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13070</CharactersWithSpaces>
  <SharedDoc>false</SharedDoc>
  <HLinks>
    <vt:vector size="24" baseType="variant">
      <vt:variant>
        <vt:i4>1769521</vt:i4>
      </vt:variant>
      <vt:variant>
        <vt:i4>23</vt:i4>
      </vt:variant>
      <vt:variant>
        <vt:i4>0</vt:i4>
      </vt:variant>
      <vt:variant>
        <vt:i4>5</vt:i4>
      </vt:variant>
      <vt:variant>
        <vt:lpwstr/>
      </vt:variant>
      <vt:variant>
        <vt:lpwstr>_Toc445825258</vt:lpwstr>
      </vt:variant>
      <vt:variant>
        <vt:i4>1769521</vt:i4>
      </vt:variant>
      <vt:variant>
        <vt:i4>17</vt:i4>
      </vt:variant>
      <vt:variant>
        <vt:i4>0</vt:i4>
      </vt:variant>
      <vt:variant>
        <vt:i4>5</vt:i4>
      </vt:variant>
      <vt:variant>
        <vt:lpwstr/>
      </vt:variant>
      <vt:variant>
        <vt:lpwstr>_Toc445825257</vt:lpwstr>
      </vt:variant>
      <vt:variant>
        <vt:i4>1769521</vt:i4>
      </vt:variant>
      <vt:variant>
        <vt:i4>11</vt:i4>
      </vt:variant>
      <vt:variant>
        <vt:i4>0</vt:i4>
      </vt:variant>
      <vt:variant>
        <vt:i4>5</vt:i4>
      </vt:variant>
      <vt:variant>
        <vt:lpwstr/>
      </vt:variant>
      <vt:variant>
        <vt:lpwstr>_Toc445825256</vt:lpwstr>
      </vt:variant>
      <vt:variant>
        <vt:i4>1769521</vt:i4>
      </vt:variant>
      <vt:variant>
        <vt:i4>5</vt:i4>
      </vt:variant>
      <vt:variant>
        <vt:i4>0</vt:i4>
      </vt:variant>
      <vt:variant>
        <vt:i4>5</vt:i4>
      </vt:variant>
      <vt:variant>
        <vt:lpwstr/>
      </vt:variant>
      <vt:variant>
        <vt:lpwstr>_Toc445825255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Артём</dc:creator>
  <cp:keywords/>
  <cp:lastModifiedBy>User7</cp:lastModifiedBy>
  <cp:revision>4</cp:revision>
  <cp:lastPrinted>2016-03-16T11:18:00Z</cp:lastPrinted>
  <dcterms:created xsi:type="dcterms:W3CDTF">2016-03-16T12:33:00Z</dcterms:created>
  <dcterms:modified xsi:type="dcterms:W3CDTF">2016-04-20T08:39:00Z</dcterms:modified>
</cp:coreProperties>
</file>