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48" w:rsidRDefault="00B220AE" w:rsidP="000604BD">
      <w:pPr>
        <w:jc w:val="center"/>
        <w:rPr>
          <w:rFonts w:ascii="Times New Roman" w:hAnsi="Times New Roman" w:cs="Times New Roman"/>
          <w:sz w:val="26"/>
          <w:szCs w:val="26"/>
        </w:rPr>
      </w:pPr>
      <w:r w:rsidRPr="00B220AE">
        <w:rPr>
          <w:rFonts w:ascii="Times New Roman" w:hAnsi="Times New Roman" w:cs="Times New Roman"/>
          <w:sz w:val="26"/>
          <w:szCs w:val="26"/>
        </w:rPr>
        <w:t>ОГЛАВЛЕНИЕ</w:t>
      </w:r>
    </w:p>
    <w:p w:rsidR="000604BD" w:rsidRDefault="000604BD" w:rsidP="000604B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Введение……………………………………………………………………………….4</w:t>
      </w:r>
    </w:p>
    <w:p w:rsidR="000604BD" w:rsidRDefault="000604BD" w:rsidP="000604B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Понятие «Продолжительность жизни»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……………………………………………5</w:t>
      </w:r>
    </w:p>
    <w:p w:rsidR="000604BD" w:rsidRDefault="000604BD" w:rsidP="000604B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Ожидаемая продолжительность жизни в Архангельской область</w:t>
      </w:r>
      <w:r>
        <w:rPr>
          <w:rFonts w:ascii="Times New Roman" w:hAnsi="Times New Roman" w:cs="Times New Roman"/>
          <w:sz w:val="26"/>
          <w:szCs w:val="26"/>
        </w:rPr>
        <w:t>……………...8</w:t>
      </w:r>
    </w:p>
    <w:p w:rsidR="000604BD" w:rsidRDefault="000604BD" w:rsidP="000604B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Заключение…………………………………………………………………………….14</w:t>
      </w:r>
    </w:p>
    <w:p w:rsidR="000604BD" w:rsidRDefault="000604BD" w:rsidP="000604B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Список использованных источников………………………………………………...15</w:t>
      </w:r>
    </w:p>
    <w:p w:rsidR="00B220AE" w:rsidRDefault="00B220AE" w:rsidP="000604B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0604BD">
      <w:pPr>
        <w:rPr>
          <w:rFonts w:ascii="Times New Roman" w:hAnsi="Times New Roman" w:cs="Times New Roman"/>
          <w:sz w:val="26"/>
          <w:szCs w:val="26"/>
        </w:rPr>
      </w:pPr>
    </w:p>
    <w:p w:rsidR="000604BD" w:rsidRDefault="000604BD" w:rsidP="000604BD">
      <w:pPr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ВВЕДЕНИЕ</w:t>
      </w:r>
    </w:p>
    <w:p w:rsidR="00B220AE" w:rsidRDefault="00B220AE" w:rsidP="00B220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0AE">
        <w:rPr>
          <w:rFonts w:ascii="Times New Roman" w:hAnsi="Times New Roman" w:cs="Times New Roman"/>
          <w:sz w:val="26"/>
          <w:szCs w:val="26"/>
        </w:rPr>
        <w:t xml:space="preserve">Важным демографическим показателем является средняя ожидаемая продолжительность жизни человека при его рождении (обозначим ее СОПЖ). Все мы живем один раз, но продолжительность жизни конкретного человека на Земле зависит от того, в какой </w:t>
      </w:r>
      <w:proofErr w:type="gramStart"/>
      <w:r w:rsidRPr="00B220AE">
        <w:rPr>
          <w:rFonts w:ascii="Times New Roman" w:hAnsi="Times New Roman" w:cs="Times New Roman"/>
          <w:sz w:val="26"/>
          <w:szCs w:val="26"/>
        </w:rPr>
        <w:t>стране</w:t>
      </w:r>
      <w:proofErr w:type="gramEnd"/>
      <w:r w:rsidRPr="00B220AE">
        <w:rPr>
          <w:rFonts w:ascii="Times New Roman" w:hAnsi="Times New Roman" w:cs="Times New Roman"/>
          <w:sz w:val="26"/>
          <w:szCs w:val="26"/>
        </w:rPr>
        <w:t xml:space="preserve"> и в </w:t>
      </w:r>
      <w:proofErr w:type="gramStart"/>
      <w:r w:rsidRPr="00B220AE">
        <w:rPr>
          <w:rFonts w:ascii="Times New Roman" w:hAnsi="Times New Roman" w:cs="Times New Roman"/>
          <w:sz w:val="26"/>
          <w:szCs w:val="26"/>
        </w:rPr>
        <w:t>какую</w:t>
      </w:r>
      <w:proofErr w:type="gramEnd"/>
      <w:r w:rsidRPr="00B220AE">
        <w:rPr>
          <w:rFonts w:ascii="Times New Roman" w:hAnsi="Times New Roman" w:cs="Times New Roman"/>
          <w:sz w:val="26"/>
          <w:szCs w:val="26"/>
        </w:rPr>
        <w:t xml:space="preserve"> историческую эпоху ему удалось родиться. По продолжительности жизни людей, по тенденции ее изменения в современном государстве можно судить, в частности, об отношении государственной власти к своему народу. Продолжительность жизни зависит от многих факторов: от образа жизни (один из наиболее важных факторов), уровня доходов, воспитания и образования человека, наследственности, уровня загрязнения окружающей среды, качества питания, развития системы здравоохранения, уровня преступности, возможности спокойно зарабатывать на жизнь и многих других. </w:t>
      </w: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04BD" w:rsidRDefault="000604BD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04BD" w:rsidRDefault="000604BD" w:rsidP="00B220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462FF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462FF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20AE" w:rsidRDefault="00B220AE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 Понятие </w:t>
      </w:r>
      <w:r w:rsidR="00A94EFC">
        <w:rPr>
          <w:rFonts w:ascii="Times New Roman" w:hAnsi="Times New Roman" w:cs="Times New Roman"/>
          <w:sz w:val="26"/>
          <w:szCs w:val="26"/>
        </w:rPr>
        <w:t>«Продолжительность жизни»</w:t>
      </w:r>
    </w:p>
    <w:p w:rsidR="00A94EFC" w:rsidRPr="00A94EFC" w:rsidRDefault="00A94EFC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4EFC" w:rsidRDefault="00A94EFC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Ожидаемая продолжительность жизни</w:t>
      </w:r>
      <w:r w:rsidR="00A10A4F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(показатель средней  </w:t>
      </w:r>
      <w:proofErr w:type="gramEnd"/>
    </w:p>
    <w:p w:rsidR="00A10A4F" w:rsidRDefault="00A94EFC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продолжительности предстоящей жизни) — </w:t>
      </w:r>
      <w:proofErr w:type="gramStart"/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>важнейший</w:t>
      </w:r>
      <w:proofErr w:type="gramEnd"/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A10A4F"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>интегральный</w:t>
      </w:r>
    </w:p>
    <w:p w:rsidR="00A94EFC" w:rsidRDefault="00A94EFC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94EFC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hyperlink r:id="rId8" w:tooltip="Демографические показатели" w:history="1">
        <w:r w:rsidRPr="00A94EFC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демографический показатель</w:t>
        </w:r>
      </w:hyperlink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>, характеризующий уровень смертности населения. Упрощенно говоря, он обозначает среднее количество лет предстоящей жизни человека, достигшего данного возраста, и является итоговым показателем</w:t>
      </w:r>
      <w:r w:rsidRPr="00A94EFC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hyperlink r:id="rId9" w:tooltip="Таблица смертности" w:history="1">
        <w:r w:rsidRPr="00A94EFC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таблицы смертности</w:t>
        </w:r>
      </w:hyperlink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>. Как правило, под «ожидаемой продолжительностью жизни» понимают</w:t>
      </w:r>
      <w:r w:rsidRPr="00A94EFC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A94EFC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>ожидаемую продолжительность жизни при рождении</w:t>
      </w:r>
      <w:r w:rsidRPr="00A94EFC">
        <w:rPr>
          <w:rFonts w:ascii="Times New Roman" w:hAnsi="Times New Roman" w:cs="Times New Roman"/>
          <w:sz w:val="26"/>
          <w:szCs w:val="26"/>
          <w:shd w:val="clear" w:color="auto" w:fill="FFFFFF"/>
        </w:rPr>
        <w:t>, то есть в возрасте 0 лет.</w:t>
      </w:r>
      <w:r w:rsidR="00A10A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A10A4F" w:rsidRDefault="00A10A4F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Качество здоровья и его интегральное выражение – ожидаемая продолжительность жизни (ОПЖ) зависят от различных факторов – природных, эколого-гигиенических, производственных, но в первую очередь от социально-экономических. Мысль эта не нова. Об этом писали многие врачи далекого прошлого. В конце XIX – начале XX веков на зависимость общественного здоровья от социально-экономических условий указывали выдающиеся врачи и гигиенисты – А.П. </w:t>
      </w:r>
      <w:proofErr w:type="spellStart"/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Доброславин</w:t>
      </w:r>
      <w:proofErr w:type="spellEnd"/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Е.А. Осипов, В.О. </w:t>
      </w:r>
      <w:proofErr w:type="spellStart"/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Португалов</w:t>
      </w:r>
      <w:proofErr w:type="spellEnd"/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A10A4F" w:rsidRDefault="00A10A4F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мнению Ф.Ф. Эрисмана (1902) «не подлежит сомнению, что все главные факторы экономической жизни сильно влияют на состояние общественного здоровья и что нередко в этих условиях и кроется ключ к объяснению чрезмерной болезненности и смертности народонаселения». Не утратило своего значения это утверждение и в наши дни. На этот факт часто указывают и эксперты международных организаций. Так, на 52 сессии Всемирной организации здравоохранения (ВОЗ) вновь было подчеркнуто, что «все основные детерминанты здоровья связаны с социально-экономическими факторами… Связь между состоянием здоровья и занятостью, уровнем доходов, социальной защитой, жилищными условиями и образованием четко прослеживается во всех европейских государствах».</w:t>
      </w:r>
    </w:p>
    <w:p w:rsidR="00A10A4F" w:rsidRDefault="00A10A4F" w:rsidP="00F14B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Правильное представление о качестве общественного здоровья можно получить, изучая факторы, которые определяют ту или иную ожидаемую продолжительность жизни или служат ее индикаторами. Показатель ОПЖ указывает, сколько лет может прожить новорожденный или человек, достигший </w:t>
      </w:r>
      <w:r w:rsidRPr="00A10A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определенного возраста (15, 45, 60 лет) при сложившемся уровне возрастной смертности в конкретном году, для которого выполнен расчет. Исследование связи между показателями качества здоровья (младенческая смертность, ОПЖ мужчин и женщин) и ВВП на душу населения с учетом паритета покупательной способности в 198-ми странах мира показало тесную зависимость между этими показателями.</w:t>
      </w:r>
    </w:p>
    <w:p w:rsidR="00F14B0A" w:rsidRDefault="00F14B0A" w:rsidP="00F14B0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F14B0A">
        <w:rPr>
          <w:color w:val="000000"/>
          <w:sz w:val="26"/>
          <w:szCs w:val="26"/>
        </w:rPr>
        <w:t>Ожидаемая продолжительность жизни связана с величиной прожиточного минимума. Этот показатель отражает стоимостную оценку натурального набора продуктов питания, необходимых для сохранения здоровья человека и обеспечения его жизнедеятельности, а также расходов на непродовольственные товары и услуги, налоги и обязательные платежи, исходя из доли затрат на эти цели групп населения с низкими доходами. Для неработающего населения минимальная потребительская корзина – это объем средств, позволяющих поддерживать жизнеспособность человека. Необходимо отметить, что прожиточный минимум в каждом регионе утверждается в законодательном порядке. Различия значений прожиточного минимума в регионах зависят, прежде всего, от разницы в ценах на продовольственные и непродовольственные товары повседневного спроса. Фактически прожиточный минимум – это цена выживания. Влияние данного показателя весьма существенно, поскольку в нашем Приднестровском регионе доля людей, живущих ниже прожиточного минимума, в различные годы колебалась от 20 до 35%, а в отдельных регионах она достигает 50% и более.</w:t>
      </w:r>
    </w:p>
    <w:p w:rsidR="00F14B0A" w:rsidRPr="00F14B0A" w:rsidRDefault="00F14B0A" w:rsidP="00F14B0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F14B0A">
        <w:rPr>
          <w:color w:val="000000"/>
          <w:sz w:val="26"/>
          <w:szCs w:val="26"/>
        </w:rPr>
        <w:t>Очевидно, что связь между продолжительностью жизни и прожиточным минимумом отрицательная, так как чем выше прожиточный минимум, иными словами, чем больше требуется сре</w:t>
      </w:r>
      <w:proofErr w:type="gramStart"/>
      <w:r w:rsidRPr="00F14B0A">
        <w:rPr>
          <w:color w:val="000000"/>
          <w:sz w:val="26"/>
          <w:szCs w:val="26"/>
        </w:rPr>
        <w:t>дств дл</w:t>
      </w:r>
      <w:proofErr w:type="gramEnd"/>
      <w:r w:rsidRPr="00F14B0A">
        <w:rPr>
          <w:color w:val="000000"/>
          <w:sz w:val="26"/>
          <w:szCs w:val="26"/>
        </w:rPr>
        <w:t>я жизнеобеспечения, тем ниже уровень здоровья у населения с минимальными доходами.</w:t>
      </w:r>
    </w:p>
    <w:p w:rsidR="00F14B0A" w:rsidRPr="00462FFF" w:rsidRDefault="00F14B0A" w:rsidP="00462FF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462FFF">
        <w:rPr>
          <w:color w:val="000000"/>
          <w:sz w:val="26"/>
          <w:szCs w:val="26"/>
        </w:rPr>
        <w:t>Высокий прожиточный минимум характерен преимущественно для районов с суровыми природными условиями, где население испытывает многие отрицательные воздействия. Дискомфорт природных и коммунально-бытовых условий администрация этих районов и руководители промышленности стремятся сгладить за счет более высокой оплаты труда, но повышенные зарплаты и другие финансовые льготы не в состоянии компенсировать людям негативные условия существования.</w:t>
      </w:r>
    </w:p>
    <w:p w:rsidR="00F14B0A" w:rsidRDefault="00F14B0A" w:rsidP="00462FF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462FFF">
        <w:rPr>
          <w:color w:val="000000"/>
          <w:sz w:val="26"/>
          <w:szCs w:val="26"/>
        </w:rPr>
        <w:lastRenderedPageBreak/>
        <w:t>Удельный вес убыточных предприятий и организаций можно рассматривать как своеобразный индикатор состояния экономики региона. Его корреляционная связь с ОПЖ достаточно убедительно демонстрирует зависимость общественного здоровья от экономических условий. И, «Мировой опыт показывает, что доля банкротов в развитых странах составляет ежегодно до 5% общего числа участников делового оборота. Подавляющая часть (2/3) несостоятельных предприятий этих стран становятся несостоятельными по внутренним причинам (ошибки менеджмента). Банкротство же российских предприятий объясняется, главным образом, резкими неблагоприятными изменениями внешних условий их деятельности. Поэтому в национальной экономике оно имеет массовый характер». Теснота связи ОПЖ с долей убыточных предприятий в значительной степени зависит от достоверности информации. Данный показатель является довольно «грубым», но он значительно теснее связан с ОПЖ по сравнению с чисто стоимостными оценками, а именно кредиторской и дебиторской задолженностью предприятий, суммой убытка в расчете на одного жителя района и др.</w:t>
      </w:r>
    </w:p>
    <w:p w:rsidR="00462FFF" w:rsidRDefault="00462FFF" w:rsidP="00462FF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</w:p>
    <w:p w:rsidR="00462FFF" w:rsidRPr="00462FFF" w:rsidRDefault="00462FFF" w:rsidP="00462FF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6"/>
          <w:szCs w:val="26"/>
        </w:rPr>
      </w:pPr>
    </w:p>
    <w:p w:rsidR="00F14B0A" w:rsidRDefault="00F14B0A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7650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 Ожидаемая продолжительнос</w:t>
      </w:r>
      <w:r w:rsidR="00EB7650">
        <w:rPr>
          <w:rFonts w:ascii="Times New Roman" w:hAnsi="Times New Roman" w:cs="Times New Roman"/>
          <w:sz w:val="26"/>
          <w:szCs w:val="26"/>
        </w:rPr>
        <w:t>ть жизни в Архангельской область</w:t>
      </w:r>
    </w:p>
    <w:p w:rsidR="00EB7650" w:rsidRDefault="00EB765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7650" w:rsidRDefault="00EB765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1. – Динамика продолжительности жизни  женщин в Архангельской области. </w:t>
      </w:r>
    </w:p>
    <w:p w:rsidR="00EB7650" w:rsidRDefault="00EB765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38B56A4" wp14:editId="0387A786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72B9A" w:rsidRDefault="00672B9A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7650" w:rsidRDefault="00EB765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данной таблице мы можем увидеть стремительное падение продолжительности жизни с 1990 по 1994 год, что связано с кризисом в России.  До  1998 года был подъём, но из-за нового кризиса опять произошел спад. </w:t>
      </w:r>
    </w:p>
    <w:p w:rsidR="00462FFF" w:rsidRDefault="00462FFF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3FFC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2 - </w:t>
      </w:r>
      <w:r w:rsidR="00672B9A">
        <w:rPr>
          <w:rFonts w:ascii="Times New Roman" w:hAnsi="Times New Roman" w:cs="Times New Roman"/>
          <w:sz w:val="26"/>
          <w:szCs w:val="26"/>
        </w:rPr>
        <w:t>Сравнение продолжительности жизни сельского и городского населени</w:t>
      </w:r>
      <w:proofErr w:type="gramStart"/>
      <w:r w:rsidR="00672B9A">
        <w:rPr>
          <w:rFonts w:ascii="Times New Roman" w:hAnsi="Times New Roman" w:cs="Times New Roman"/>
          <w:sz w:val="26"/>
          <w:szCs w:val="26"/>
        </w:rPr>
        <w:t>я(</w:t>
      </w:r>
      <w:proofErr w:type="gramEnd"/>
      <w:r w:rsidR="00672B9A">
        <w:rPr>
          <w:rFonts w:ascii="Times New Roman" w:hAnsi="Times New Roman" w:cs="Times New Roman"/>
          <w:sz w:val="26"/>
          <w:szCs w:val="26"/>
        </w:rPr>
        <w:t>женщины)</w:t>
      </w:r>
    </w:p>
    <w:p w:rsidR="00672B9A" w:rsidRDefault="00672B9A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3FFC" w:rsidRDefault="00672B9A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6F6D1311" wp14:editId="6F901DD8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7AB0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Из данной таблицы можем сделать вывод, что продолжительность жизни в городе больше, чем в селе.  Это обусловлено тем, что в городе условия для жизни лучше.</w:t>
      </w:r>
    </w:p>
    <w:p w:rsidR="00457AB0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7AB0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3 - Динамика продолжительности жизни  мужчин в Архангельской области.</w:t>
      </w:r>
    </w:p>
    <w:p w:rsidR="00457AB0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7AB0" w:rsidRDefault="00457AB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58E77072" wp14:editId="265ADE4C">
            <wp:extent cx="4572000" cy="2743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354DD" w:rsidRDefault="00C354DD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7AB0" w:rsidRPr="001C39F0" w:rsidRDefault="00457AB0" w:rsidP="001C3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39F0">
        <w:rPr>
          <w:rFonts w:ascii="Times New Roman" w:hAnsi="Times New Roman" w:cs="Times New Roman"/>
          <w:sz w:val="26"/>
          <w:szCs w:val="26"/>
        </w:rPr>
        <w:t xml:space="preserve">В данной таблице мы можем увидеть стремительное падение продолжительности жизни с 1990 по 1994 год, что связано с кризисом в России.  До  1998 года был подъём, но из-за нового кризиса опять произошел спад. </w:t>
      </w:r>
      <w:r w:rsidR="001C39F0" w:rsidRPr="001C39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Экономические трудности переходного периода отразились на характере питания населения. В последние годы у большинства населения фактическое потребление наиболее важных для организма продуктов оказалось очень низким. При общей достаточно близкой калорийности пищевых рационов со странами Запада структура пищевого рациона в России существенно хуже. Недостаток ценных пищевых продуктов с высоким содержанием белков замещается продуктами с высоким содержанием углеводов (хлеб, картофель), избыток которых в рационе представляет определенную опасность для здоровья населения.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Параллельно с падением уровня жизни населения после 1991 г. происходило сокращение потребления мяса, мясных продуктов, молока и яиц при увеличении потребления картофеля и мучных изделий, в первую очередь хлеба.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Набор и количество продуктов в рационе подавляющего большинства населения России не только не удовлетворяют требованиям, предъявляемым к структуре сбалансированного питания, но и не всегда отвечает гигиеническим нормативам. Ежегодно от 4 до 6% проб пищевых продуктов не соответствуют нормам по санитарно-химическим и от 6 до 7% проб санитарно-микробиологическим показателям.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54DD" w:rsidRDefault="00C354DD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4DD" w:rsidRDefault="00C354DD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 - Сравнение продолжительности жизни сельского и городского населения</w:t>
      </w:r>
    </w:p>
    <w:p w:rsidR="00C354DD" w:rsidRDefault="00C354DD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4DD" w:rsidRDefault="00C354DD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56DA087" wp14:editId="49B41F27">
            <wp:extent cx="3571875" cy="201930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C39F0" w:rsidRDefault="001C39F0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1C39F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 – Сравнение продолжительности жизни в городе и селе</w:t>
      </w:r>
    </w:p>
    <w:p w:rsidR="001C39F0" w:rsidRDefault="001C39F0" w:rsidP="001C39F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4DD" w:rsidRDefault="001C39F0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2937549C" wp14:editId="4AB59F91">
            <wp:extent cx="3943350" cy="212407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C39F0" w:rsidRDefault="001C39F0" w:rsidP="001C39F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 данных таблиц можем сделать вывод, что продолжительность жизни в городе больше, чем в селе.  Это обусловлено тем, что в городе условия для жизни лучше.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Анализ связи показателей благоустройства жилья с региональными различиями в ожидаемой продолжительности жизни населения показал, что более </w:t>
      </w: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всего на продолжительность жизни населения повлияло наличие водопровода, центрального отопления и газа в домах. При этом последний показатель наиболее тесно связан с ожидаемой продолжительностью жизни женского населения.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элементам благоустройства жилья можно условно отнести среднесуточный отпуск воды населению и на коммунально-бытовые нужды на одного жителя РФ (литров на человека). В России происходит постепенное улучшение благоустройства населенных пунктов, наибольшие изменения характерны для села, но степень благоустройства, особенно в сёлах, еще не идеальна.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сожалению, имеющиеся коммунально-бытовые коммуникации находятся в очень плохом состоянии. В этих условиях рост доли благоустроенного жилья (особенно в городах) может смениться его стагнацией из-за вывода из строя сетей в связи с авариями.</w:t>
      </w:r>
    </w:p>
    <w:p w:rsidR="001C39F0" w:rsidRPr="001C39F0" w:rsidRDefault="001C39F0" w:rsidP="001C39F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Развитие процесса в обратном направлении, т.е. ухудшение условий жизни, обветшание и разрушение жилого фонда, неоправданный рост оплаты ЖКХ, низкий </w:t>
      </w:r>
      <w:proofErr w:type="gramStart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размер оплаты труда</w:t>
      </w:r>
      <w:proofErr w:type="gramEnd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предприятиях бюджетной сферы и пенсий ведет к социальной </w:t>
      </w:r>
      <w:proofErr w:type="spellStart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маргинализации</w:t>
      </w:r>
      <w:proofErr w:type="spellEnd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беднейших слоев населения. Это в свою очередь вызывает обратный эпидемиологический переход, теорию которого сформулировала В.Г. Семенова (2006). </w:t>
      </w:r>
      <w:proofErr w:type="gramStart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этой связи она подчеркивает, что в постсоветский период основным источником потерь здоровья стало разрастание маргинальных слоев населения и увеличение преимущественно в них рисков смертности от экзогенных и внешних причин (туберкулез, пневмонии, циррозы разной этиологии, повреждения с неопределенными намерениями, случайные отравления алкоголем, а также от неточно обозначенных симптомов, признаков и состояний), причем в молодых возрастах весь этот спектр причин почти</w:t>
      </w:r>
      <w:proofErr w:type="gramEnd"/>
      <w:r w:rsidRPr="001C39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полностью определяется неработающими и низко квалифицированными рабочими.</w:t>
      </w:r>
    </w:p>
    <w:p w:rsidR="001C39F0" w:rsidRDefault="001C39F0" w:rsidP="00457A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7AB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6</w:t>
      </w:r>
      <w:r w:rsidR="00C354DD">
        <w:rPr>
          <w:rFonts w:ascii="Times New Roman" w:hAnsi="Times New Roman" w:cs="Times New Roman"/>
          <w:sz w:val="26"/>
          <w:szCs w:val="26"/>
        </w:rPr>
        <w:t xml:space="preserve"> – Сравнение продолжительности жизни мужчин и женщин</w:t>
      </w:r>
    </w:p>
    <w:p w:rsidR="00C354DD" w:rsidRDefault="00C354DD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4DD" w:rsidRDefault="00C354DD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00AA9BBE" wp14:editId="2C2581DF">
            <wp:extent cx="4572000" cy="27432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данным таблицы делаем вывод, что продолжительность женщин во все времена была выше мужской. </w:t>
      </w: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Pr="0056401E" w:rsidRDefault="0056401E" w:rsidP="0056401E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еверные и горно-таежные районы России, которые характеризуются дискомфортными и экстремальными природными условиями, отличаются более низкой продолжительностью жизни по сравнению со средними показателями по стране и еще более низкими показателями по сравнению с территориями с комфортными природными условиями.</w:t>
      </w:r>
    </w:p>
    <w:p w:rsidR="0056401E" w:rsidRPr="0056401E" w:rsidRDefault="0056401E" w:rsidP="0056401E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людей, живущих в суровых природных условиях, показатели здоровья хуже, чем у жителей районов с умеренным климатом. Обращает на себя внимание тот факт, что в наибольшей степени от неблагоприятных природных условий страдают женщины. Это неудивительно в связи с тем, что в экстремальных и дискомфортных районах социально-бытовая инфраструктура развита особенно слабо.</w:t>
      </w:r>
    </w:p>
    <w:p w:rsidR="0056401E" w:rsidRPr="0056401E" w:rsidRDefault="0056401E" w:rsidP="0056401E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Проведенный анализ связи ожидаемой продолжительности жизни с некоторыми внешними факторами показывает, что решение наиболее важной стратегической задачи государства – повышение качества общественного здоровья, в первую очередь зависит от улучшения условий жизни населения, для чего необходима стабилизация на высоком уровне социально – экономической ситуации </w:t>
      </w: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 стране. Между тем, падение уровня и качества жизни в регионах России с 1991 по 1999 год не только не преодолено, но различия между регионами, по-видимому, продолжают углубляться. В основе этого падения лежат многие причины, в том числе сокращение промышленного производства, о чем косвенно свидетельствует довольно тесная связь рассматриваемого показателя с удельным весом убыточных предприятий промышленности в регионах.</w:t>
      </w: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1C39F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39F0" w:rsidRDefault="001C39F0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A10A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56401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ЗАКЛЮЧЕНИЕ</w:t>
      </w:r>
    </w:p>
    <w:p w:rsidR="0056401E" w:rsidRDefault="0056401E" w:rsidP="0056401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Регионы с удовлетворительным уровнем ОПЖ населения характеризуются: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относительной стабильностью уровня и качества жизни за годы реформ, что определяется во многом низкой долей убыточных предприятий и организаций в этом регионе;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доля жилья, находящегося в частной собственности граждан, выше среднероссийского уровня;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благоустройство жилищного фонда находится на хорошем уровне. Из всех элементов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благоустройства особенно позитивно на ОПЖ сказывается наличие центрального отопления и водопровода в домах, а также газа, но последнее имеет четко выраженную природно-территориальную обусловленность;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плотность с твердым покрытием выше среднероссийской, что характерно для регионов с хорошими условиями жизни (старые «обжитые» районы);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средний размер назначенных месячных пенсий существенно превышает величину прожиточного минимума пенсионеров;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развиты рыночные отношения, что определяется высокой долей доходов от предпринимательской деятельности и от собственности в совокупном доходе.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Число факторов, влияющих на состояние общественного здоровья, в том числе на ожидаемую продолжительность жизни, весьма велико. Кроме </w:t>
      </w:r>
      <w:proofErr w:type="gramStart"/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перечисленных</w:t>
      </w:r>
      <w:proofErr w:type="gramEnd"/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выше это и многообразные природные факторы, и загрязнение окружающей среды, и качество медицинской помощи, а также национальный состав населения и уровень его образования.</w:t>
      </w:r>
    </w:p>
    <w:p w:rsidR="0056401E" w:rsidRPr="0056401E" w:rsidRDefault="0056401E" w:rsidP="000604B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4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 не менее, наиболее существенная роль в повышении здоровья населения принадлежит социально-экономическим факторам, которые резко обостряются на фоне роста межрайонной дифференциации. Недостаточное внимание к этим проблемам со стороны руководства страны, регионов и муниципальных образований приводит к снижению качества общественного здоровья.</w:t>
      </w:r>
    </w:p>
    <w:p w:rsidR="0056401E" w:rsidRDefault="0056401E" w:rsidP="000604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56401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0604B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6401E" w:rsidRDefault="0056401E" w:rsidP="0056401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СПИСОК ИСПОЛЬЗОВАННЫХ ИСТОЧНИКОВ</w:t>
      </w:r>
    </w:p>
    <w:p w:rsidR="0056401E" w:rsidRDefault="0056401E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6401E" w:rsidRDefault="000604BD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Население Архангельской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 [Электронный ресурс].– Режим доступа: </w:t>
      </w:r>
      <w:hyperlink r:id="rId16" w:history="1">
        <w:r w:rsidR="0056401E" w:rsidRPr="003F6390">
          <w:rPr>
            <w:rStyle w:val="a3"/>
            <w:rFonts w:ascii="Times New Roman" w:hAnsi="Times New Roman" w:cs="Times New Roman"/>
            <w:sz w:val="26"/>
            <w:szCs w:val="26"/>
          </w:rPr>
          <w:t>http://newsruss.ru/doc/index</w:t>
        </w:r>
      </w:hyperlink>
      <w:r w:rsidR="0056401E" w:rsidRPr="0056401E">
        <w:rPr>
          <w:rFonts w:ascii="Times New Roman" w:hAnsi="Times New Roman" w:cs="Times New Roman"/>
          <w:sz w:val="26"/>
          <w:szCs w:val="26"/>
        </w:rPr>
        <w:t>.</w:t>
      </w:r>
    </w:p>
    <w:p w:rsidR="0056401E" w:rsidRDefault="000604BD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Словарь </w:t>
      </w:r>
      <w:r>
        <w:rPr>
          <w:rFonts w:ascii="Times New Roman" w:hAnsi="Times New Roman" w:cs="Times New Roman"/>
          <w:sz w:val="26"/>
          <w:szCs w:val="26"/>
        </w:rPr>
        <w:t xml:space="preserve"> [Электронный ресурс].– Режим доступа: </w:t>
      </w:r>
      <w:hyperlink r:id="rId17" w:history="1">
        <w:r w:rsidR="0056401E" w:rsidRPr="003F6390">
          <w:rPr>
            <w:rStyle w:val="a3"/>
            <w:rFonts w:ascii="Times New Roman" w:hAnsi="Times New Roman" w:cs="Times New Roman"/>
            <w:sz w:val="26"/>
            <w:szCs w:val="26"/>
          </w:rPr>
          <w:t>http://www.slovarus.ru/?di=222779</w:t>
        </w:r>
      </w:hyperlink>
    </w:p>
    <w:p w:rsidR="000604BD" w:rsidRDefault="0056401E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Консультант плюс </w:t>
      </w:r>
      <w:r>
        <w:rPr>
          <w:rFonts w:ascii="Times New Roman" w:hAnsi="Times New Roman" w:cs="Times New Roman"/>
          <w:sz w:val="26"/>
          <w:szCs w:val="26"/>
        </w:rPr>
        <w:t xml:space="preserve"> [Электронный ресурс].– Режим доступа: </w:t>
      </w:r>
      <w:hyperlink r:id="rId18" w:history="1">
        <w:r w:rsidRPr="003F6390">
          <w:rPr>
            <w:rStyle w:val="a3"/>
            <w:rFonts w:ascii="Times New Roman" w:hAnsi="Times New Roman" w:cs="Times New Roman"/>
            <w:sz w:val="26"/>
            <w:szCs w:val="26"/>
          </w:rPr>
          <w:t>https://www.consultant.ru/document/cons_doc_LAW_162178/5433239bfc9ab0e06022c9d2b6437d4d7eaa2f49/</w:t>
        </w:r>
      </w:hyperlink>
    </w:p>
    <w:p w:rsidR="0056401E" w:rsidRDefault="000604BD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Стат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ИНФО </w:t>
      </w:r>
      <w:r>
        <w:rPr>
          <w:rFonts w:ascii="Times New Roman" w:hAnsi="Times New Roman" w:cs="Times New Roman"/>
          <w:sz w:val="26"/>
          <w:szCs w:val="26"/>
        </w:rPr>
        <w:t xml:space="preserve"> [Элект</w:t>
      </w:r>
      <w:r>
        <w:rPr>
          <w:rFonts w:ascii="Times New Roman" w:hAnsi="Times New Roman" w:cs="Times New Roman"/>
          <w:sz w:val="26"/>
          <w:szCs w:val="26"/>
        </w:rPr>
        <w:t xml:space="preserve">ронный ресурс].– Режим доступа: </w:t>
      </w:r>
      <w:hyperlink r:id="rId19" w:history="1">
        <w:r w:rsidR="0056401E" w:rsidRPr="003F6390">
          <w:rPr>
            <w:rStyle w:val="a3"/>
            <w:rFonts w:ascii="Times New Roman" w:hAnsi="Times New Roman" w:cs="Times New Roman"/>
            <w:sz w:val="26"/>
            <w:szCs w:val="26"/>
          </w:rPr>
          <w:t>http://www.statinfo.biz/HTML/M186F564A2027L1.aspx</w:t>
        </w:r>
      </w:hyperlink>
    </w:p>
    <w:p w:rsidR="0056401E" w:rsidRPr="00A10A4F" w:rsidRDefault="000604BD" w:rsidP="0056401E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ЕМИС </w:t>
      </w:r>
      <w:r>
        <w:rPr>
          <w:rFonts w:ascii="Times New Roman" w:hAnsi="Times New Roman" w:cs="Times New Roman"/>
          <w:sz w:val="26"/>
          <w:szCs w:val="26"/>
        </w:rPr>
        <w:t xml:space="preserve"> [Элект</w:t>
      </w:r>
      <w:r>
        <w:rPr>
          <w:rFonts w:ascii="Times New Roman" w:hAnsi="Times New Roman" w:cs="Times New Roman"/>
          <w:sz w:val="26"/>
          <w:szCs w:val="26"/>
        </w:rPr>
        <w:t xml:space="preserve">ронный ресурс].– Режим доступа: </w:t>
      </w:r>
      <w:r w:rsidR="0056401E" w:rsidRPr="0056401E">
        <w:rPr>
          <w:rFonts w:ascii="Times New Roman" w:hAnsi="Times New Roman" w:cs="Times New Roman"/>
          <w:sz w:val="26"/>
          <w:szCs w:val="26"/>
        </w:rPr>
        <w:t>http://www.fedstat.ru/indicator/data.do?id=31293</w:t>
      </w:r>
    </w:p>
    <w:sectPr w:rsidR="0056401E" w:rsidRPr="00A10A4F" w:rsidSect="00462FFF">
      <w:footerReference w:type="default" r:id="rId20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838" w:rsidRDefault="00E51838" w:rsidP="00462FFF">
      <w:pPr>
        <w:spacing w:after="0" w:line="240" w:lineRule="auto"/>
      </w:pPr>
      <w:r>
        <w:separator/>
      </w:r>
    </w:p>
  </w:endnote>
  <w:endnote w:type="continuationSeparator" w:id="0">
    <w:p w:rsidR="00E51838" w:rsidRDefault="00E51838" w:rsidP="0046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790830"/>
      <w:docPartObj>
        <w:docPartGallery w:val="Page Numbers (Bottom of Page)"/>
        <w:docPartUnique/>
      </w:docPartObj>
    </w:sdtPr>
    <w:sdtEndPr/>
    <w:sdtContent>
      <w:p w:rsidR="00462FFF" w:rsidRDefault="00462F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4BD">
          <w:rPr>
            <w:noProof/>
          </w:rPr>
          <w:t>15</w:t>
        </w:r>
        <w:r>
          <w:fldChar w:fldCharType="end"/>
        </w:r>
      </w:p>
    </w:sdtContent>
  </w:sdt>
  <w:p w:rsidR="00462FFF" w:rsidRDefault="00462F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838" w:rsidRDefault="00E51838" w:rsidP="00462FFF">
      <w:pPr>
        <w:spacing w:after="0" w:line="240" w:lineRule="auto"/>
      </w:pPr>
      <w:r>
        <w:separator/>
      </w:r>
    </w:p>
  </w:footnote>
  <w:footnote w:type="continuationSeparator" w:id="0">
    <w:p w:rsidR="00E51838" w:rsidRDefault="00E51838" w:rsidP="00462F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AE"/>
    <w:rsid w:val="000604BD"/>
    <w:rsid w:val="0013370A"/>
    <w:rsid w:val="001C39F0"/>
    <w:rsid w:val="002A5EE1"/>
    <w:rsid w:val="00457AB0"/>
    <w:rsid w:val="00462FFF"/>
    <w:rsid w:val="00502881"/>
    <w:rsid w:val="0056401E"/>
    <w:rsid w:val="005B6A48"/>
    <w:rsid w:val="00672B9A"/>
    <w:rsid w:val="006D61A0"/>
    <w:rsid w:val="00871405"/>
    <w:rsid w:val="00890F59"/>
    <w:rsid w:val="00A10A4F"/>
    <w:rsid w:val="00A94EFC"/>
    <w:rsid w:val="00AC76CB"/>
    <w:rsid w:val="00B220AE"/>
    <w:rsid w:val="00B979AB"/>
    <w:rsid w:val="00C354DD"/>
    <w:rsid w:val="00D63FFC"/>
    <w:rsid w:val="00E51838"/>
    <w:rsid w:val="00EB7650"/>
    <w:rsid w:val="00EC6920"/>
    <w:rsid w:val="00F1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A94EFC"/>
  </w:style>
  <w:style w:type="character" w:customStyle="1" w:styleId="apple-converted-space">
    <w:name w:val="apple-converted-space"/>
    <w:basedOn w:val="a0"/>
    <w:rsid w:val="00A94EFC"/>
  </w:style>
  <w:style w:type="character" w:styleId="a3">
    <w:name w:val="Hyperlink"/>
    <w:basedOn w:val="a0"/>
    <w:uiPriority w:val="99"/>
    <w:unhideWhenUsed/>
    <w:rsid w:val="00A94E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1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FFF"/>
  </w:style>
  <w:style w:type="paragraph" w:styleId="a7">
    <w:name w:val="footer"/>
    <w:basedOn w:val="a"/>
    <w:link w:val="a8"/>
    <w:uiPriority w:val="99"/>
    <w:unhideWhenUsed/>
    <w:rsid w:val="0046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FFF"/>
  </w:style>
  <w:style w:type="paragraph" w:styleId="a9">
    <w:name w:val="Balloon Text"/>
    <w:basedOn w:val="a"/>
    <w:link w:val="aa"/>
    <w:uiPriority w:val="99"/>
    <w:semiHidden/>
    <w:unhideWhenUsed/>
    <w:rsid w:val="0046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F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A94EFC"/>
  </w:style>
  <w:style w:type="character" w:customStyle="1" w:styleId="apple-converted-space">
    <w:name w:val="apple-converted-space"/>
    <w:basedOn w:val="a0"/>
    <w:rsid w:val="00A94EFC"/>
  </w:style>
  <w:style w:type="character" w:styleId="a3">
    <w:name w:val="Hyperlink"/>
    <w:basedOn w:val="a0"/>
    <w:uiPriority w:val="99"/>
    <w:unhideWhenUsed/>
    <w:rsid w:val="00A94E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14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FFF"/>
  </w:style>
  <w:style w:type="paragraph" w:styleId="a7">
    <w:name w:val="footer"/>
    <w:basedOn w:val="a"/>
    <w:link w:val="a8"/>
    <w:uiPriority w:val="99"/>
    <w:unhideWhenUsed/>
    <w:rsid w:val="00462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FFF"/>
  </w:style>
  <w:style w:type="paragraph" w:styleId="a9">
    <w:name w:val="Balloon Text"/>
    <w:basedOn w:val="a"/>
    <w:link w:val="aa"/>
    <w:uiPriority w:val="99"/>
    <w:semiHidden/>
    <w:unhideWhenUsed/>
    <w:rsid w:val="0046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2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0%BC%D0%BE%D0%B3%D1%80%D0%B0%D1%84%D0%B8%D1%87%D0%B5%D1%81%D0%BA%D0%B8%D0%B5_%D0%BF%D0%BE%D0%BA%D0%B0%D0%B7%D0%B0%D1%82%D0%B5%D0%BB%D0%B8" TargetMode="External"/><Relationship Id="rId13" Type="http://schemas.openxmlformats.org/officeDocument/2006/relationships/chart" Target="charts/chart4.xml"/><Relationship Id="rId18" Type="http://schemas.openxmlformats.org/officeDocument/2006/relationships/hyperlink" Target="https://www.consultant.ru/document/cons_doc_LAW_162178/5433239bfc9ab0e06022c9d2b6437d4d7eaa2f49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hyperlink" Target="http://www.slovarus.ru/?di=222779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sruss.ru/doc/inde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hyperlink" Target="http://www.statinfo.biz/HTML/M186F564A2027L1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0%D0%B1%D0%BB%D0%B8%D1%86%D0%B0_%D1%81%D0%BC%D0%B5%D1%80%D1%82%D0%BD%D0%BE%D1%81%D1%82%D0%B8" TargetMode="External"/><Relationship Id="rId14" Type="http://schemas.openxmlformats.org/officeDocument/2006/relationships/chart" Target="charts/chart5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Documents\&#1076;&#1077;&#1084;&#1086;&#1075;&#1088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Documents\&#1076;&#1077;&#1084;&#1086;&#1075;&#1088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Documents\&#1076;&#1077;&#1084;&#1086;&#1075;&#1088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Documents\&#1076;&#1077;&#1084;&#1086;&#1075;&#1088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Documents\&#1076;&#1077;&#1084;&#1086;&#1075;&#1088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Все население женщин</c:v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Лист1!$E$2:$U$2</c:f>
              <c:numCache>
                <c:formatCode>General</c:formatCode>
                <c:ptCount val="17"/>
                <c:pt idx="0">
                  <c:v>74.3</c:v>
                </c:pt>
                <c:pt idx="1">
                  <c:v>74.400000000000006</c:v>
                </c:pt>
                <c:pt idx="2">
                  <c:v>73</c:v>
                </c:pt>
                <c:pt idx="3">
                  <c:v>70.8</c:v>
                </c:pt>
                <c:pt idx="4">
                  <c:v>69.599999999999994</c:v>
                </c:pt>
                <c:pt idx="5">
                  <c:v>70.5</c:v>
                </c:pt>
                <c:pt idx="6">
                  <c:v>71.7</c:v>
                </c:pt>
                <c:pt idx="7">
                  <c:v>72</c:v>
                </c:pt>
                <c:pt idx="8">
                  <c:v>72.5</c:v>
                </c:pt>
                <c:pt idx="9">
                  <c:v>70.8</c:v>
                </c:pt>
                <c:pt idx="10">
                  <c:v>70.599999999999994</c:v>
                </c:pt>
                <c:pt idx="11">
                  <c:v>71.099999999999994</c:v>
                </c:pt>
                <c:pt idx="12">
                  <c:v>70.2</c:v>
                </c:pt>
                <c:pt idx="13">
                  <c:v>69.900000000000006</c:v>
                </c:pt>
                <c:pt idx="14">
                  <c:v>70.5</c:v>
                </c:pt>
                <c:pt idx="15">
                  <c:v>71.099999999999994</c:v>
                </c:pt>
                <c:pt idx="16">
                  <c:v>72.3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591104"/>
        <c:axId val="82654336"/>
      </c:lineChart>
      <c:catAx>
        <c:axId val="82591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654336"/>
        <c:crosses val="autoZero"/>
        <c:auto val="1"/>
        <c:lblAlgn val="ctr"/>
        <c:lblOffset val="100"/>
        <c:noMultiLvlLbl val="0"/>
      </c:catAx>
      <c:valAx>
        <c:axId val="826543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591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6988407699037618E-2"/>
          <c:y val="3.75116652085156E-2"/>
          <c:w val="0.53368657042869638"/>
          <c:h val="0.8326195683872849"/>
        </c:manualLayout>
      </c:layout>
      <c:lineChart>
        <c:grouping val="standard"/>
        <c:varyColors val="0"/>
        <c:ser>
          <c:idx val="1"/>
          <c:order val="0"/>
          <c:tx>
            <c:strRef>
              <c:f>Лист1!$D$3</c:f>
              <c:strCache>
                <c:ptCount val="1"/>
                <c:pt idx="0">
                  <c:v>городское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Лист1!$E$3:$U$3</c:f>
              <c:numCache>
                <c:formatCode>General</c:formatCode>
                <c:ptCount val="17"/>
                <c:pt idx="0">
                  <c:v>74.3</c:v>
                </c:pt>
                <c:pt idx="1">
                  <c:v>74.8</c:v>
                </c:pt>
                <c:pt idx="2">
                  <c:v>73.2</c:v>
                </c:pt>
                <c:pt idx="3">
                  <c:v>71</c:v>
                </c:pt>
                <c:pt idx="4">
                  <c:v>70.099999999999994</c:v>
                </c:pt>
                <c:pt idx="5">
                  <c:v>70.7</c:v>
                </c:pt>
                <c:pt idx="6">
                  <c:v>72</c:v>
                </c:pt>
                <c:pt idx="7">
                  <c:v>72.2</c:v>
                </c:pt>
                <c:pt idx="8">
                  <c:v>72.7</c:v>
                </c:pt>
                <c:pt idx="9">
                  <c:v>71</c:v>
                </c:pt>
                <c:pt idx="10">
                  <c:v>70.7</c:v>
                </c:pt>
                <c:pt idx="11">
                  <c:v>71.400000000000006</c:v>
                </c:pt>
                <c:pt idx="12">
                  <c:v>70.599999999999994</c:v>
                </c:pt>
                <c:pt idx="13">
                  <c:v>70.3</c:v>
                </c:pt>
                <c:pt idx="14">
                  <c:v>71.2</c:v>
                </c:pt>
                <c:pt idx="15">
                  <c:v>71.599999999999994</c:v>
                </c:pt>
                <c:pt idx="16">
                  <c:v>73.2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Лист1!$D$4</c:f>
              <c:strCache>
                <c:ptCount val="1"/>
                <c:pt idx="0">
                  <c:v>сельское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Лист1!$E$4:$U$4</c:f>
              <c:numCache>
                <c:formatCode>General</c:formatCode>
                <c:ptCount val="17"/>
                <c:pt idx="0">
                  <c:v>73.900000000000006</c:v>
                </c:pt>
                <c:pt idx="1">
                  <c:v>73.3</c:v>
                </c:pt>
                <c:pt idx="2">
                  <c:v>72</c:v>
                </c:pt>
                <c:pt idx="3">
                  <c:v>70</c:v>
                </c:pt>
                <c:pt idx="4">
                  <c:v>68.099999999999994</c:v>
                </c:pt>
                <c:pt idx="5">
                  <c:v>69.7</c:v>
                </c:pt>
                <c:pt idx="6">
                  <c:v>70.599999999999994</c:v>
                </c:pt>
                <c:pt idx="7">
                  <c:v>71.099999999999994</c:v>
                </c:pt>
                <c:pt idx="8">
                  <c:v>71.8</c:v>
                </c:pt>
                <c:pt idx="9">
                  <c:v>70.099999999999994</c:v>
                </c:pt>
                <c:pt idx="10">
                  <c:v>69.900000000000006</c:v>
                </c:pt>
                <c:pt idx="11">
                  <c:v>70.099999999999994</c:v>
                </c:pt>
                <c:pt idx="12">
                  <c:v>69</c:v>
                </c:pt>
                <c:pt idx="13">
                  <c:v>68.8</c:v>
                </c:pt>
                <c:pt idx="14">
                  <c:v>68.3</c:v>
                </c:pt>
                <c:pt idx="15">
                  <c:v>69.599999999999994</c:v>
                </c:pt>
                <c:pt idx="16">
                  <c:v>69.7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691968"/>
        <c:axId val="82693504"/>
      </c:lineChart>
      <c:catAx>
        <c:axId val="82691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693504"/>
        <c:crosses val="autoZero"/>
        <c:auto val="1"/>
        <c:lblAlgn val="ctr"/>
        <c:lblOffset val="100"/>
        <c:noMultiLvlLbl val="0"/>
      </c:catAx>
      <c:valAx>
        <c:axId val="826935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6919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Лист1!$D$5</c:f>
              <c:strCache>
                <c:ptCount val="1"/>
                <c:pt idx="0">
                  <c:v>все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Лист1!$E$5:$U$5</c:f>
              <c:numCache>
                <c:formatCode>General</c:formatCode>
                <c:ptCount val="17"/>
                <c:pt idx="0">
                  <c:v>63.7</c:v>
                </c:pt>
                <c:pt idx="1">
                  <c:v>63.6</c:v>
                </c:pt>
                <c:pt idx="2">
                  <c:v>60.2</c:v>
                </c:pt>
                <c:pt idx="3">
                  <c:v>56.8</c:v>
                </c:pt>
                <c:pt idx="4">
                  <c:v>55.3</c:v>
                </c:pt>
                <c:pt idx="5">
                  <c:v>56.4</c:v>
                </c:pt>
                <c:pt idx="6">
                  <c:v>57.7</c:v>
                </c:pt>
                <c:pt idx="7">
                  <c:v>60</c:v>
                </c:pt>
                <c:pt idx="8">
                  <c:v>59.7</c:v>
                </c:pt>
                <c:pt idx="9">
                  <c:v>57</c:v>
                </c:pt>
                <c:pt idx="10">
                  <c:v>56.3</c:v>
                </c:pt>
                <c:pt idx="11">
                  <c:v>56.4</c:v>
                </c:pt>
                <c:pt idx="12">
                  <c:v>55.7</c:v>
                </c:pt>
                <c:pt idx="13">
                  <c:v>55.4</c:v>
                </c:pt>
                <c:pt idx="14">
                  <c:v>55.6</c:v>
                </c:pt>
                <c:pt idx="15">
                  <c:v>56.2</c:v>
                </c:pt>
                <c:pt idx="16">
                  <c:v>58.4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705408"/>
        <c:axId val="82899712"/>
      </c:lineChart>
      <c:catAx>
        <c:axId val="82705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99712"/>
        <c:crosses val="autoZero"/>
        <c:auto val="1"/>
        <c:lblAlgn val="ctr"/>
        <c:lblOffset val="100"/>
        <c:noMultiLvlLbl val="0"/>
      </c:catAx>
      <c:valAx>
        <c:axId val="82899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7054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Лист1!$D$6</c:f>
              <c:strCache>
                <c:ptCount val="1"/>
                <c:pt idx="0">
                  <c:v>городское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Лист1!$E$6:$U$6</c:f>
              <c:numCache>
                <c:formatCode>General</c:formatCode>
                <c:ptCount val="17"/>
                <c:pt idx="0">
                  <c:v>64.7</c:v>
                </c:pt>
                <c:pt idx="1">
                  <c:v>64.400000000000006</c:v>
                </c:pt>
                <c:pt idx="2">
                  <c:v>60.9</c:v>
                </c:pt>
                <c:pt idx="3">
                  <c:v>57.5</c:v>
                </c:pt>
                <c:pt idx="4">
                  <c:v>55.7</c:v>
                </c:pt>
                <c:pt idx="5">
                  <c:v>57</c:v>
                </c:pt>
                <c:pt idx="6">
                  <c:v>58.5</c:v>
                </c:pt>
                <c:pt idx="7">
                  <c:v>60.9</c:v>
                </c:pt>
                <c:pt idx="8">
                  <c:v>60.3</c:v>
                </c:pt>
                <c:pt idx="9">
                  <c:v>57.5</c:v>
                </c:pt>
                <c:pt idx="10">
                  <c:v>56.8</c:v>
                </c:pt>
                <c:pt idx="11">
                  <c:v>57</c:v>
                </c:pt>
                <c:pt idx="12">
                  <c:v>56.4</c:v>
                </c:pt>
                <c:pt idx="13">
                  <c:v>56.2</c:v>
                </c:pt>
                <c:pt idx="14">
                  <c:v>56.6</c:v>
                </c:pt>
                <c:pt idx="15">
                  <c:v>56.9</c:v>
                </c:pt>
                <c:pt idx="16">
                  <c:v>59.6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Лист1!$D$7</c:f>
              <c:strCache>
                <c:ptCount val="1"/>
                <c:pt idx="0">
                  <c:v>сельское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Лист1!$E$7:$U$7</c:f>
              <c:numCache>
                <c:formatCode>General</c:formatCode>
                <c:ptCount val="17"/>
                <c:pt idx="0">
                  <c:v>61</c:v>
                </c:pt>
                <c:pt idx="1">
                  <c:v>61.3</c:v>
                </c:pt>
                <c:pt idx="2">
                  <c:v>58.3</c:v>
                </c:pt>
                <c:pt idx="3">
                  <c:v>54.9</c:v>
                </c:pt>
                <c:pt idx="4">
                  <c:v>54</c:v>
                </c:pt>
                <c:pt idx="5">
                  <c:v>54.7</c:v>
                </c:pt>
                <c:pt idx="6">
                  <c:v>55.4</c:v>
                </c:pt>
                <c:pt idx="7">
                  <c:v>57.5</c:v>
                </c:pt>
                <c:pt idx="8">
                  <c:v>57.9</c:v>
                </c:pt>
                <c:pt idx="9">
                  <c:v>55.4</c:v>
                </c:pt>
                <c:pt idx="10">
                  <c:v>54.9</c:v>
                </c:pt>
                <c:pt idx="11">
                  <c:v>54.4</c:v>
                </c:pt>
                <c:pt idx="12">
                  <c:v>53.4</c:v>
                </c:pt>
                <c:pt idx="13">
                  <c:v>53</c:v>
                </c:pt>
                <c:pt idx="14">
                  <c:v>52.9</c:v>
                </c:pt>
                <c:pt idx="15">
                  <c:v>54</c:v>
                </c:pt>
                <c:pt idx="16">
                  <c:v>55.1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038976"/>
        <c:axId val="83040512"/>
      </c:lineChart>
      <c:catAx>
        <c:axId val="83038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3040512"/>
        <c:crosses val="autoZero"/>
        <c:auto val="1"/>
        <c:lblAlgn val="ctr"/>
        <c:lblOffset val="100"/>
        <c:noMultiLvlLbl val="0"/>
      </c:catAx>
      <c:valAx>
        <c:axId val="830405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30389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Лист1!$D$9</c:f>
              <c:strCache>
                <c:ptCount val="1"/>
                <c:pt idx="0">
                  <c:v>городское население</c:v>
                </c:pt>
              </c:strCache>
            </c:strRef>
          </c:tx>
          <c:marker>
            <c:symbol val="none"/>
          </c:marker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Лист1!$E$9:$U$9</c:f>
              <c:numCache>
                <c:formatCode>General</c:formatCode>
                <c:ptCount val="17"/>
                <c:pt idx="0">
                  <c:v>69.8</c:v>
                </c:pt>
                <c:pt idx="1">
                  <c:v>69.8</c:v>
                </c:pt>
                <c:pt idx="2">
                  <c:v>67</c:v>
                </c:pt>
                <c:pt idx="3">
                  <c:v>63.8</c:v>
                </c:pt>
                <c:pt idx="4">
                  <c:v>62.2</c:v>
                </c:pt>
                <c:pt idx="5">
                  <c:v>63.4</c:v>
                </c:pt>
                <c:pt idx="6">
                  <c:v>64.900000000000006</c:v>
                </c:pt>
                <c:pt idx="7">
                  <c:v>66.5</c:v>
                </c:pt>
                <c:pt idx="8">
                  <c:v>66.400000000000006</c:v>
                </c:pt>
                <c:pt idx="9">
                  <c:v>63.9</c:v>
                </c:pt>
                <c:pt idx="10">
                  <c:v>63.3</c:v>
                </c:pt>
                <c:pt idx="11">
                  <c:v>63.8</c:v>
                </c:pt>
                <c:pt idx="12">
                  <c:v>63</c:v>
                </c:pt>
                <c:pt idx="13">
                  <c:v>62.8</c:v>
                </c:pt>
                <c:pt idx="14">
                  <c:v>63.4</c:v>
                </c:pt>
                <c:pt idx="15">
                  <c:v>63.8</c:v>
                </c:pt>
                <c:pt idx="16">
                  <c:v>66.2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Лист1!$D$10</c:f>
              <c:strCache>
                <c:ptCount val="1"/>
                <c:pt idx="0">
                  <c:v>сельское население</c:v>
                </c:pt>
              </c:strCache>
            </c:strRef>
          </c:tx>
          <c:marker>
            <c:symbol val="none"/>
          </c:marker>
          <c:val>
            <c:numRef>
              <c:f>Лист1!$E$10:$U$10</c:f>
              <c:numCache>
                <c:formatCode>General</c:formatCode>
                <c:ptCount val="17"/>
                <c:pt idx="0">
                  <c:v>67.099999999999994</c:v>
                </c:pt>
                <c:pt idx="1">
                  <c:v>67</c:v>
                </c:pt>
                <c:pt idx="2">
                  <c:v>64.5</c:v>
                </c:pt>
                <c:pt idx="3">
                  <c:v>61.4</c:v>
                </c:pt>
                <c:pt idx="4">
                  <c:v>59.8</c:v>
                </c:pt>
                <c:pt idx="5">
                  <c:v>61</c:v>
                </c:pt>
                <c:pt idx="6">
                  <c:v>61.9</c:v>
                </c:pt>
                <c:pt idx="7">
                  <c:v>63.4</c:v>
                </c:pt>
                <c:pt idx="8">
                  <c:v>64</c:v>
                </c:pt>
                <c:pt idx="9">
                  <c:v>61.5</c:v>
                </c:pt>
                <c:pt idx="10">
                  <c:v>61.1</c:v>
                </c:pt>
                <c:pt idx="11">
                  <c:v>60.9</c:v>
                </c:pt>
                <c:pt idx="12">
                  <c:v>59.7</c:v>
                </c:pt>
                <c:pt idx="13">
                  <c:v>59.4</c:v>
                </c:pt>
                <c:pt idx="14">
                  <c:v>59.2</c:v>
                </c:pt>
                <c:pt idx="15">
                  <c:v>60.4</c:v>
                </c:pt>
                <c:pt idx="16">
                  <c:v>61.3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090048"/>
        <c:axId val="83562880"/>
      </c:lineChart>
      <c:catAx>
        <c:axId val="83090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3562880"/>
        <c:crosses val="autoZero"/>
        <c:auto val="1"/>
        <c:lblAlgn val="ctr"/>
        <c:lblOffset val="100"/>
        <c:noMultiLvlLbl val="0"/>
      </c:catAx>
      <c:valAx>
        <c:axId val="83562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30900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Женщины все население </c:v>
          </c:tx>
          <c:invertIfNegative val="0"/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Лист1!$E$2:$U$2</c:f>
              <c:numCache>
                <c:formatCode>General</c:formatCode>
                <c:ptCount val="17"/>
                <c:pt idx="0">
                  <c:v>74.3</c:v>
                </c:pt>
                <c:pt idx="1">
                  <c:v>74.400000000000006</c:v>
                </c:pt>
                <c:pt idx="2">
                  <c:v>73</c:v>
                </c:pt>
                <c:pt idx="3">
                  <c:v>70.8</c:v>
                </c:pt>
                <c:pt idx="4">
                  <c:v>69.599999999999994</c:v>
                </c:pt>
                <c:pt idx="5">
                  <c:v>70.5</c:v>
                </c:pt>
                <c:pt idx="6">
                  <c:v>71.7</c:v>
                </c:pt>
                <c:pt idx="7">
                  <c:v>72</c:v>
                </c:pt>
                <c:pt idx="8">
                  <c:v>72.5</c:v>
                </c:pt>
                <c:pt idx="9">
                  <c:v>70.8</c:v>
                </c:pt>
                <c:pt idx="10">
                  <c:v>70.599999999999994</c:v>
                </c:pt>
                <c:pt idx="11">
                  <c:v>71.099999999999994</c:v>
                </c:pt>
                <c:pt idx="12">
                  <c:v>70.2</c:v>
                </c:pt>
                <c:pt idx="13">
                  <c:v>69.900000000000006</c:v>
                </c:pt>
                <c:pt idx="14">
                  <c:v>70.5</c:v>
                </c:pt>
                <c:pt idx="15">
                  <c:v>71.099999999999994</c:v>
                </c:pt>
                <c:pt idx="16">
                  <c:v>72.3</c:v>
                </c:pt>
              </c:numCache>
            </c:numRef>
          </c:val>
        </c:ser>
        <c:ser>
          <c:idx val="0"/>
          <c:order val="1"/>
          <c:tx>
            <c:v>мужчины все население</c:v>
          </c:tx>
          <c:invertIfNegative val="0"/>
          <c:cat>
            <c:numRef>
              <c:f>Лист1!$E$1:$U$1</c:f>
              <c:numCache>
                <c:formatCode>General</c:formatCode>
                <c:ptCount val="17"/>
                <c:pt idx="0">
                  <c:v>1990</c:v>
                </c:pt>
                <c:pt idx="1">
                  <c:v>1991</c:v>
                </c:pt>
                <c:pt idx="2">
                  <c:v>1992</c:v>
                </c:pt>
                <c:pt idx="3">
                  <c:v>1993</c:v>
                </c:pt>
                <c:pt idx="4">
                  <c:v>1994</c:v>
                </c:pt>
                <c:pt idx="5">
                  <c:v>1995</c:v>
                </c:pt>
                <c:pt idx="6">
                  <c:v>1996</c:v>
                </c:pt>
                <c:pt idx="7">
                  <c:v>1997</c:v>
                </c:pt>
                <c:pt idx="8">
                  <c:v>1998</c:v>
                </c:pt>
                <c:pt idx="9">
                  <c:v>1999</c:v>
                </c:pt>
                <c:pt idx="10">
                  <c:v>2000</c:v>
                </c:pt>
                <c:pt idx="11">
                  <c:v>2001</c:v>
                </c:pt>
                <c:pt idx="12">
                  <c:v>2002</c:v>
                </c:pt>
                <c:pt idx="13">
                  <c:v>2003</c:v>
                </c:pt>
                <c:pt idx="14">
                  <c:v>2004</c:v>
                </c:pt>
                <c:pt idx="15">
                  <c:v>2005</c:v>
                </c:pt>
                <c:pt idx="16">
                  <c:v>2006</c:v>
                </c:pt>
              </c:numCache>
            </c:numRef>
          </c:cat>
          <c:val>
            <c:numRef>
              <c:f>Лист1!$E$5:$U$5</c:f>
              <c:numCache>
                <c:formatCode>General</c:formatCode>
                <c:ptCount val="17"/>
                <c:pt idx="0">
                  <c:v>63.7</c:v>
                </c:pt>
                <c:pt idx="1">
                  <c:v>63.6</c:v>
                </c:pt>
                <c:pt idx="2">
                  <c:v>60.2</c:v>
                </c:pt>
                <c:pt idx="3">
                  <c:v>56.8</c:v>
                </c:pt>
                <c:pt idx="4">
                  <c:v>55.3</c:v>
                </c:pt>
                <c:pt idx="5">
                  <c:v>56.4</c:v>
                </c:pt>
                <c:pt idx="6">
                  <c:v>57.7</c:v>
                </c:pt>
                <c:pt idx="7">
                  <c:v>60</c:v>
                </c:pt>
                <c:pt idx="8">
                  <c:v>59.7</c:v>
                </c:pt>
                <c:pt idx="9">
                  <c:v>57</c:v>
                </c:pt>
                <c:pt idx="10">
                  <c:v>56.3</c:v>
                </c:pt>
                <c:pt idx="11">
                  <c:v>56.4</c:v>
                </c:pt>
                <c:pt idx="12">
                  <c:v>55.7</c:v>
                </c:pt>
                <c:pt idx="13">
                  <c:v>55.4</c:v>
                </c:pt>
                <c:pt idx="14">
                  <c:v>55.6</c:v>
                </c:pt>
                <c:pt idx="15">
                  <c:v>56.2</c:v>
                </c:pt>
                <c:pt idx="16">
                  <c:v>58.4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3592704"/>
        <c:axId val="83594240"/>
      </c:barChart>
      <c:catAx>
        <c:axId val="8359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3594240"/>
        <c:crosses val="autoZero"/>
        <c:auto val="1"/>
        <c:lblAlgn val="ctr"/>
        <c:lblOffset val="100"/>
        <c:noMultiLvlLbl val="0"/>
      </c:catAx>
      <c:valAx>
        <c:axId val="83594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3592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154F4-344B-41B8-9A8F-8EFDEA56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9</cp:revision>
  <dcterms:created xsi:type="dcterms:W3CDTF">2015-09-12T16:14:00Z</dcterms:created>
  <dcterms:modified xsi:type="dcterms:W3CDTF">2015-09-14T05:55:00Z</dcterms:modified>
</cp:coreProperties>
</file>