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 xml:space="preserve">Уфимский филиал </w:t>
      </w:r>
      <w:proofErr w:type="spellStart"/>
      <w:r w:rsidRPr="00AC6E2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>Финуниверситета</w:t>
      </w:r>
      <w:proofErr w:type="spellEnd"/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Кафедра финансов и кредита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bCs/>
          <w:color w:val="231F20"/>
          <w:sz w:val="28"/>
          <w:szCs w:val="28"/>
          <w:lang w:eastAsia="en-US"/>
        </w:rPr>
        <w:t>КОНТРОЛЬНАЯ РАБОТА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по д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исциплине «Денежно-кредитная система</w:t>
      </w: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»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  <w:t>Вариант № 3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i/>
          <w:iCs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Преп</w:t>
      </w:r>
      <w:r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одаватель: 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 xml:space="preserve">Группы 22 СП, 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Факультет: Экономика (финансы и кредит)</w:t>
      </w: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</w:p>
    <w:p w:rsidR="00AC6E2B" w:rsidRPr="00AC6E2B" w:rsidRDefault="00AC6E2B" w:rsidP="00AC6E2B">
      <w:pPr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</w:pPr>
      <w:r w:rsidRPr="00AC6E2B">
        <w:rPr>
          <w:rFonts w:ascii="Times New Roman" w:eastAsiaTheme="minorHAnsi" w:hAnsi="Times New Roman" w:cs="Times New Roman"/>
          <w:color w:val="231F20"/>
          <w:sz w:val="28"/>
          <w:szCs w:val="28"/>
          <w:lang w:eastAsia="en-US"/>
        </w:rPr>
        <w:t>Уфа – 2015</w:t>
      </w:r>
    </w:p>
    <w:p w:rsidR="00AC6E2B" w:rsidRDefault="00AC6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3BCB" w:rsidRPr="00E86BA9" w:rsidRDefault="00003BC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Материальными носителями финансовых отношений являются:</w:t>
      </w:r>
    </w:p>
    <w:p w:rsidR="005715F5" w:rsidRPr="00E86BA9" w:rsidRDefault="005715F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BCB" w:rsidRPr="00E86BA9" w:rsidRDefault="00003BC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финансовые ресурсы;</w:t>
      </w:r>
    </w:p>
    <w:p w:rsidR="005715F5" w:rsidRPr="00E86BA9" w:rsidRDefault="005715F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Материальными носителями финансовых отношений в некоммерческих организациях выступают финансовые ресурсы. Финансовые ресурсы некоммерческих организаций представляют собой совокупность денежных доходов, поступлений и накоплений, используемых на текущее содержание и расширение деятельности этих организаций.</w:t>
      </w:r>
    </w:p>
    <w:p w:rsidR="005715F5" w:rsidRPr="00E86BA9" w:rsidRDefault="005715F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BCB" w:rsidRPr="00E86BA9" w:rsidRDefault="00003BC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Средства, предоставляемые из одного бюджета другому бюджету бюджетной системы, называются:</w:t>
      </w:r>
    </w:p>
    <w:p w:rsidR="00B6172B" w:rsidRPr="00E86BA9" w:rsidRDefault="00B6172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BCB" w:rsidRPr="00E86BA9" w:rsidRDefault="00003BC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межбюджетными трансфертами;</w:t>
      </w:r>
    </w:p>
    <w:p w:rsidR="00B6172B" w:rsidRPr="00E86BA9" w:rsidRDefault="00B6172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Межбюджетные трансферты </w:t>
      </w:r>
      <w:r w:rsidR="00AC6E2B">
        <w:rPr>
          <w:rFonts w:ascii="Times New Roman" w:hAnsi="Times New Roman" w:cs="Times New Roman"/>
          <w:sz w:val="28"/>
          <w:szCs w:val="28"/>
        </w:rPr>
        <w:t>–</w:t>
      </w:r>
      <w:r w:rsidRPr="00E86BA9">
        <w:rPr>
          <w:rFonts w:ascii="Times New Roman" w:hAnsi="Times New Roman" w:cs="Times New Roman"/>
          <w:sz w:val="28"/>
          <w:szCs w:val="28"/>
        </w:rPr>
        <w:t xml:space="preserve"> это средства одного бюджета бюджетной системы РФ, перечисляемые другому бюджету бюджетной системы РФ.</w:t>
      </w:r>
    </w:p>
    <w:p w:rsidR="00B6172B" w:rsidRPr="00E86BA9" w:rsidRDefault="00B6172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BCB" w:rsidRPr="00E86BA9" w:rsidRDefault="00003BC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Современное определение финансовой системы:</w:t>
      </w:r>
    </w:p>
    <w:p w:rsidR="007757D4" w:rsidRPr="00E86BA9" w:rsidRDefault="007757D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BCB" w:rsidRPr="00E86BA9" w:rsidRDefault="00003BC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«совокупность взаимосвязанных между собой сфер и звеньев финансовых отношений»;</w:t>
      </w:r>
    </w:p>
    <w:p w:rsidR="007757D4" w:rsidRPr="00E86BA9" w:rsidRDefault="007757D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Финансовая система представляет собой совокупность звеньев и элементов финансовых отношений, посредством которых осуществляется распредел</w:t>
      </w:r>
      <w:r w:rsidR="00AC6E2B">
        <w:rPr>
          <w:rFonts w:ascii="Times New Roman" w:hAnsi="Times New Roman" w:cs="Times New Roman"/>
          <w:sz w:val="28"/>
          <w:szCs w:val="28"/>
        </w:rPr>
        <w:t xml:space="preserve">ение общественного </w:t>
      </w:r>
      <w:r w:rsidRPr="00E86BA9">
        <w:rPr>
          <w:rFonts w:ascii="Times New Roman" w:hAnsi="Times New Roman" w:cs="Times New Roman"/>
          <w:sz w:val="28"/>
          <w:szCs w:val="28"/>
        </w:rPr>
        <w:t xml:space="preserve">продукта, </w:t>
      </w:r>
    </w:p>
    <w:p w:rsidR="007757D4" w:rsidRPr="00E86BA9" w:rsidRDefault="007757D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формирование распределение и использование фондов денежных средств, денежных доходов и накоплений государства, хозяйствующих субъектов и населения.</w:t>
      </w:r>
    </w:p>
    <w:p w:rsidR="007757D4" w:rsidRPr="00E86BA9" w:rsidRDefault="007757D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Союзный бюджет, на который возлагалось финансовое обеспечение общесоюзных нужд и мероприятий в области хозяйственного, культурного строительства и оборонного значения, был создан в бюджетной системе: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922 г"/>
        </w:smartTagPr>
        <w:r w:rsidRPr="00E86BA9">
          <w:rPr>
            <w:rFonts w:ascii="Times New Roman" w:hAnsi="Times New Roman" w:cs="Times New Roman"/>
            <w:sz w:val="28"/>
            <w:szCs w:val="28"/>
          </w:rPr>
          <w:t>1922 г</w:t>
        </w:r>
      </w:smartTag>
      <w:r w:rsidRPr="00E86BA9">
        <w:rPr>
          <w:rFonts w:ascii="Times New Roman" w:hAnsi="Times New Roman" w:cs="Times New Roman"/>
          <w:sz w:val="28"/>
          <w:szCs w:val="28"/>
        </w:rPr>
        <w:t>.;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С образованием в 1922 г. Союза Советских Социалистических Республик и выходом в 1924 г. Конституции СССР были внесены изменения в бюджетную систему. В государственный бюджет СССР вошли государственные бюджеты социалистических республик, составляющих СССР. Был создан союзный бюджет, на который возлагалось финансовое обеспечение общесоюзных нужд и мероприятий, главным образом в области хозяйственного, культурного строительства и оборонного значения.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Для финансовой системы России начала 1990-х гг. было характерно: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наличие бюджетного дефицита;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Наличие крупного бюджетного дефицита было основной проблемой российской бюджетной системы в 90-х годах XX века в период активных экономических преобразований. Наибольший дефицит консолидированного бюджета России имел место в 1994 году. Он составлял 10,7% от валового внутреннего продукта, более 28% от расходов бюджетной системы (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>. таблицу 1). Федеральный бюджет 1994 года был утвержден с дефицитом 70,0 трлн. руб., что составляло 36% от объема расходов.</w:t>
      </w:r>
    </w:p>
    <w:p w:rsidR="00B47F9C" w:rsidRPr="00E86BA9" w:rsidRDefault="00B47F9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AC6E2B" w:rsidRDefault="00DF36CA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В состав финансов коммерческих организаций включаются финансы:</w:t>
      </w:r>
    </w:p>
    <w:p w:rsidR="00AC6E2B" w:rsidRPr="00AC6E2B" w:rsidRDefault="00AC6E2B" w:rsidP="00AC6E2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AC6E2B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А) открытых акционерных обществ;</w:t>
      </w:r>
    </w:p>
    <w:p w:rsidR="00DF36CA" w:rsidRPr="00AC6E2B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Б) хозяйственных товариществ;</w:t>
      </w:r>
    </w:p>
    <w:p w:rsidR="00DF36CA" w:rsidRPr="00AC6E2B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В) потребительских кооперативов;</w:t>
      </w:r>
    </w:p>
    <w:p w:rsidR="00DF36CA" w:rsidRPr="00AC6E2B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Г) производственных кооперативов;</w:t>
      </w:r>
    </w:p>
    <w:p w:rsidR="00DF36CA" w:rsidRPr="00E86BA9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316" w:rsidRPr="00E86BA9" w:rsidRDefault="00CF131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Государственные внебюджетные фонды в России входят в состав: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FF0" w:rsidRPr="00E86BA9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государственных и муниципальных финансов;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 состав государственных и муниципальных финансов в Российской Федерации включаются: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Бюджеты органов государственной власти и местного самоуправления: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Федеральный бюджет (в его составе Резервный фонд, Фонд национального благосостояни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>с 2008) Инвестиционный фонд РФ)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-Бюджеты субъектов РФ региональные бюджеты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-Местные бюджеты, в т.ч. бюджеты муниципальных районов, городских округов, муниципальных образований внутри территорий городов Москвы и Санкт-Петербурга; городских и сельских поселений.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Государственные внебюджетные фонды: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-Пенсионный фонд РФ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-Фонд социального страхования РФ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и территориальные фонды обязательного медицинского страхования.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Необходимость денег определяется: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36CA" w:rsidRPr="00E86BA9" w:rsidRDefault="00DF36C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развитием товарного обмена;</w:t>
      </w:r>
    </w:p>
    <w:p w:rsidR="008D775A" w:rsidRPr="00E86BA9" w:rsidRDefault="00542F7D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Появление денег базируется на товарном производстве и связано с достаточно высоким уровнем развития товарного обмена. Товарный обмен преобразуется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товарно-денежный.  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С развитием товарного производства именно деньги начинают связывать всех субъектов рынка в единый воспроизводственный процесс. </w:t>
      </w:r>
    </w:p>
    <w:p w:rsidR="00EE5FF0" w:rsidRPr="00E86BA9" w:rsidRDefault="00EE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Выделение одного наиболее ликвидного товара, служащего всеобщим эквивалентом на местном рынке, характерны для формы стоимости: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всеобщей;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В результате общественного разделения труда и роста товарного производства обмен превращается в постоянную жизненную необходимость для товаропроизводителя. Из мира товаров выделяется один товар, на который можно обменивать все другие товары, — всеобщий эквивалент. Этой ступени развития обмена свойственна всеобщая форма стоимости: 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Стоимость всех товаров теперь уже выражается единообразно, в потребительной стоимости одного товара, который играет роль всеобщего эквивалента. Всеобщий эквивалент — это товар, обладающий способностью непосредственно обмениваться на все другие товары. Его потребительная стоимость становится общей формой проявления стоимости для всего товарного мира.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Под эластичностью денежной системы понимается: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реакция на изменение потребности экономического оборота в денежных средствах;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Под эластичностью денежной системы понимается ее реакция на изменение потребности экономического оборота в денежных средствах, способность денежного оборота расширяться или сокращаться в соответствии с потребностями экономики.</w:t>
      </w:r>
    </w:p>
    <w:p w:rsidR="00151CA6" w:rsidRPr="00E86BA9" w:rsidRDefault="00151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Денежная система, основанная на использовании двух металлов в качестве денег, называется:</w:t>
      </w:r>
    </w:p>
    <w:p w:rsidR="0099005B" w:rsidRPr="00E86BA9" w:rsidRDefault="0099005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биметаллизмом;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bCs/>
          <w:iCs/>
          <w:sz w:val="28"/>
          <w:szCs w:val="28"/>
        </w:rPr>
        <w:t>Биметаллизм</w:t>
      </w:r>
      <w:r w:rsidRPr="00E86BA9">
        <w:rPr>
          <w:rFonts w:ascii="Times New Roman" w:hAnsi="Times New Roman" w:cs="Times New Roman"/>
          <w:sz w:val="28"/>
          <w:szCs w:val="28"/>
        </w:rPr>
        <w:t xml:space="preserve"> — это денежная система, при которой роль всеобщего эквивалента закрепляется за двумя благородными металлами (золотом и серебром), предусматривается свободная чеканка монет из этих металлов и их неограниченное обращение.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Золотодевизный стандарт предусматривал: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005B" w:rsidRPr="00E86BA9" w:rsidRDefault="0099005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обмен банкнот на иностранные валюты, разменные на золото;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bCs/>
          <w:iCs/>
          <w:sz w:val="28"/>
          <w:szCs w:val="28"/>
        </w:rPr>
        <w:t>Золотодевизный стандарт –</w:t>
      </w:r>
      <w:r w:rsidR="00E86BA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E86BA9">
        <w:rPr>
          <w:rFonts w:ascii="Times New Roman" w:hAnsi="Times New Roman" w:cs="Times New Roman"/>
          <w:bCs/>
          <w:iCs/>
          <w:sz w:val="28"/>
          <w:szCs w:val="28"/>
        </w:rPr>
        <w:t>(золотовалютный стандарт)</w:t>
      </w:r>
      <w:r w:rsidRPr="00E86BA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</w:t>
      </w:r>
      <w:r w:rsidRPr="00E86BA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86BA9">
        <w:rPr>
          <w:rFonts w:ascii="Times New Roman" w:hAnsi="Times New Roman" w:cs="Times New Roman"/>
          <w:sz w:val="28"/>
          <w:szCs w:val="28"/>
        </w:rPr>
        <w:t>означал свободный размен банкнот на иностранную валюту (девизы), размениваемую на золото (1944г.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86BA9">
        <w:rPr>
          <w:rFonts w:ascii="Times New Roman" w:hAnsi="Times New Roman" w:cs="Times New Roman"/>
          <w:sz w:val="28"/>
          <w:szCs w:val="28"/>
        </w:rPr>
        <w:t>Бреттон-Вудская</w:t>
      </w:r>
      <w:proofErr w:type="spellEnd"/>
      <w:r w:rsidRPr="00E86BA9">
        <w:rPr>
          <w:rFonts w:ascii="Times New Roman" w:hAnsi="Times New Roman" w:cs="Times New Roman"/>
          <w:sz w:val="28"/>
          <w:szCs w:val="28"/>
        </w:rPr>
        <w:t xml:space="preserve"> валютная конференция).</w:t>
      </w:r>
      <w:proofErr w:type="gramEnd"/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76C" w:rsidRPr="00E86BA9" w:rsidRDefault="00B0176C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Характерной чертой современных денежных систем является:</w:t>
      </w:r>
    </w:p>
    <w:p w:rsidR="00B0176C" w:rsidRPr="00E86BA9" w:rsidRDefault="00B0176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76C" w:rsidRPr="00E86BA9" w:rsidRDefault="00B0176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отмена официального золотого содержания денежной единицы;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Характерными чертами неметаллических современных  денежных систем являются:</w:t>
      </w:r>
    </w:p>
    <w:p w:rsidR="005E72E8" w:rsidRPr="00E86BA9" w:rsidRDefault="00494105" w:rsidP="00E86BA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отмена официального золотого содержания, обеспечения и размена банкнот на золото;</w:t>
      </w:r>
    </w:p>
    <w:p w:rsidR="005E72E8" w:rsidRPr="00E86BA9" w:rsidRDefault="00494105" w:rsidP="00E86BA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переход к неразменным на золото кредитным деньгам;</w:t>
      </w:r>
    </w:p>
    <w:p w:rsidR="005E72E8" w:rsidRPr="00E86BA9" w:rsidRDefault="00494105" w:rsidP="00E86BA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развитие безналичного денежного оборота и сокращение налично-денежного оборота;</w:t>
      </w:r>
    </w:p>
    <w:p w:rsidR="005E72E8" w:rsidRPr="00E86BA9" w:rsidRDefault="00494105" w:rsidP="00E86BA9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усиление государственного регулирования денежного обращения. </w:t>
      </w:r>
    </w:p>
    <w:p w:rsidR="00022D02" w:rsidRPr="00E86BA9" w:rsidRDefault="00022D0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76C" w:rsidRPr="00E86BA9" w:rsidRDefault="00B0176C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Эмиссионный механизм – это:</w:t>
      </w:r>
    </w:p>
    <w:p w:rsidR="00880421" w:rsidRPr="00E86BA9" w:rsidRDefault="00880421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76C" w:rsidRPr="00E86BA9" w:rsidRDefault="00B0176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порядок выпуска денег в оборот и их изъятия из оборота;</w:t>
      </w:r>
    </w:p>
    <w:p w:rsidR="005E72E8" w:rsidRPr="00E86BA9" w:rsidRDefault="0049410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86BA9">
        <w:rPr>
          <w:rFonts w:ascii="Times New Roman" w:hAnsi="Times New Roman" w:cs="Times New Roman"/>
          <w:iCs/>
          <w:sz w:val="28"/>
          <w:szCs w:val="28"/>
        </w:rPr>
        <w:t xml:space="preserve">Эмиссионный механизм определяет порядок эмиссии наличных и безналичных денег в оборот и их изъятия. </w:t>
      </w:r>
    </w:p>
    <w:p w:rsidR="00880421" w:rsidRPr="00E86BA9" w:rsidRDefault="00880421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339" w:rsidRPr="00E86BA9" w:rsidRDefault="00750339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Основным инструментом оформления коммерческого кредита выступает:</w:t>
      </w:r>
    </w:p>
    <w:p w:rsidR="00695A42" w:rsidRPr="00E86BA9" w:rsidRDefault="00695A4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5A42" w:rsidRPr="00E86BA9" w:rsidRDefault="0075033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вексель;</w:t>
      </w:r>
    </w:p>
    <w:p w:rsidR="00695A42" w:rsidRPr="00E86BA9" w:rsidRDefault="00695A4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Инструментом коммерческого кредита традиционно является вексель, выражающий финансовые обязательства заемщика по отношению к кредитору. Наибольшее распространение получили две формы векселя — простой вексель, содержащий прямое обязательство заемщика на выплату установленной суммы непосредственно кредитору, и переводный (тратта), представляющий письменный приказ заемщику со стороны кредитора о выплате установленной суммы третьему лицу либо предъявителю векселя. В современных условиях функции векселя часто принимает на себя стандартный договор между поставщиком и потребителем, регламентирующий порядок оплаты реализуемой продукции на условиях коммерческого кредита.</w:t>
      </w:r>
    </w:p>
    <w:p w:rsidR="00695A42" w:rsidRPr="00E86BA9" w:rsidRDefault="00695A4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339" w:rsidRPr="00E86BA9" w:rsidRDefault="00750339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Денежный оборот – это: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339" w:rsidRPr="00E86BA9" w:rsidRDefault="0075033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движение денег;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Денежный оборот - это процесс непрерывного движения денежных знаков в наличной и безналичной формах.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339" w:rsidRPr="00AC6E2B" w:rsidRDefault="00750339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Безналичные деньги – это обязательства:</w:t>
      </w:r>
    </w:p>
    <w:p w:rsidR="00AC6E2B" w:rsidRPr="00AC6E2B" w:rsidRDefault="00AC6E2B" w:rsidP="00AC6E2B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0339" w:rsidRPr="00AC6E2B" w:rsidRDefault="0075033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Г) коммерческих банков;</w:t>
      </w:r>
    </w:p>
    <w:p w:rsidR="00750339" w:rsidRDefault="0075033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Д) центрального банка.</w:t>
      </w:r>
    </w:p>
    <w:p w:rsidR="00AC6E2B" w:rsidRPr="00E86BA9" w:rsidRDefault="00AC6E2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Платежный оборот осуществляется: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в наличной и безналичной формах;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bCs/>
          <w:sz w:val="28"/>
          <w:szCs w:val="28"/>
        </w:rPr>
        <w:t xml:space="preserve">От типа участия плательщика/получателя  -  наличными и безналичными (депозитными) деньгами выделяют: </w:t>
      </w:r>
    </w:p>
    <w:p w:rsidR="005E72E8" w:rsidRPr="00E86BA9" w:rsidRDefault="00E86BA9" w:rsidP="00E86BA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94105" w:rsidRPr="00E86BA9">
        <w:rPr>
          <w:rFonts w:ascii="Times New Roman" w:hAnsi="Times New Roman" w:cs="Times New Roman"/>
          <w:iCs/>
          <w:sz w:val="28"/>
          <w:szCs w:val="28"/>
        </w:rPr>
        <w:t>Наличный платеж</w:t>
      </w:r>
      <w:r w:rsidR="00494105" w:rsidRPr="00E86BA9">
        <w:rPr>
          <w:rFonts w:ascii="Times New Roman" w:hAnsi="Times New Roman" w:cs="Times New Roman"/>
          <w:sz w:val="28"/>
          <w:szCs w:val="28"/>
        </w:rPr>
        <w:t xml:space="preserve"> — обмен монет, денежных купюр на товар или услугу при заданной цене.</w:t>
      </w:r>
      <w:r w:rsidR="00494105" w:rsidRPr="00E86BA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5E72E8" w:rsidRPr="00E86BA9" w:rsidRDefault="00E86BA9" w:rsidP="00E86BA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94105" w:rsidRPr="00E86BA9">
        <w:rPr>
          <w:rFonts w:ascii="Times New Roman" w:hAnsi="Times New Roman" w:cs="Times New Roman"/>
          <w:iCs/>
          <w:sz w:val="28"/>
          <w:szCs w:val="28"/>
        </w:rPr>
        <w:t>Безналичный платеж</w:t>
      </w:r>
      <w:r w:rsidR="00494105" w:rsidRPr="00E86BA9">
        <w:rPr>
          <w:rFonts w:ascii="Times New Roman" w:hAnsi="Times New Roman" w:cs="Times New Roman"/>
          <w:sz w:val="28"/>
          <w:szCs w:val="28"/>
        </w:rPr>
        <w:t xml:space="preserve"> — перевод денег с одного банковского счета на другой с участием третьей стороны.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Предприятие может получить наличные деньги:</w:t>
      </w:r>
    </w:p>
    <w:p w:rsidR="002779BE" w:rsidRPr="00AC6E2B" w:rsidRDefault="002779B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Г) только в обслуживающем его коммерческом банке;</w:t>
      </w:r>
    </w:p>
    <w:p w:rsidR="00BF3691" w:rsidRPr="00E86BA9" w:rsidRDefault="00BF3691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Одной из важнейших функций коммерческого банка является организация, планирование и регулирование денежного обращения, выражающаяся в кассовом обслуживании хозяйствующих субъектов и населения.</w:t>
      </w:r>
    </w:p>
    <w:p w:rsidR="00BF3691" w:rsidRPr="00E86BA9" w:rsidRDefault="00BF3691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Эффективное и бесперебойное функционирование платежной системы обеспечивает: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383" w:rsidRPr="00E86BA9" w:rsidRDefault="00D7738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Банк России;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86BA9">
        <w:rPr>
          <w:rFonts w:ascii="Times New Roman" w:hAnsi="Times New Roman" w:cs="Times New Roman"/>
          <w:iCs/>
          <w:sz w:val="28"/>
          <w:szCs w:val="28"/>
        </w:rPr>
        <w:lastRenderedPageBreak/>
        <w:t>Главный регулирующий орган платежной системы —  Банк России.</w:t>
      </w:r>
    </w:p>
    <w:p w:rsidR="006C4913" w:rsidRPr="00E86BA9" w:rsidRDefault="006C491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Критериями классификации форм кредита являются:</w:t>
      </w:r>
    </w:p>
    <w:p w:rsidR="00E86BA9" w:rsidRDefault="00E86BA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характер ссуженной стоимости;</w:t>
      </w: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Е) целевая потребность заемщика.</w:t>
      </w:r>
    </w:p>
    <w:p w:rsidR="00FB5C6A" w:rsidRPr="00E86BA9" w:rsidRDefault="00FB5C6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Структура кредита включает, как отмечалось ранее, кредитора, заемщика и ссуженную стоимость, поэтому формы кредита можно рассматривать в зависимости от характера:</w:t>
      </w:r>
    </w:p>
    <w:p w:rsidR="00FB5C6A" w:rsidRPr="00E86BA9" w:rsidRDefault="00FB5C6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ссуженной стоимости;</w:t>
      </w:r>
    </w:p>
    <w:p w:rsidR="00FB5C6A" w:rsidRPr="00E86BA9" w:rsidRDefault="00FB5C6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кредитора и заемщика;</w:t>
      </w:r>
    </w:p>
    <w:p w:rsidR="00FB5C6A" w:rsidRPr="00E86BA9" w:rsidRDefault="00FB5C6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целевых потребностей заемщика.</w:t>
      </w:r>
    </w:p>
    <w:p w:rsidR="00FB5C6A" w:rsidRPr="00E86BA9" w:rsidRDefault="00FB5C6A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Обеспечением банковского кредита являются:</w:t>
      </w:r>
    </w:p>
    <w:p w:rsidR="00E86BA9" w:rsidRDefault="00E86BA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sz w:val="28"/>
          <w:szCs w:val="28"/>
        </w:rPr>
        <w:t>А) залог (заклад) товарно-материальных, финансовых (золото), фондовых (ценные бумаги) и валютных ценностей, принадлежащих заемщикам;</w:t>
      </w:r>
      <w:proofErr w:type="gramEnd"/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залог (ипотека) коммерческой и некоммерческой (жилой) недвижимости и движимого имущества заемщиков;</w:t>
      </w: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залог денежных средств в национальной и иностранной валюте, находящихся на банковских депозитных счетах, и дебиторских счетов (переуступка или цессия деловым предприятием банку своей дебиторской задолженности);</w:t>
      </w: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Г) гарантии и поручительства третьих лиц;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sz w:val="28"/>
          <w:szCs w:val="28"/>
        </w:rPr>
        <w:t>Предметами залога могут быть предприятие в целом (или комплекс), земельные участки, основные фонды (здания, сооружения, оборудование), товарно-материальные ценности, товарно-транспортные документы (железнодорожные накладные, варранты, коносаменты, складские свидетельства, контракты и т.п.), валютные средства, ценные бумаги (акции, облигации, векселя, банковские сертификаты и т.д.), имущественные права.</w:t>
      </w:r>
      <w:proofErr w:type="gramEnd"/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Залогодателем может быть: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- сам заемщик или третье лицо - с точки зрения субъекта отношений;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лицо, которому предмет залога принадлежит на правах собственности, полного хозяйственного ведения либо оперативного управления - с точки зрения права на имущество.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Для универсальных кредитных систем характерно: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406" w:rsidRPr="00E86BA9" w:rsidRDefault="0017340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отсутствие запретов для банков на выполнение небанковских операций финансового обслуживания;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Универсальная финансово-кредитная система – это система, при которой законодательно не ограничивается выполнение банками тех операций финансового обслуживания, которые не относятся к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банковским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>.</w:t>
      </w:r>
    </w:p>
    <w:p w:rsidR="00304CA6" w:rsidRPr="00E86BA9" w:rsidRDefault="00304CA6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D2E" w:rsidRPr="00E86BA9" w:rsidRDefault="00556D2E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Роль кредитной системы в современной экономике проявляется:</w:t>
      </w:r>
    </w:p>
    <w:p w:rsidR="00E86BA9" w:rsidRDefault="00E86BA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D2E" w:rsidRPr="00E86BA9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в аккумуляции кредитных и финансовых ресурсов;</w:t>
      </w:r>
    </w:p>
    <w:p w:rsidR="00556D2E" w:rsidRPr="00E86BA9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 развитие сферы кредитных и финансовых услуг;</w:t>
      </w:r>
    </w:p>
    <w:p w:rsidR="00556D2E" w:rsidRPr="00E86BA9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авансировании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процесса производства и развитии потребления;</w:t>
      </w:r>
    </w:p>
    <w:p w:rsidR="00556D2E" w:rsidRPr="00E86BA9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стимулировании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наиболее эффективного размещения аккумулированных ресурсов;</w:t>
      </w:r>
    </w:p>
    <w:p w:rsidR="00304CA6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6BA9">
        <w:rPr>
          <w:rFonts w:ascii="Times New Roman" w:hAnsi="Times New Roman" w:cs="Times New Roman"/>
          <w:bCs/>
          <w:sz w:val="28"/>
          <w:szCs w:val="28"/>
        </w:rPr>
        <w:t>Роль кредитной системы проявляется: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- в аккумуляции кредитных и финансовых ресурсов, 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сферы кредитных и финансовых услуг,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авансировании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процесса производства и развитии потребления,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стимулировании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наиболее эффективного размещения аккумулированных ресурсов, 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регулировании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денежного и платежного оборота,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в регулировании кредитных отношений и деятельности финансово-кредитных институтов в целях повышения качества обслуживания клиентов и обеспечения устойчивого и эффективного функционирования финансово-кредитных организаций.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D2E" w:rsidRPr="00AC6E2B" w:rsidRDefault="00556D2E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lastRenderedPageBreak/>
        <w:t>К элементам кредитной системы относятся:</w:t>
      </w:r>
    </w:p>
    <w:p w:rsidR="00556D2E" w:rsidRPr="00AC6E2B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А) центральный банк;</w:t>
      </w:r>
    </w:p>
    <w:p w:rsidR="00556D2E" w:rsidRPr="00AC6E2B" w:rsidRDefault="00556D2E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sz w:val="28"/>
          <w:szCs w:val="28"/>
        </w:rPr>
        <w:t>В) кредитные союзы;</w:t>
      </w:r>
    </w:p>
    <w:p w:rsidR="004F54AF" w:rsidRPr="00AC6E2B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C10" w:rsidRPr="00AC6E2B" w:rsidRDefault="00385C1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bCs/>
          <w:sz w:val="28"/>
          <w:szCs w:val="28"/>
        </w:rPr>
        <w:t>Кредитная система как совокупность организаций, которые предоставляют займы и кредиты, т.е. осуществляют кредитное обслуживание клиентов, включает в себя</w:t>
      </w:r>
      <w:r w:rsidRPr="00AC6E2B">
        <w:rPr>
          <w:rFonts w:ascii="Times New Roman" w:hAnsi="Times New Roman" w:cs="Times New Roman"/>
          <w:sz w:val="28"/>
          <w:szCs w:val="28"/>
        </w:rPr>
        <w:t>:</w:t>
      </w:r>
    </w:p>
    <w:p w:rsidR="005E72E8" w:rsidRPr="00AC6E2B" w:rsidRDefault="00494105" w:rsidP="00E86BA9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bCs/>
          <w:sz w:val="28"/>
          <w:szCs w:val="28"/>
        </w:rPr>
        <w:t>кредитные организации и финансово-кредитные институты</w:t>
      </w:r>
      <w:r w:rsidRPr="00AC6E2B">
        <w:rPr>
          <w:rFonts w:ascii="Times New Roman" w:hAnsi="Times New Roman" w:cs="Times New Roman"/>
          <w:sz w:val="28"/>
          <w:szCs w:val="28"/>
        </w:rPr>
        <w:t xml:space="preserve">, организующие кредитные отношения, аккумулирующие, создающие и предоставляющие кредитные ресурсы в соответствии с основными принципами кредита. </w:t>
      </w:r>
      <w:proofErr w:type="gramStart"/>
      <w:r w:rsidRPr="00AC6E2B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AC6E2B">
        <w:rPr>
          <w:rFonts w:ascii="Times New Roman" w:hAnsi="Times New Roman" w:cs="Times New Roman"/>
          <w:sz w:val="28"/>
          <w:szCs w:val="28"/>
        </w:rPr>
        <w:t xml:space="preserve"> прежде всего банковская система как основополагающая часть кредитной системы, а также специализированные финансово-кредитные организации, </w:t>
      </w:r>
      <w:proofErr w:type="spellStart"/>
      <w:r w:rsidRPr="00AC6E2B">
        <w:rPr>
          <w:rFonts w:ascii="Times New Roman" w:hAnsi="Times New Roman" w:cs="Times New Roman"/>
          <w:sz w:val="28"/>
          <w:szCs w:val="28"/>
        </w:rPr>
        <w:t>микрофинансовые</w:t>
      </w:r>
      <w:proofErr w:type="spellEnd"/>
      <w:r w:rsidRPr="00AC6E2B">
        <w:rPr>
          <w:rFonts w:ascii="Times New Roman" w:hAnsi="Times New Roman" w:cs="Times New Roman"/>
          <w:sz w:val="28"/>
          <w:szCs w:val="28"/>
        </w:rPr>
        <w:t xml:space="preserve"> организации, кредитные кооперативы, частные кредиторы и почтово-сберегательные учреждения;</w:t>
      </w:r>
    </w:p>
    <w:p w:rsidR="005E72E8" w:rsidRPr="00AC6E2B" w:rsidRDefault="00494105" w:rsidP="00E86BA9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bCs/>
          <w:sz w:val="28"/>
          <w:szCs w:val="28"/>
        </w:rPr>
        <w:t>органы, осуществляющие регулирование кредитной деятельности;</w:t>
      </w:r>
    </w:p>
    <w:p w:rsidR="005E72E8" w:rsidRPr="00AC6E2B" w:rsidRDefault="00494105" w:rsidP="00E86BA9">
      <w:pPr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E2B">
        <w:rPr>
          <w:rFonts w:ascii="Times New Roman" w:hAnsi="Times New Roman" w:cs="Times New Roman"/>
          <w:bCs/>
          <w:sz w:val="28"/>
          <w:szCs w:val="28"/>
        </w:rPr>
        <w:t>инфраструктуру,</w:t>
      </w:r>
      <w:r w:rsidRPr="00AC6E2B">
        <w:rPr>
          <w:rFonts w:ascii="Times New Roman" w:hAnsi="Times New Roman" w:cs="Times New Roman"/>
          <w:sz w:val="28"/>
          <w:szCs w:val="28"/>
        </w:rPr>
        <w:t xml:space="preserve"> в состав которой входят организации, осуществляющие методическое, кадровое и научное обслуживание кредитных институтов.</w:t>
      </w:r>
    </w:p>
    <w:p w:rsidR="00385C10" w:rsidRPr="00E86BA9" w:rsidRDefault="00385C1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875" w:rsidRPr="00E86BA9" w:rsidRDefault="00655875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sz w:val="28"/>
          <w:szCs w:val="28"/>
        </w:rPr>
        <w:t>Для банковской системы распределительного типа характерны:</w:t>
      </w:r>
      <w:proofErr w:type="gramEnd"/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А) подчинение банков всех типов правительству;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Д) закрепление эмиссионных и кредитных функций за центральным банком;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Е) осуществление операций по кредитованию предприятий государственным банком.</w:t>
      </w:r>
    </w:p>
    <w:p w:rsidR="004F54AF" w:rsidRPr="00E86BA9" w:rsidRDefault="004F54A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Распределительная (централизованная) банковская система: государство — единственный собственник, монополия государства на формирование банков, одноуровневая банковская система, политика единого банка, государство отвечает по обязательствам банков, банки подчиняются правительству и зависят от его оперативной деятельности, кредитные и эмиссионные операции сосредоточены в одном банке, руководитель банка назначается центральной или местной властью вышестоящими органами управления. Банковская деятельность регулируется нормативно-правовыми документами.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Основные черты распределительной банковской системы (централизованной):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государство - единственный собственник на банки;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на формирование банков распространяется монополия государства;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банковская система - одноуровневая;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схема управления - централизованная (вертикальная);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- по характеру банковской политики - политика одного банка;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- государство отвечает по обязательствам банков;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- банки подчиняются правительству, зависят от его оперативной деятельности;</w:t>
      </w:r>
    </w:p>
    <w:p w:rsidR="00655875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- кредитные и эмиссионные операции сосредоточены в одном банке (кроме отдельных банков, которые не выполняют эмиссионные операции);</w:t>
      </w:r>
    </w:p>
    <w:p w:rsidR="004F54AF" w:rsidRPr="00E86BA9" w:rsidRDefault="0065587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-  руководитель банка назначается центральной или местной властью, вышестоящими органами управления.</w:t>
      </w:r>
    </w:p>
    <w:p w:rsidR="00655875" w:rsidRPr="00E86BA9" w:rsidRDefault="00655875" w:rsidP="00E86BA9">
      <w:pPr>
        <w:tabs>
          <w:tab w:val="left" w:pos="20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ab/>
      </w:r>
    </w:p>
    <w:p w:rsidR="00754BB4" w:rsidRDefault="00754BB4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Агентство страхования вкладов населения относится к уровню банковской системы России:</w:t>
      </w:r>
    </w:p>
    <w:p w:rsidR="002645F7" w:rsidRPr="002645F7" w:rsidRDefault="002645F7" w:rsidP="002645F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2645F7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Г) не входит в банковскую систему России;</w:t>
      </w:r>
    </w:p>
    <w:p w:rsidR="008E6D4C" w:rsidRPr="00E86BA9" w:rsidRDefault="008E6D4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E86BA9" w:rsidRDefault="00754BB4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Регулируют деятельность Банка России:</w:t>
      </w:r>
    </w:p>
    <w:p w:rsidR="00735953" w:rsidRPr="00E86BA9" w:rsidRDefault="0073595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E86BA9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Б) Федеральный закон от 10 июля </w:t>
      </w:r>
      <w:smartTag w:uri="urn:schemas-microsoft-com:office:smarttags" w:element="metricconverter">
        <w:smartTagPr>
          <w:attr w:name="ProductID" w:val="2002 г"/>
        </w:smartTagPr>
        <w:r w:rsidRPr="00E86BA9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E86BA9">
        <w:rPr>
          <w:rFonts w:ascii="Times New Roman" w:hAnsi="Times New Roman" w:cs="Times New Roman"/>
          <w:sz w:val="28"/>
          <w:szCs w:val="28"/>
        </w:rPr>
        <w:t>. № 86-ФЗ «О Центральном банке Российской Федерации (Банке России)»;</w:t>
      </w:r>
    </w:p>
    <w:p w:rsidR="00754BB4" w:rsidRPr="00E86BA9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В) ГК РФ;</w:t>
      </w:r>
    </w:p>
    <w:p w:rsidR="00754BB4" w:rsidRPr="00E86BA9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Г) Федеральный закон от 2 декабря </w:t>
      </w:r>
      <w:smartTag w:uri="urn:schemas-microsoft-com:office:smarttags" w:element="metricconverter">
        <w:smartTagPr>
          <w:attr w:name="ProductID" w:val="1990 г"/>
        </w:smartTagPr>
        <w:r w:rsidRPr="00E86BA9">
          <w:rPr>
            <w:rFonts w:ascii="Times New Roman" w:hAnsi="Times New Roman" w:cs="Times New Roman"/>
            <w:sz w:val="28"/>
            <w:szCs w:val="28"/>
          </w:rPr>
          <w:t>1990 г</w:t>
        </w:r>
      </w:smartTag>
      <w:r w:rsidRPr="00E86BA9">
        <w:rPr>
          <w:rFonts w:ascii="Times New Roman" w:hAnsi="Times New Roman" w:cs="Times New Roman"/>
          <w:sz w:val="28"/>
          <w:szCs w:val="28"/>
        </w:rPr>
        <w:t>. № 395-1 «О банках и банковской деятельности»;</w:t>
      </w:r>
    </w:p>
    <w:p w:rsidR="00735953" w:rsidRPr="00E86BA9" w:rsidRDefault="0073595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 настоящее время в РФ действуют следующие законы, прямо относящиеся к работе банков:</w:t>
      </w:r>
    </w:p>
    <w:p w:rsidR="005E72E8" w:rsidRPr="00E86BA9" w:rsidRDefault="00494105" w:rsidP="00E86BA9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ФЗ «О Центральном банке Российской Федерации (Банке России)», </w:t>
      </w:r>
    </w:p>
    <w:p w:rsidR="005E72E8" w:rsidRPr="00E86BA9" w:rsidRDefault="00494105" w:rsidP="00E86BA9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ФЗ «О банках и банковской деятельности», </w:t>
      </w:r>
    </w:p>
    <w:p w:rsidR="005E72E8" w:rsidRPr="00E86BA9" w:rsidRDefault="00494105" w:rsidP="00E86BA9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ФЗ «О несостоятельности (банкротстве) кредитных организаций», </w:t>
      </w:r>
    </w:p>
    <w:p w:rsidR="005E72E8" w:rsidRPr="00E86BA9" w:rsidRDefault="00494105" w:rsidP="00E86BA9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ФЗ «О кредитных историях», </w:t>
      </w:r>
    </w:p>
    <w:p w:rsidR="005E72E8" w:rsidRPr="00E86BA9" w:rsidRDefault="00494105" w:rsidP="00E86BA9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>ФЗ «О страховании вкладов физических лиц в банках Российской федерации».</w:t>
      </w:r>
    </w:p>
    <w:p w:rsidR="00735953" w:rsidRPr="00E86BA9" w:rsidRDefault="0073595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sz w:val="28"/>
          <w:szCs w:val="28"/>
        </w:rPr>
        <w:t>И ряд законов общего и специального действия, таких как ГК РФ, ФЗ «О рекламе», ФЗ «Об ипотеке»,  ФЗ «Об ипотечных ценных бумагах», ФЗ « О залоге», ФЗ «О защите конкуренции», ФЗ «О рынке ценных бумаг», «О валютном регулировании и валютном контроле» и т. д.</w:t>
      </w:r>
      <w:proofErr w:type="gramEnd"/>
    </w:p>
    <w:p w:rsidR="00735953" w:rsidRPr="00E86BA9" w:rsidRDefault="00735953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2645F7" w:rsidRDefault="00754BB4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Банк России вправе кредитовать:</w:t>
      </w:r>
    </w:p>
    <w:p w:rsidR="002645F7" w:rsidRPr="002645F7" w:rsidRDefault="002645F7" w:rsidP="002645F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2645F7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А) дефицит федерального бюджета;</w:t>
      </w:r>
    </w:p>
    <w:p w:rsidR="00754BB4" w:rsidRPr="002645F7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В) дефицит внебюджетных фондов;</w:t>
      </w:r>
    </w:p>
    <w:p w:rsidR="00754BB4" w:rsidRPr="002645F7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Г) коммерческие банки;</w:t>
      </w:r>
    </w:p>
    <w:p w:rsidR="00E86BA9" w:rsidRPr="00E86BA9" w:rsidRDefault="00E86BA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754BB4" w:rsidRPr="002645F7" w:rsidRDefault="00754BB4" w:rsidP="00E86BA9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Организация наличного денежного обращения предусматривает необходимость:</w:t>
      </w:r>
    </w:p>
    <w:p w:rsidR="002645F7" w:rsidRPr="002645F7" w:rsidRDefault="002645F7" w:rsidP="002645F7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4BB4" w:rsidRPr="002645F7" w:rsidRDefault="00754BB4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5F7">
        <w:rPr>
          <w:rFonts w:ascii="Times New Roman" w:hAnsi="Times New Roman" w:cs="Times New Roman"/>
          <w:sz w:val="28"/>
          <w:szCs w:val="28"/>
        </w:rPr>
        <w:t>В) обеспечения устойчивости и эластичности денежного обращения;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31.</w:t>
      </w:r>
      <w:r w:rsidR="009975C8" w:rsidRPr="00E86BA9">
        <w:rPr>
          <w:rFonts w:ascii="Times New Roman" w:hAnsi="Times New Roman" w:cs="Times New Roman"/>
          <w:sz w:val="28"/>
          <w:szCs w:val="28"/>
        </w:rPr>
        <w:t>Налоговая реформа 1930-1932 гг. включала в себя мероприятия: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</w:t>
      </w:r>
      <w:r w:rsidR="009975C8" w:rsidRPr="00E86BA9">
        <w:rPr>
          <w:rFonts w:ascii="Times New Roman" w:hAnsi="Times New Roman" w:cs="Times New Roman"/>
          <w:sz w:val="28"/>
          <w:szCs w:val="28"/>
        </w:rPr>
        <w:t>) введению отчислений от прибыли для организаций;</w:t>
      </w: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</w:t>
      </w:r>
      <w:r w:rsidR="009975C8" w:rsidRPr="00E86BA9">
        <w:rPr>
          <w:rFonts w:ascii="Times New Roman" w:hAnsi="Times New Roman" w:cs="Times New Roman"/>
          <w:sz w:val="28"/>
          <w:szCs w:val="28"/>
        </w:rPr>
        <w:t>) упразднению системы акцизов;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ЦИК и СНК СССР от 2 сентября 1930 г. в СССР была проведена кардинальная налоговая реформа. В ходе этой реформы была полностью упразднена система акцизов, а все налоговые платежи предприятий (около 60) были унифицированы в двух основных платежах — налоге с оборота и отчислениях от прибыли. Были объединены некоторые налоги с населения, а значительное их число отменено. Вся прибыль промышленных и торговых предприятий, за исключением нормативных отчислений на формирование фондов, изымалась в доход государства. Таким образом, доход государства формировался не за счет налогов, а за счет прямых изъятий валового национального продукта, </w:t>
      </w:r>
      <w:r w:rsidRPr="00E86BA9">
        <w:rPr>
          <w:rFonts w:ascii="Times New Roman" w:hAnsi="Times New Roman" w:cs="Times New Roman"/>
          <w:sz w:val="28"/>
          <w:szCs w:val="28"/>
        </w:rPr>
        <w:lastRenderedPageBreak/>
        <w:t>производимого на основе государственной монополии. В результате налоги и налогообложения во многом утратили значение для бюджета.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32.</w:t>
      </w:r>
      <w:r w:rsidR="009975C8" w:rsidRPr="00E86BA9">
        <w:rPr>
          <w:rFonts w:ascii="Times New Roman" w:hAnsi="Times New Roman" w:cs="Times New Roman"/>
          <w:sz w:val="28"/>
          <w:szCs w:val="28"/>
        </w:rPr>
        <w:t>К основным достижениям реформы государственных финансов М.М. Сперанского относятся: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</w:t>
      </w:r>
      <w:r w:rsidR="009975C8" w:rsidRPr="00E86BA9">
        <w:rPr>
          <w:rFonts w:ascii="Times New Roman" w:hAnsi="Times New Roman" w:cs="Times New Roman"/>
          <w:sz w:val="28"/>
          <w:szCs w:val="28"/>
        </w:rPr>
        <w:t>) обеспечение сбалансированности государственных доходов и расходов;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33.</w:t>
      </w:r>
      <w:r w:rsidR="009975C8" w:rsidRPr="00E86BA9">
        <w:rPr>
          <w:rFonts w:ascii="Times New Roman" w:hAnsi="Times New Roman" w:cs="Times New Roman"/>
          <w:sz w:val="28"/>
          <w:szCs w:val="28"/>
        </w:rPr>
        <w:t xml:space="preserve"> В результате реформы государственных финансов России, проведенной В.А. Татариновым в 1862г.:</w:t>
      </w:r>
    </w:p>
    <w:p w:rsidR="00C74482" w:rsidRPr="00E86BA9" w:rsidRDefault="00C7448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</w:t>
      </w:r>
      <w:r w:rsidR="009975C8" w:rsidRPr="00E86BA9">
        <w:rPr>
          <w:rFonts w:ascii="Times New Roman" w:hAnsi="Times New Roman" w:cs="Times New Roman"/>
          <w:sz w:val="28"/>
          <w:szCs w:val="28"/>
        </w:rPr>
        <w:t>) произошло реформирование государственного финансового контроля;</w:t>
      </w: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</w:t>
      </w:r>
      <w:r w:rsidR="009975C8" w:rsidRPr="00E86BA9">
        <w:rPr>
          <w:rFonts w:ascii="Times New Roman" w:hAnsi="Times New Roman" w:cs="Times New Roman"/>
          <w:sz w:val="28"/>
          <w:szCs w:val="28"/>
        </w:rPr>
        <w:t>) введен принцип единства кассы;</w:t>
      </w:r>
    </w:p>
    <w:p w:rsidR="00AA0695" w:rsidRPr="00E86BA9" w:rsidRDefault="00AA069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34. </w:t>
      </w:r>
      <w:r w:rsidR="009975C8" w:rsidRPr="00E86BA9">
        <w:rPr>
          <w:rFonts w:ascii="Times New Roman" w:hAnsi="Times New Roman" w:cs="Times New Roman"/>
          <w:sz w:val="28"/>
          <w:szCs w:val="28"/>
        </w:rPr>
        <w:t>Не существует участников платежных систем:</w:t>
      </w:r>
    </w:p>
    <w:p w:rsidR="009E784D" w:rsidRPr="00E86BA9" w:rsidRDefault="009E784D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Б)</w:t>
      </w:r>
      <w:r w:rsidR="009975C8" w:rsidRPr="00E86BA9">
        <w:rPr>
          <w:rFonts w:ascii="Times New Roman" w:hAnsi="Times New Roman" w:cs="Times New Roman"/>
          <w:sz w:val="28"/>
          <w:szCs w:val="28"/>
        </w:rPr>
        <w:t xml:space="preserve"> отдаленных (дистанционных);</w:t>
      </w: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</w:t>
      </w:r>
      <w:r w:rsidR="009975C8" w:rsidRPr="00E86BA9">
        <w:rPr>
          <w:rFonts w:ascii="Times New Roman" w:hAnsi="Times New Roman" w:cs="Times New Roman"/>
          <w:sz w:val="28"/>
          <w:szCs w:val="28"/>
        </w:rPr>
        <w:t>) простых.</w:t>
      </w:r>
    </w:p>
    <w:p w:rsidR="001B1F20" w:rsidRPr="00E86BA9" w:rsidRDefault="001F64B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Участниками платежной системы могут являться международные финансовые организации, иностранные центральные (национальные) банки, иностранные банки. </w:t>
      </w:r>
    </w:p>
    <w:p w:rsidR="001F64B9" w:rsidRPr="00E86BA9" w:rsidRDefault="001F64B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Правилами платежной системы должно быть предусмотрено прямое участие в платежной системе и может быть предусмотрено косвенное участие в платежной системе.</w:t>
      </w:r>
    </w:p>
    <w:p w:rsidR="009E784D" w:rsidRPr="00E86BA9" w:rsidRDefault="001B1F2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BA9">
        <w:rPr>
          <w:rFonts w:ascii="Times New Roman" w:hAnsi="Times New Roman" w:cs="Times New Roman"/>
          <w:sz w:val="28"/>
          <w:szCs w:val="28"/>
        </w:rPr>
        <w:t>Прямыми участниками платежной системы могут являться только операторы по переводу денежных средств, включая операторов электронных денежных средств, профессиональные участники рынка ценных бумаг, юридические лица, являющиеся участниками организованных торгов и (или) участниками клиринга в соответствии с Федеральным законом от 7 февраля 2011 года N 7-ФЗ "О клиринге и клиринговой деятельности" (при осуществлении ими переводов денежных средств по сделкам, совершенным на организованных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 xml:space="preserve">торгах), страховые организации, осуществляющие обязательное страхование гражданской ответственности в соответствии с законодательством Российской Федерации (при осуществлении ими </w:t>
      </w:r>
      <w:r w:rsidRPr="00E86BA9">
        <w:rPr>
          <w:rFonts w:ascii="Times New Roman" w:hAnsi="Times New Roman" w:cs="Times New Roman"/>
          <w:sz w:val="28"/>
          <w:szCs w:val="28"/>
        </w:rPr>
        <w:lastRenderedPageBreak/>
        <w:t xml:space="preserve">расчетов по обязательным видам страхования гражданской ответственности, предусмотренным законодательством Российской Федерации), и органы Федерального казначейства. </w:t>
      </w:r>
      <w:proofErr w:type="gramEnd"/>
    </w:p>
    <w:p w:rsidR="001B1F20" w:rsidRPr="00E86BA9" w:rsidRDefault="001B1F2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Косвенное участие в платежной системе требует открытия банковского счета косвенному участнику - организации, предусмотренной частью 1 статьи</w:t>
      </w:r>
      <w:r w:rsidR="009E784D" w:rsidRPr="00E86BA9">
        <w:rPr>
          <w:rFonts w:ascii="Times New Roman" w:hAnsi="Times New Roman" w:cs="Times New Roman"/>
          <w:sz w:val="28"/>
          <w:szCs w:val="28"/>
        </w:rPr>
        <w:t xml:space="preserve"> 21 ФЗ «О </w:t>
      </w:r>
      <w:r w:rsidR="009C6E15">
        <w:rPr>
          <w:rFonts w:ascii="Times New Roman" w:hAnsi="Times New Roman" w:cs="Times New Roman"/>
          <w:sz w:val="28"/>
          <w:szCs w:val="28"/>
        </w:rPr>
        <w:t>национальной платежной системе»</w:t>
      </w:r>
      <w:r w:rsidRPr="00E86BA9">
        <w:rPr>
          <w:rFonts w:ascii="Times New Roman" w:hAnsi="Times New Roman" w:cs="Times New Roman"/>
          <w:sz w:val="28"/>
          <w:szCs w:val="28"/>
        </w:rPr>
        <w:t>, прямым участником платежной системы, являющимся оператором по переводу денежных средств, в целях осуществления расчета с другими участниками платежной системы.</w:t>
      </w:r>
    </w:p>
    <w:p w:rsidR="001F64B9" w:rsidRPr="00E86BA9" w:rsidRDefault="001B1F2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A9B" w:rsidRPr="00E86BA9" w:rsidRDefault="00586A9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2B7BF2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35. </w:t>
      </w:r>
      <w:r w:rsidR="009975C8" w:rsidRPr="00E86BA9">
        <w:rPr>
          <w:rFonts w:ascii="Times New Roman" w:hAnsi="Times New Roman" w:cs="Times New Roman"/>
          <w:sz w:val="28"/>
          <w:szCs w:val="28"/>
        </w:rPr>
        <w:t xml:space="preserve">В большинстве </w:t>
      </w:r>
      <w:proofErr w:type="gramStart"/>
      <w:r w:rsidR="009975C8" w:rsidRPr="00E86BA9">
        <w:rPr>
          <w:rFonts w:ascii="Times New Roman" w:hAnsi="Times New Roman" w:cs="Times New Roman"/>
          <w:sz w:val="28"/>
          <w:szCs w:val="28"/>
        </w:rPr>
        <w:t xml:space="preserve">стран мира роль главного координатора </w:t>
      </w:r>
      <w:r w:rsidRPr="00E86BA9">
        <w:rPr>
          <w:rFonts w:ascii="Times New Roman" w:hAnsi="Times New Roman" w:cs="Times New Roman"/>
          <w:sz w:val="28"/>
          <w:szCs w:val="28"/>
        </w:rPr>
        <w:t>национальной платежной системы</w:t>
      </w:r>
      <w:proofErr w:type="gramEnd"/>
      <w:r w:rsidR="009975C8" w:rsidRPr="00E86BA9">
        <w:rPr>
          <w:rFonts w:ascii="Times New Roman" w:hAnsi="Times New Roman" w:cs="Times New Roman"/>
          <w:sz w:val="28"/>
          <w:szCs w:val="28"/>
        </w:rPr>
        <w:t xml:space="preserve"> играет институт:</w:t>
      </w:r>
    </w:p>
    <w:p w:rsidR="00586A9B" w:rsidRPr="00E86BA9" w:rsidRDefault="00586A9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</w:t>
      </w:r>
      <w:r w:rsidR="009975C8" w:rsidRPr="00E86BA9">
        <w:rPr>
          <w:rFonts w:ascii="Times New Roman" w:hAnsi="Times New Roman" w:cs="Times New Roman"/>
          <w:sz w:val="28"/>
          <w:szCs w:val="28"/>
        </w:rPr>
        <w:t>) центрального банка.</w:t>
      </w:r>
    </w:p>
    <w:p w:rsidR="00586A9B" w:rsidRPr="00E86BA9" w:rsidRDefault="00586A9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На вершине пирамиды находится центральный банк, который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конечного платежного агента и главного координатора всей системы расчетов. Центральный банк ведет для подавляющего большинства коммерческих банков счета, на которых отражаются окончательные результаты межбанковских расчетов. Деньги на банковских счетах в центральном банке, а также выпущенные им банкноты (так называемые «деньги центрального банка») являются особо надежным платежным средством, так как выполнение обязательств по ним гарантировано законом.</w:t>
      </w:r>
    </w:p>
    <w:p w:rsidR="00586A9B" w:rsidRPr="00E86BA9" w:rsidRDefault="00586A9B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36.</w:t>
      </w:r>
      <w:r w:rsidR="009975C8" w:rsidRPr="00E86BA9">
        <w:rPr>
          <w:rFonts w:ascii="Times New Roman" w:hAnsi="Times New Roman" w:cs="Times New Roman"/>
          <w:sz w:val="28"/>
          <w:szCs w:val="28"/>
        </w:rPr>
        <w:t xml:space="preserve"> В Древней Греции </w:t>
      </w:r>
      <w:proofErr w:type="spellStart"/>
      <w:r w:rsidR="009975C8" w:rsidRPr="00E86BA9">
        <w:rPr>
          <w:rFonts w:ascii="Times New Roman" w:hAnsi="Times New Roman" w:cs="Times New Roman"/>
          <w:sz w:val="28"/>
          <w:szCs w:val="28"/>
        </w:rPr>
        <w:t>трапезитами</w:t>
      </w:r>
      <w:proofErr w:type="spellEnd"/>
      <w:r w:rsidR="009975C8" w:rsidRPr="00E86BA9">
        <w:rPr>
          <w:rFonts w:ascii="Times New Roman" w:hAnsi="Times New Roman" w:cs="Times New Roman"/>
          <w:sz w:val="28"/>
          <w:szCs w:val="28"/>
        </w:rPr>
        <w:t xml:space="preserve"> называли лиц, которые:</w:t>
      </w: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А</w:t>
      </w:r>
      <w:r w:rsidR="009975C8" w:rsidRPr="00E86BA9">
        <w:rPr>
          <w:rFonts w:ascii="Times New Roman" w:hAnsi="Times New Roman" w:cs="Times New Roman"/>
          <w:sz w:val="28"/>
          <w:szCs w:val="28"/>
        </w:rPr>
        <w:t>) занимались меняльным делом;</w:t>
      </w: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Г</w:t>
      </w:r>
      <w:r w:rsidR="009975C8" w:rsidRPr="00E86BA9">
        <w:rPr>
          <w:rFonts w:ascii="Times New Roman" w:hAnsi="Times New Roman" w:cs="Times New Roman"/>
          <w:sz w:val="28"/>
          <w:szCs w:val="28"/>
        </w:rPr>
        <w:t>) выдавали займы под залог.</w:t>
      </w:r>
    </w:p>
    <w:p w:rsidR="0028781F" w:rsidRPr="00E86BA9" w:rsidRDefault="0028781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6BA9">
        <w:rPr>
          <w:rFonts w:ascii="Times New Roman" w:hAnsi="Times New Roman" w:cs="Times New Roman"/>
          <w:iCs/>
          <w:sz w:val="28"/>
          <w:szCs w:val="28"/>
        </w:rPr>
        <w:t>Трапезиты</w:t>
      </w:r>
      <w:proofErr w:type="spellEnd"/>
      <w:r w:rsidRPr="00E86BA9">
        <w:rPr>
          <w:rFonts w:ascii="Times New Roman" w:hAnsi="Times New Roman" w:cs="Times New Roman"/>
          <w:i/>
          <w:iCs/>
          <w:sz w:val="28"/>
          <w:szCs w:val="28"/>
        </w:rPr>
        <w:t xml:space="preserve"> —</w:t>
      </w:r>
      <w:r w:rsidRPr="00E86BA9">
        <w:rPr>
          <w:rFonts w:ascii="Times New Roman" w:hAnsi="Times New Roman" w:cs="Times New Roman"/>
          <w:sz w:val="28"/>
          <w:szCs w:val="28"/>
        </w:rPr>
        <w:t xml:space="preserve"> менялы появились в Древней Греции в VI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 xml:space="preserve"> н.э. и занимались обменом, хранением, экспертизой, переводом денег, а также выдавали ссуды под высокие проценты (от 10— 12 до 36%) в залог движимого и недвижимого имущества.</w:t>
      </w:r>
    </w:p>
    <w:p w:rsidR="0028781F" w:rsidRPr="00E86BA9" w:rsidRDefault="0028781F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9975C8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D52FC" w:rsidRPr="00E86BA9">
        <w:rPr>
          <w:rFonts w:ascii="Times New Roman" w:hAnsi="Times New Roman" w:cs="Times New Roman"/>
          <w:sz w:val="28"/>
          <w:szCs w:val="28"/>
        </w:rPr>
        <w:t>37.</w:t>
      </w:r>
      <w:r w:rsidRPr="00E86BA9">
        <w:rPr>
          <w:rFonts w:ascii="Times New Roman" w:hAnsi="Times New Roman" w:cs="Times New Roman"/>
          <w:sz w:val="28"/>
          <w:szCs w:val="28"/>
        </w:rPr>
        <w:t>Принципом, означающим, что заемщик должен внести банку определенную плату за временное пользование заимствованными у банка денежными средствами, являются:</w:t>
      </w:r>
    </w:p>
    <w:p w:rsidR="00AA0695" w:rsidRPr="00E86BA9" w:rsidRDefault="00AA069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В</w:t>
      </w:r>
      <w:r w:rsidR="009975C8" w:rsidRPr="00E86BA9">
        <w:rPr>
          <w:rFonts w:ascii="Times New Roman" w:hAnsi="Times New Roman" w:cs="Times New Roman"/>
          <w:sz w:val="28"/>
          <w:szCs w:val="28"/>
        </w:rPr>
        <w:t>) платность кредита;</w:t>
      </w:r>
    </w:p>
    <w:p w:rsidR="00AA0695" w:rsidRPr="00E86BA9" w:rsidRDefault="00AA069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Принцип платности предполагает, что заемщик должен внести кредитору определенную плату за временное заимствование у него денежных сре</w:t>
      </w:r>
      <w:proofErr w:type="gramStart"/>
      <w:r w:rsidRPr="00E86BA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86BA9">
        <w:rPr>
          <w:rFonts w:ascii="Times New Roman" w:hAnsi="Times New Roman" w:cs="Times New Roman"/>
          <w:sz w:val="28"/>
          <w:szCs w:val="28"/>
        </w:rPr>
        <w:t>я своих нужд.</w:t>
      </w:r>
    </w:p>
    <w:p w:rsidR="00AA0695" w:rsidRPr="00E86BA9" w:rsidRDefault="00AA069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38.</w:t>
      </w:r>
      <w:r w:rsidR="009975C8" w:rsidRPr="00E86BA9">
        <w:rPr>
          <w:rFonts w:ascii="Times New Roman" w:hAnsi="Times New Roman" w:cs="Times New Roman"/>
          <w:sz w:val="28"/>
          <w:szCs w:val="28"/>
        </w:rPr>
        <w:t xml:space="preserve">Ставка рефинансирования – это: </w:t>
      </w:r>
    </w:p>
    <w:p w:rsidR="009975C8" w:rsidRPr="00E86BA9" w:rsidRDefault="009975C8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</w:t>
      </w:r>
      <w:r w:rsidR="009975C8" w:rsidRPr="00E86BA9">
        <w:rPr>
          <w:rFonts w:ascii="Times New Roman" w:hAnsi="Times New Roman" w:cs="Times New Roman"/>
          <w:sz w:val="28"/>
          <w:szCs w:val="28"/>
        </w:rPr>
        <w:t>) объявляемая официально ставка кредитования коммерческих банков со стороны центрального банка;</w:t>
      </w:r>
    </w:p>
    <w:p w:rsidR="00AA0695" w:rsidRPr="00E86BA9" w:rsidRDefault="00E86BA9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</w:t>
      </w:r>
      <w:r w:rsidR="00AA0695" w:rsidRPr="00E86BA9">
        <w:rPr>
          <w:rFonts w:ascii="Times New Roman" w:hAnsi="Times New Roman" w:cs="Times New Roman"/>
          <w:sz w:val="28"/>
          <w:szCs w:val="28"/>
        </w:rPr>
        <w:t>вка рефинанс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A0695" w:rsidRPr="00E86BA9">
        <w:rPr>
          <w:rFonts w:ascii="Times New Roman" w:hAnsi="Times New Roman" w:cs="Times New Roman"/>
          <w:sz w:val="28"/>
          <w:szCs w:val="28"/>
        </w:rPr>
        <w:t>рования — размер процентов в годовом исчислении, подлежащий уплате центральному банку страны за кредиты, которые центральный банк предоставил кредитным организациям.</w:t>
      </w:r>
    </w:p>
    <w:p w:rsidR="00AA0695" w:rsidRPr="00E86BA9" w:rsidRDefault="00AA0695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39.</w:t>
      </w:r>
      <w:r w:rsidR="009975C8" w:rsidRPr="00E86BA9">
        <w:rPr>
          <w:rFonts w:ascii="Times New Roman" w:hAnsi="Times New Roman" w:cs="Times New Roman"/>
          <w:sz w:val="28"/>
          <w:szCs w:val="28"/>
        </w:rPr>
        <w:t>Ломбард – это: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Д</w:t>
      </w:r>
      <w:r w:rsidR="009975C8" w:rsidRPr="00E86BA9">
        <w:rPr>
          <w:rFonts w:ascii="Times New Roman" w:hAnsi="Times New Roman" w:cs="Times New Roman"/>
          <w:sz w:val="28"/>
          <w:szCs w:val="28"/>
        </w:rPr>
        <w:t>) специализированная коммерческая организация.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Ломбард (по названию Ломбардии, региона Италии) — специализированная коммерческая организация, основными видами деятельности которой являются предоставление краткосрочных займов под залог движимого имущества граждан и хранение вещей.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40.</w:t>
      </w:r>
      <w:r w:rsidR="009975C8" w:rsidRPr="00E86BA9">
        <w:rPr>
          <w:rFonts w:ascii="Times New Roman" w:hAnsi="Times New Roman" w:cs="Times New Roman"/>
          <w:sz w:val="28"/>
          <w:szCs w:val="28"/>
        </w:rPr>
        <w:t>Совокупность всех видов доходов, полученных от предпринимательской деятельности индивидуальными предпринимателями, - это: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75C8" w:rsidRPr="00E86BA9" w:rsidRDefault="000D52FC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>Б</w:t>
      </w:r>
      <w:r w:rsidR="009975C8" w:rsidRPr="00E86BA9">
        <w:rPr>
          <w:rFonts w:ascii="Times New Roman" w:hAnsi="Times New Roman" w:cs="Times New Roman"/>
          <w:sz w:val="28"/>
          <w:szCs w:val="28"/>
        </w:rPr>
        <w:t>) предпринимательский доход;</w:t>
      </w:r>
    </w:p>
    <w:p w:rsidR="00ED5FF0" w:rsidRPr="00E86BA9" w:rsidRDefault="00ED5FF0" w:rsidP="00E86B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BA9">
        <w:rPr>
          <w:rFonts w:ascii="Times New Roman" w:hAnsi="Times New Roman" w:cs="Times New Roman"/>
          <w:sz w:val="28"/>
          <w:szCs w:val="28"/>
        </w:rPr>
        <w:t xml:space="preserve"> Предпринимательский доход — совокупность всех видов доходов, полученных от предпринимательской деятельности индивидуальных предпринимателей.</w:t>
      </w:r>
      <w:bookmarkStart w:id="0" w:name="_GoBack"/>
      <w:bookmarkEnd w:id="0"/>
    </w:p>
    <w:sectPr w:rsidR="00ED5FF0" w:rsidRPr="00E86BA9" w:rsidSect="007B316C">
      <w:pgSz w:w="11906" w:h="16838"/>
      <w:pgMar w:top="851" w:right="567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549" w:rsidRDefault="00EC7549" w:rsidP="001D0E46">
      <w:pPr>
        <w:spacing w:after="0" w:line="240" w:lineRule="auto"/>
      </w:pPr>
      <w:r>
        <w:separator/>
      </w:r>
    </w:p>
  </w:endnote>
  <w:endnote w:type="continuationSeparator" w:id="0">
    <w:p w:rsidR="00EC7549" w:rsidRDefault="00EC7549" w:rsidP="001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549" w:rsidRDefault="00EC7549" w:rsidP="001D0E46">
      <w:pPr>
        <w:spacing w:after="0" w:line="240" w:lineRule="auto"/>
      </w:pPr>
      <w:r>
        <w:separator/>
      </w:r>
    </w:p>
  </w:footnote>
  <w:footnote w:type="continuationSeparator" w:id="0">
    <w:p w:rsidR="00EC7549" w:rsidRDefault="00EC7549" w:rsidP="001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92CC8"/>
    <w:multiLevelType w:val="hybridMultilevel"/>
    <w:tmpl w:val="7CFA1166"/>
    <w:lvl w:ilvl="0" w:tplc="BD9CB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F6B4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AD6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0BD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A1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281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C67C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828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CADF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564BC0"/>
    <w:multiLevelType w:val="hybridMultilevel"/>
    <w:tmpl w:val="A044EEE0"/>
    <w:lvl w:ilvl="0" w:tplc="8C9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EC1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0A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74F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7A4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A6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D62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4C9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32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56754A4"/>
    <w:multiLevelType w:val="hybridMultilevel"/>
    <w:tmpl w:val="C26660BA"/>
    <w:lvl w:ilvl="0" w:tplc="496E5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1C51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CAE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50E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1E6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186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FED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146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81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6FC3EF8"/>
    <w:multiLevelType w:val="hybridMultilevel"/>
    <w:tmpl w:val="07BE629E"/>
    <w:lvl w:ilvl="0" w:tplc="C44C3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1C1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BED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94C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A28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F24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62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58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58A5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A3917C1"/>
    <w:multiLevelType w:val="hybridMultilevel"/>
    <w:tmpl w:val="308835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D67C25"/>
    <w:multiLevelType w:val="hybridMultilevel"/>
    <w:tmpl w:val="7440261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D5E3555"/>
    <w:multiLevelType w:val="hybridMultilevel"/>
    <w:tmpl w:val="5930082E"/>
    <w:lvl w:ilvl="0" w:tplc="3C6AF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C282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4E4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40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B2D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54F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00F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CC5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A87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D6D3EDC"/>
    <w:multiLevelType w:val="hybridMultilevel"/>
    <w:tmpl w:val="7A72E83A"/>
    <w:lvl w:ilvl="0" w:tplc="B13E4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8ED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D2F3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74D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2C5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A04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623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1CE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501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F3C1A7E"/>
    <w:multiLevelType w:val="hybridMultilevel"/>
    <w:tmpl w:val="2780D9C8"/>
    <w:lvl w:ilvl="0" w:tplc="58F07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209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9C8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4E2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2A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DAF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DE6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EE9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AE6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6A86"/>
    <w:rsid w:val="00003BCB"/>
    <w:rsid w:val="00022D02"/>
    <w:rsid w:val="000D52FC"/>
    <w:rsid w:val="00151CA6"/>
    <w:rsid w:val="00173406"/>
    <w:rsid w:val="0017770D"/>
    <w:rsid w:val="001B1F20"/>
    <w:rsid w:val="001D0E46"/>
    <w:rsid w:val="001F64B9"/>
    <w:rsid w:val="002645F7"/>
    <w:rsid w:val="002779BE"/>
    <w:rsid w:val="00286A86"/>
    <w:rsid w:val="0028781F"/>
    <w:rsid w:val="002B7BF2"/>
    <w:rsid w:val="00304CA6"/>
    <w:rsid w:val="00385C10"/>
    <w:rsid w:val="00494105"/>
    <w:rsid w:val="004C4A48"/>
    <w:rsid w:val="004F54AF"/>
    <w:rsid w:val="00542F7D"/>
    <w:rsid w:val="00556D2E"/>
    <w:rsid w:val="005715F5"/>
    <w:rsid w:val="00586A9B"/>
    <w:rsid w:val="005C5222"/>
    <w:rsid w:val="005E72E8"/>
    <w:rsid w:val="00644CFB"/>
    <w:rsid w:val="00655875"/>
    <w:rsid w:val="0068310B"/>
    <w:rsid w:val="00695A42"/>
    <w:rsid w:val="006B772C"/>
    <w:rsid w:val="006C4913"/>
    <w:rsid w:val="00735953"/>
    <w:rsid w:val="00750339"/>
    <w:rsid w:val="00754BB4"/>
    <w:rsid w:val="007757D4"/>
    <w:rsid w:val="007B316C"/>
    <w:rsid w:val="00820E03"/>
    <w:rsid w:val="00833CCB"/>
    <w:rsid w:val="00880421"/>
    <w:rsid w:val="008D775A"/>
    <w:rsid w:val="008E6D4C"/>
    <w:rsid w:val="00964D51"/>
    <w:rsid w:val="0097633D"/>
    <w:rsid w:val="0099005B"/>
    <w:rsid w:val="009975C8"/>
    <w:rsid w:val="009C20C5"/>
    <w:rsid w:val="009C6E15"/>
    <w:rsid w:val="009E784D"/>
    <w:rsid w:val="00A14BCF"/>
    <w:rsid w:val="00A41E7E"/>
    <w:rsid w:val="00AA0695"/>
    <w:rsid w:val="00AC6E2B"/>
    <w:rsid w:val="00B0176C"/>
    <w:rsid w:val="00B47F9C"/>
    <w:rsid w:val="00B6172B"/>
    <w:rsid w:val="00B765F7"/>
    <w:rsid w:val="00BF3691"/>
    <w:rsid w:val="00C74482"/>
    <w:rsid w:val="00CF1316"/>
    <w:rsid w:val="00D356A2"/>
    <w:rsid w:val="00D77383"/>
    <w:rsid w:val="00DF36CA"/>
    <w:rsid w:val="00E8337C"/>
    <w:rsid w:val="00E86BA9"/>
    <w:rsid w:val="00EC7549"/>
    <w:rsid w:val="00ED5FF0"/>
    <w:rsid w:val="00EE5FF0"/>
    <w:rsid w:val="00FB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0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0E46"/>
  </w:style>
  <w:style w:type="paragraph" w:styleId="a5">
    <w:name w:val="footer"/>
    <w:basedOn w:val="a"/>
    <w:link w:val="a6"/>
    <w:uiPriority w:val="99"/>
    <w:unhideWhenUsed/>
    <w:rsid w:val="001D0E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0E46"/>
  </w:style>
  <w:style w:type="paragraph" w:styleId="a7">
    <w:name w:val="Balloon Text"/>
    <w:basedOn w:val="a"/>
    <w:link w:val="a8"/>
    <w:uiPriority w:val="99"/>
    <w:semiHidden/>
    <w:unhideWhenUsed/>
    <w:rsid w:val="001D0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E4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975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53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603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710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591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63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1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7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13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4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30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2D0CD-0EF7-43D6-9793-22B397F84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2014-02-04T03:25:00Z</cp:lastPrinted>
  <dcterms:created xsi:type="dcterms:W3CDTF">2015-12-17T11:51:00Z</dcterms:created>
  <dcterms:modified xsi:type="dcterms:W3CDTF">2015-12-17T11:51:00Z</dcterms:modified>
</cp:coreProperties>
</file>