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B26" w:rsidRDefault="00636B26" w:rsidP="00636B26">
      <w:pPr>
        <w:spacing w:before="240" w:after="240" w:line="360" w:lineRule="auto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СОДЕРЖАНИЕ</w:t>
      </w:r>
    </w:p>
    <w:p w:rsidR="00636B26" w:rsidRDefault="00636B26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1.</w:t>
      </w:r>
      <w:r w:rsidR="0075350C">
        <w:rPr>
          <w:spacing w:val="-1"/>
          <w:sz w:val="28"/>
          <w:szCs w:val="28"/>
        </w:rPr>
        <w:t xml:space="preserve"> Кредитная система и ее государственное регулирование </w:t>
      </w:r>
      <w:r>
        <w:rPr>
          <w:spacing w:val="-1"/>
          <w:sz w:val="28"/>
          <w:szCs w:val="28"/>
        </w:rPr>
        <w:t>…………………………………</w:t>
      </w:r>
      <w:r w:rsidR="008228F1">
        <w:rPr>
          <w:spacing w:val="-1"/>
          <w:sz w:val="28"/>
          <w:szCs w:val="28"/>
        </w:rPr>
        <w:t>………………………………</w:t>
      </w:r>
      <w:r w:rsidR="00E3183F">
        <w:rPr>
          <w:spacing w:val="-1"/>
          <w:sz w:val="28"/>
          <w:szCs w:val="28"/>
        </w:rPr>
        <w:t>.</w:t>
      </w:r>
      <w:r w:rsidR="008228F1">
        <w:rPr>
          <w:spacing w:val="-1"/>
          <w:sz w:val="28"/>
          <w:szCs w:val="28"/>
        </w:rPr>
        <w:t>……………... 3</w:t>
      </w:r>
    </w:p>
    <w:p w:rsidR="00636B26" w:rsidRDefault="00636B26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2. Задача ……………………………………………………………………..</w:t>
      </w:r>
      <w:r w:rsidR="00E3183F">
        <w:rPr>
          <w:spacing w:val="-1"/>
          <w:sz w:val="28"/>
          <w:szCs w:val="28"/>
        </w:rPr>
        <w:t xml:space="preserve"> 10</w:t>
      </w:r>
    </w:p>
    <w:p w:rsidR="00636B26" w:rsidRDefault="00636B26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3. Список использованной литературы …………………….……………..</w:t>
      </w:r>
      <w:r w:rsidR="00E3183F">
        <w:rPr>
          <w:spacing w:val="-1"/>
          <w:sz w:val="28"/>
          <w:szCs w:val="28"/>
        </w:rPr>
        <w:t xml:space="preserve"> 11</w:t>
      </w:r>
    </w:p>
    <w:p w:rsidR="00636B26" w:rsidRDefault="00636B26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4. </w:t>
      </w:r>
      <w:r w:rsidR="00E3183F">
        <w:rPr>
          <w:spacing w:val="-1"/>
          <w:sz w:val="28"/>
          <w:szCs w:val="28"/>
        </w:rPr>
        <w:t>Приложения ……………………………………………………...</w:t>
      </w:r>
      <w:r>
        <w:rPr>
          <w:spacing w:val="-1"/>
          <w:sz w:val="28"/>
          <w:szCs w:val="28"/>
        </w:rPr>
        <w:t>………</w:t>
      </w:r>
      <w:r w:rsidR="00E3183F">
        <w:rPr>
          <w:spacing w:val="-1"/>
          <w:sz w:val="28"/>
          <w:szCs w:val="28"/>
        </w:rPr>
        <w:t>. 12</w:t>
      </w: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228F1" w:rsidRDefault="008228F1" w:rsidP="00636B26">
      <w:pPr>
        <w:spacing w:before="240" w:after="240" w:line="360" w:lineRule="auto"/>
        <w:jc w:val="both"/>
        <w:rPr>
          <w:spacing w:val="-1"/>
          <w:sz w:val="28"/>
          <w:szCs w:val="28"/>
        </w:rPr>
      </w:pPr>
    </w:p>
    <w:p w:rsidR="008D24FF" w:rsidRPr="008D24FF" w:rsidRDefault="008D24FF" w:rsidP="0047133A">
      <w:pPr>
        <w:spacing w:before="240" w:line="360" w:lineRule="auto"/>
        <w:ind w:firstLine="851"/>
        <w:jc w:val="center"/>
        <w:rPr>
          <w:b/>
          <w:sz w:val="28"/>
        </w:rPr>
      </w:pPr>
      <w:r w:rsidRPr="008D24FF">
        <w:rPr>
          <w:b/>
          <w:sz w:val="28"/>
        </w:rPr>
        <w:lastRenderedPageBreak/>
        <w:t>КРЕДИТНАЯ СИСТЕМА И ЕЕ ГОСУДАРСТВЕННОЕ РЕГУЛИРОВАНИЕ</w:t>
      </w:r>
    </w:p>
    <w:p w:rsidR="0075350C" w:rsidRPr="0075350C" w:rsidRDefault="0075350C" w:rsidP="0047133A">
      <w:pPr>
        <w:spacing w:before="240"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В современном хозяйстве кредит остается существенным источником экономического развития. Его активно используют как отдельные предприятия и граждане, так и страны. Во всем мире широко распространены внутренние и внешние займы. Доля кредита как инструмента осуществления затрат находится на довольно в</w:t>
      </w:r>
      <w:r>
        <w:rPr>
          <w:sz w:val="28"/>
        </w:rPr>
        <w:t>ысоком уровне.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Кредит развивается вместе с ростом масштабов производства и товарооборота. Такова закономерность его движения, ибо он, как отмечалось, является порождением материальных процессов: увеличение материальных потоков и услуг неизбежно вызывает необходимость использования дополнительных источников финансирования затрат. Таким источником объектив</w:t>
      </w:r>
      <w:r>
        <w:rPr>
          <w:sz w:val="28"/>
        </w:rPr>
        <w:t>но становятся заемные средства.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8D24FF">
        <w:rPr>
          <w:b/>
          <w:sz w:val="28"/>
        </w:rPr>
        <w:t>Циклическое развитие кредита</w:t>
      </w:r>
      <w:r w:rsidRPr="0075350C">
        <w:rPr>
          <w:sz w:val="28"/>
        </w:rPr>
        <w:t>. Однако поступательно развиваясь вместе с ростом богатства стран и народов, кредит демонстрирует неравномерность этого движения. В период экономического подъема кредит развивается. Именно в этот период возрастает деловая активность, снижаются экономические риски, более явственными становятся «приливы» и «отливы» средств, их излишек или недостаток у различных субъектов и в разных экономических регионах. Необходимость и возможность перераспределения ресурсов посредством кредитовани</w:t>
      </w:r>
      <w:r>
        <w:rPr>
          <w:sz w:val="28"/>
        </w:rPr>
        <w:t>я делается более благоприятной.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 xml:space="preserve">Напротив, в период спада объемы кредитования уменьшаются, отражая проблемы, появляющиеся в сфере материального производства и сфере обращения. Спрос на кредит существенно возрастает, но ресурсы реже высвобождаются, предложение свободных ресурсов сокращается, вызывая их недостаток на денежном рынке. Заметнее становится противоречие между </w:t>
      </w:r>
      <w:r w:rsidRPr="0075350C">
        <w:rPr>
          <w:sz w:val="28"/>
        </w:rPr>
        <w:lastRenderedPageBreak/>
        <w:t>спросом на кредит и его предложением, более частыми и объемными делаются неплатежи по долгам</w:t>
      </w:r>
      <w:r>
        <w:rPr>
          <w:sz w:val="28"/>
        </w:rPr>
        <w:t>, убытки от кредитных операций.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При продолжающемся росте объемов производства размер кредитов может уменьшаться. Наиболее заметно это проявляется на микроуровне, когда кредитор (банк), прогнозируя существенные затруднения, отказывает в предоставлении кредита заемщику, наращ</w:t>
      </w:r>
      <w:r>
        <w:rPr>
          <w:sz w:val="28"/>
        </w:rPr>
        <w:t>ивающему масштабы деятельности.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8D24FF">
        <w:rPr>
          <w:b/>
          <w:sz w:val="28"/>
        </w:rPr>
        <w:t>Современные тенденции движения банковского кредита</w:t>
      </w:r>
      <w:r w:rsidRPr="0075350C">
        <w:rPr>
          <w:sz w:val="28"/>
        </w:rPr>
        <w:t>. Главной формой кредита по-прежнему является банковский кредит. Прежде всего на денежном рынке появилис</w:t>
      </w:r>
      <w:r>
        <w:rPr>
          <w:sz w:val="28"/>
        </w:rPr>
        <w:t>ь транснациональные банки, в рез</w:t>
      </w:r>
      <w:r w:rsidRPr="0075350C">
        <w:rPr>
          <w:sz w:val="28"/>
        </w:rPr>
        <w:t>ультате раздвинулись национальные границы, расширились масштабы и география движения ссудных капиталов. Тенденция к укрупнению кредитора действует и в настоящее вре</w:t>
      </w:r>
      <w:r>
        <w:rPr>
          <w:sz w:val="28"/>
        </w:rPr>
        <w:t>мя. Слияние банков происходит вс</w:t>
      </w:r>
      <w:r w:rsidRPr="0075350C">
        <w:rPr>
          <w:sz w:val="28"/>
        </w:rPr>
        <w:t>е чаще. Оно наблюдается практи</w:t>
      </w:r>
      <w:r>
        <w:rPr>
          <w:sz w:val="28"/>
        </w:rPr>
        <w:t>чески во всех развитых странах.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Внутри национальных границ также осу</w:t>
      </w:r>
      <w:r w:rsidR="0047133A">
        <w:rPr>
          <w:sz w:val="28"/>
        </w:rPr>
        <w:t>ществляется укрупнение кредита -</w:t>
      </w:r>
      <w:r w:rsidRPr="0075350C">
        <w:rPr>
          <w:sz w:val="28"/>
        </w:rPr>
        <w:t xml:space="preserve"> развитие его синдицированной формы, когда несколько банков объединяются для кредитования особенно крупных объектов, финансирование которых силами капитала только одного банка становится невозможным как из-за недостаточности размера отдельного капитала, так и вследствие существующих правил действия в опреде</w:t>
      </w:r>
      <w:r>
        <w:rPr>
          <w:sz w:val="28"/>
        </w:rPr>
        <w:t>лении размера крупного кредита.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 xml:space="preserve">Происходят некоторые изменения в характере заемщика. В современной практике стало принятым кредитование не только предприятий (юридических лиц), но и населения (физических лиц). Кредитные вложения в каждый сектор, по существу, уравновесились. Наиболее успешно при этом развивается ипотечное кредитование, вызывая спрос на строительные материалы, увеличение масштабов строительной индустрии и </w:t>
      </w:r>
      <w:r>
        <w:rPr>
          <w:sz w:val="28"/>
        </w:rPr>
        <w:t>рост объемов ее финансирования.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lastRenderedPageBreak/>
        <w:t>Продолжает увеличиваться число объектов кредитования. Кредитуются не только материальные ценности и затраты, но и такой «экзотический» объект, как интеллектуальная собственность. Под ее стоимость, определяемую особым образом, банки выдают кредиты, принимая в обеспечение цену патентов,</w:t>
      </w:r>
      <w:r>
        <w:rPr>
          <w:sz w:val="28"/>
        </w:rPr>
        <w:t xml:space="preserve"> изобретений и т.п.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 xml:space="preserve">Виды кредитов стали более разнообразными. Ссуды выдаются как богатым клиентам, так и бедным слоям населения (мини-кредиты). Учитывая общую тенденцию к старению банковских клиентов, кредиты предоставляются как молодым гражданам, включая </w:t>
      </w:r>
      <w:r>
        <w:rPr>
          <w:sz w:val="28"/>
        </w:rPr>
        <w:t>студентов, так и пожилым людям.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Одна из тенденци</w:t>
      </w:r>
      <w:r w:rsidR="0047133A">
        <w:rPr>
          <w:sz w:val="28"/>
        </w:rPr>
        <w:t>й развития кредитных отношений -</w:t>
      </w:r>
      <w:r w:rsidRPr="0075350C">
        <w:rPr>
          <w:sz w:val="28"/>
        </w:rPr>
        <w:t xml:space="preserve"> все более сильное проявление их тесной взаимосвязи с финансовым рынком. Развитие рынка кредитных облигац</w:t>
      </w:r>
      <w:r w:rsidR="0047133A">
        <w:rPr>
          <w:sz w:val="28"/>
        </w:rPr>
        <w:t>ий (займов) неизбежно приводит к</w:t>
      </w:r>
      <w:r w:rsidRPr="0075350C">
        <w:rPr>
          <w:sz w:val="28"/>
        </w:rPr>
        <w:t xml:space="preserve"> увел</w:t>
      </w:r>
      <w:r>
        <w:rPr>
          <w:sz w:val="28"/>
        </w:rPr>
        <w:t>ичению числа видов обеспечения.</w:t>
      </w:r>
    </w:p>
    <w:p w:rsidR="00636B26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Ценные бумаги, кредитные деривативы и другие финансовые инструменты стали неизбежными спутниками современной системы кредитования, порождая, с одной стороны, рост объемов кредитования, с другой стороны, большие кредитные риски. Использование банками на началах возвратности средств, аккумулированных у населения и предприятий, для покупки акций и облигаций относится к разряду спекулятивных операций с повышенным риском. Превалирование этих средств в активах снижает надежность кредитования, приводя к крупным убыткам и банкротству кредитных учреждений.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В деятельности современных бан</w:t>
      </w:r>
      <w:r>
        <w:rPr>
          <w:sz w:val="28"/>
        </w:rPr>
        <w:t>ков все в большей степени реали</w:t>
      </w:r>
      <w:r w:rsidRPr="0075350C">
        <w:rPr>
          <w:sz w:val="28"/>
        </w:rPr>
        <w:t>зуются аналитические функции. В силу возрастания рисков, что сам по себе также можно назвать тенденцие</w:t>
      </w:r>
      <w:r>
        <w:rPr>
          <w:sz w:val="28"/>
        </w:rPr>
        <w:t>й в развитии кредитных и другой</w:t>
      </w:r>
      <w:r w:rsidRPr="0075350C">
        <w:rPr>
          <w:sz w:val="28"/>
        </w:rPr>
        <w:t xml:space="preserve"> операций, банки стали относиться особ</w:t>
      </w:r>
      <w:r>
        <w:rPr>
          <w:sz w:val="28"/>
        </w:rPr>
        <w:t>енно тщательно к оценке как объ</w:t>
      </w:r>
      <w:r w:rsidRPr="0075350C">
        <w:rPr>
          <w:sz w:val="28"/>
        </w:rPr>
        <w:t>ектов, так и субъектов кредитовани</w:t>
      </w:r>
      <w:r w:rsidR="0047133A">
        <w:rPr>
          <w:sz w:val="28"/>
        </w:rPr>
        <w:t>я. Помимо общих принципов, общих</w:t>
      </w:r>
      <w:r w:rsidRPr="0075350C">
        <w:rPr>
          <w:sz w:val="28"/>
        </w:rPr>
        <w:t xml:space="preserve"> </w:t>
      </w:r>
      <w:r w:rsidRPr="0075350C">
        <w:rPr>
          <w:sz w:val="28"/>
        </w:rPr>
        <w:lastRenderedPageBreak/>
        <w:t>правил кредитования банки раз</w:t>
      </w:r>
      <w:r w:rsidR="0047133A">
        <w:rPr>
          <w:sz w:val="28"/>
        </w:rPr>
        <w:t>рабатывают различного рода моделей</w:t>
      </w:r>
      <w:r w:rsidRPr="0075350C">
        <w:rPr>
          <w:sz w:val="28"/>
        </w:rPr>
        <w:t xml:space="preserve"> оценки кредитоспособности своих заемщиков с учетом их юридическое статуса, правовой формы, возраста и</w:t>
      </w:r>
      <w:r>
        <w:rPr>
          <w:sz w:val="28"/>
        </w:rPr>
        <w:t xml:space="preserve"> профессии, если речь идет о фи</w:t>
      </w:r>
      <w:r w:rsidRPr="0075350C">
        <w:rPr>
          <w:sz w:val="28"/>
        </w:rPr>
        <w:t>зическом лице, места его работы, обр</w:t>
      </w:r>
      <w:r>
        <w:rPr>
          <w:sz w:val="28"/>
        </w:rPr>
        <w:t>азования, трудового стажа и т.п.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Заметной тенденцией современной практики функционирования кредита является его сочетание со страхованием. Не случайно в настоящее время происходит не только объединение банков со страховыми компаниями, но и слияние страховых компаний с банками, где главным акционером выступает страховая организация (так произошло например, при вложении значительных средств известной страховой компании «Герм</w:t>
      </w:r>
      <w:r>
        <w:rPr>
          <w:sz w:val="28"/>
        </w:rPr>
        <w:t>ес» в капитал «Дрезднербанка»),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Сочетание кредитного и страхового бизнеса позволяет повысить надежность кредитной деятельности, уменьшит</w:t>
      </w:r>
      <w:r>
        <w:rPr>
          <w:sz w:val="28"/>
        </w:rPr>
        <w:t>ь убытки от кредитных операций.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8D24FF">
        <w:rPr>
          <w:b/>
          <w:sz w:val="28"/>
        </w:rPr>
        <w:t>Интернациональный характер кредитного дела.</w:t>
      </w:r>
      <w:r w:rsidRPr="0075350C">
        <w:rPr>
          <w:sz w:val="28"/>
        </w:rPr>
        <w:t xml:space="preserve"> Национальные требования к системе кредитования клиентов все чаще сверяются с международными нормами, повышается ответственность банков (кредиторов) за чистоту деятельности заемщика. В последнее время борьба с отмыванием денег стала международной проблемой. Международные организации рекомендуют банкам усилить анализ рисков взаимодействия как с новыми, так и с существующими клиентами, вскрывать нарушения общепринятых требований и при их обнаружении досрочно отзывать кредит, взыскивать высокий процент за нарушение международных правил (в том числе в случае обнаружения фактов использования </w:t>
      </w:r>
      <w:r>
        <w:rPr>
          <w:sz w:val="28"/>
        </w:rPr>
        <w:t>детского труда в производстве).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8D24FF">
        <w:rPr>
          <w:b/>
          <w:sz w:val="28"/>
        </w:rPr>
        <w:t>«Экологизация» кредита.</w:t>
      </w:r>
      <w:r w:rsidRPr="0075350C">
        <w:rPr>
          <w:sz w:val="28"/>
        </w:rPr>
        <w:t xml:space="preserve"> К новым явлениям в международном банковском деле следует отнести «экологизацию» кредита — расширение кредитования мероприятий по охране окружающей среды, предотвращению </w:t>
      </w:r>
      <w:r w:rsidRPr="0075350C">
        <w:rPr>
          <w:sz w:val="28"/>
        </w:rPr>
        <w:lastRenderedPageBreak/>
        <w:t>загрязнения местности (воды, воздуха, пространства). Согласно указаниям международных организаций, банки должны проводить проверки на местах (при необходимости с приглашен</w:t>
      </w:r>
      <w:r>
        <w:rPr>
          <w:sz w:val="28"/>
        </w:rPr>
        <w:t>ием соответствующих экспертов)</w:t>
      </w:r>
    </w:p>
    <w:p w:rsid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8D24FF">
        <w:rPr>
          <w:b/>
          <w:sz w:val="28"/>
        </w:rPr>
        <w:t xml:space="preserve">Интернационализация кредита. </w:t>
      </w:r>
      <w:r w:rsidRPr="0075350C">
        <w:rPr>
          <w:sz w:val="28"/>
        </w:rPr>
        <w:t>Заметной тенденцией современной кредитной практики стала интернационализация кредита. В частности, это находит свое отражение в мероприятиях по переходу российских банков на междунаро</w:t>
      </w:r>
      <w:r>
        <w:rPr>
          <w:sz w:val="28"/>
        </w:rPr>
        <w:t>дные стандарты финансовой отчетности. Для наглядности представим рассмотренные нами тенденции в виде таблице (</w:t>
      </w:r>
      <w:r w:rsidR="00783D9B">
        <w:rPr>
          <w:sz w:val="28"/>
        </w:rPr>
        <w:t>Таблица</w:t>
      </w:r>
      <w:r>
        <w:rPr>
          <w:sz w:val="28"/>
        </w:rPr>
        <w:t xml:space="preserve"> 1).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8D24FF">
        <w:rPr>
          <w:b/>
          <w:sz w:val="28"/>
        </w:rPr>
        <w:t>Особенности функционирования кредита.</w:t>
      </w:r>
      <w:r w:rsidRPr="0075350C">
        <w:rPr>
          <w:sz w:val="28"/>
        </w:rPr>
        <w:t xml:space="preserve"> Тенденции в развитии кредитных отношений, которые наблюдаются в докризисном периоде в мире, проявляются и в Российской Федерации. Как и во всем мире, на стадии подъема возрастают масштабы кредитования — расширяются круг субъектов и объектов кредитования, рамки обеспечения ссуд. Более заметное развитие получает кредитование населения, синдицированное и ипотечное кредитование. Национальная система кредитования, построенная на рыночных принципах, при ведении банковских операций все в большей степени учитывает междунар</w:t>
      </w:r>
      <w:r>
        <w:rPr>
          <w:sz w:val="28"/>
        </w:rPr>
        <w:t>одные рекомендации и стандарты.</w:t>
      </w:r>
    </w:p>
    <w:p w:rsid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Вместе с тем развитие кредита в России имело ряд особенностей, которые были обусловлены состоянием российской экономики. В силу продолжавшегося долгие годы спада производства объемы кредитных вложений в экономику существенно сокращались. За период с 1980 по 2000 г. размер кредита уменьшался. Если в середине 80-х гг. XX в. удельный вес кредита как источника формирования оборотных средств предприятий составлял 40—45%, то в 2006 г. он не превышал 30%.</w:t>
      </w:r>
    </w:p>
    <w:p w:rsid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В последующем, хотя объемы кредита стали возрастать, тем не менее отношение размера кредита к ВВП ос</w:t>
      </w:r>
      <w:r>
        <w:rPr>
          <w:sz w:val="28"/>
        </w:rPr>
        <w:t>тавалось существенно ниже, чем</w:t>
      </w:r>
      <w:r w:rsidRPr="0075350C">
        <w:rPr>
          <w:sz w:val="28"/>
        </w:rPr>
        <w:t xml:space="preserve"> в других странах. 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lastRenderedPageBreak/>
        <w:t>Согласно Стратегии развития банковского сектора Российской Федерации, к 2015 г. предусматриваются следующие параметры, характеризующие роль б</w:t>
      </w:r>
      <w:r>
        <w:rPr>
          <w:sz w:val="28"/>
        </w:rPr>
        <w:t>анковского сектора в экономике:</w:t>
      </w:r>
    </w:p>
    <w:p w:rsidR="0075350C" w:rsidRPr="008D24FF" w:rsidRDefault="0075350C" w:rsidP="0047133A">
      <w:pPr>
        <w:pStyle w:val="a7"/>
        <w:numPr>
          <w:ilvl w:val="0"/>
          <w:numId w:val="2"/>
        </w:numPr>
        <w:spacing w:after="240" w:line="360" w:lineRule="auto"/>
        <w:ind w:left="1276"/>
        <w:jc w:val="both"/>
        <w:rPr>
          <w:sz w:val="28"/>
        </w:rPr>
      </w:pPr>
      <w:r w:rsidRPr="008D24FF">
        <w:rPr>
          <w:sz w:val="28"/>
        </w:rPr>
        <w:t>активы/ВВП — более 90%;</w:t>
      </w:r>
    </w:p>
    <w:p w:rsidR="0075350C" w:rsidRPr="008D24FF" w:rsidRDefault="0075350C" w:rsidP="0047133A">
      <w:pPr>
        <w:pStyle w:val="a7"/>
        <w:numPr>
          <w:ilvl w:val="0"/>
          <w:numId w:val="2"/>
        </w:numPr>
        <w:spacing w:after="240" w:line="360" w:lineRule="auto"/>
        <w:ind w:left="1276"/>
        <w:jc w:val="both"/>
        <w:rPr>
          <w:sz w:val="28"/>
        </w:rPr>
      </w:pPr>
      <w:r w:rsidRPr="008D24FF">
        <w:rPr>
          <w:sz w:val="28"/>
        </w:rPr>
        <w:t>капитал/ВВП —13—14%;</w:t>
      </w:r>
    </w:p>
    <w:p w:rsidR="0075350C" w:rsidRPr="008D24FF" w:rsidRDefault="0075350C" w:rsidP="0047133A">
      <w:pPr>
        <w:pStyle w:val="a7"/>
        <w:numPr>
          <w:ilvl w:val="0"/>
          <w:numId w:val="2"/>
        </w:numPr>
        <w:spacing w:after="240" w:line="360" w:lineRule="auto"/>
        <w:ind w:left="1276"/>
        <w:jc w:val="both"/>
        <w:rPr>
          <w:sz w:val="28"/>
        </w:rPr>
      </w:pPr>
      <w:r w:rsidRPr="008D24FF">
        <w:rPr>
          <w:sz w:val="28"/>
        </w:rPr>
        <w:t>кредиты/ВВП — 50—55%.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В соответствии с прогнозом Правительства РФ и Банка России реальные темпы прироста основных показателей банковского сектора буду</w:t>
      </w:r>
      <w:r>
        <w:rPr>
          <w:sz w:val="28"/>
        </w:rPr>
        <w:t>т опережать темпы прироста ВВП.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 xml:space="preserve">Вместе с тем необходимо отметить, что в России по-прежнему невысок удельный вес кредитования населения. Во всех активах банков на 1 января 2011 г. на долю кредитов населению приходилось лишь 13,3%. Преобладающим являлось кредитование оборотного капитала. Кредиты в основные фонды не превышали 10% </w:t>
      </w:r>
      <w:r>
        <w:rPr>
          <w:sz w:val="28"/>
        </w:rPr>
        <w:t>общего размера банковских ссуд.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 xml:space="preserve">Наиболее распространенная форма кредитования — целевые ссуды; кредиты по овердрафту в пределах так называемой кредитной </w:t>
      </w:r>
      <w:r>
        <w:rPr>
          <w:sz w:val="28"/>
        </w:rPr>
        <w:t>линии применяются недостаточно.</w:t>
      </w:r>
    </w:p>
    <w:p w:rsidR="0075350C" w:rsidRP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Системный финансово-экономический кризис вызвал заметные изменения в динамике кредитования. Снижение темпов экономического развития привело к некоторому спаду кредитования, сокращению роли кредита в активах коммерческих банков. Кредитные потоки капитала как на макро-, так и на микроуровне стали менее управляемыми. Кредит превратился в</w:t>
      </w:r>
      <w:r>
        <w:rPr>
          <w:sz w:val="28"/>
        </w:rPr>
        <w:t xml:space="preserve"> стихийный регулятор экономики.</w:t>
      </w:r>
    </w:p>
    <w:p w:rsidR="0075350C" w:rsidRDefault="0075350C" w:rsidP="0047133A">
      <w:pPr>
        <w:spacing w:after="240" w:line="360" w:lineRule="auto"/>
        <w:ind w:firstLine="851"/>
        <w:jc w:val="both"/>
        <w:rPr>
          <w:sz w:val="28"/>
        </w:rPr>
      </w:pPr>
      <w:r w:rsidRPr="0075350C">
        <w:rPr>
          <w:sz w:val="28"/>
        </w:rPr>
        <w:t>Развитию кредита в России препятствуют значительные риски, отсутствие доверия между экономическими субъектами, слабая ресурсная база коммерческих банков.</w:t>
      </w:r>
    </w:p>
    <w:p w:rsidR="008D24FF" w:rsidRPr="008D24FF" w:rsidRDefault="008D24FF" w:rsidP="0047133A">
      <w:pPr>
        <w:spacing w:after="240" w:line="360" w:lineRule="auto"/>
        <w:ind w:firstLine="851"/>
        <w:jc w:val="both"/>
        <w:rPr>
          <w:sz w:val="28"/>
        </w:rPr>
      </w:pPr>
      <w:r w:rsidRPr="008D24FF">
        <w:rPr>
          <w:sz w:val="28"/>
        </w:rPr>
        <w:lastRenderedPageBreak/>
        <w:t>Заметным фактором, сдержив</w:t>
      </w:r>
      <w:r>
        <w:rPr>
          <w:sz w:val="28"/>
        </w:rPr>
        <w:t>ающим рост кредитов, является не</w:t>
      </w:r>
      <w:r w:rsidRPr="008D24FF">
        <w:rPr>
          <w:sz w:val="28"/>
        </w:rPr>
        <w:t>проработанная Законодательная база, защищающая права кредиторов и заемщиков. По экспертным оценкам, нуждаются</w:t>
      </w:r>
      <w:r>
        <w:rPr>
          <w:sz w:val="28"/>
        </w:rPr>
        <w:t xml:space="preserve"> в совершенствовании законы, рег</w:t>
      </w:r>
      <w:r w:rsidRPr="008D24FF">
        <w:rPr>
          <w:sz w:val="28"/>
        </w:rPr>
        <w:t>улирующие банкротство кредитных организаций, банковскую деятельность в целом</w:t>
      </w:r>
      <w:r>
        <w:rPr>
          <w:sz w:val="28"/>
        </w:rPr>
        <w:t xml:space="preserve"> и особенно кредитных операций.</w:t>
      </w:r>
    </w:p>
    <w:p w:rsidR="008D24FF" w:rsidRPr="008D24FF" w:rsidRDefault="008D24FF" w:rsidP="0047133A">
      <w:pPr>
        <w:spacing w:after="240" w:line="360" w:lineRule="auto"/>
        <w:ind w:firstLine="851"/>
        <w:jc w:val="both"/>
        <w:rPr>
          <w:sz w:val="28"/>
        </w:rPr>
      </w:pPr>
      <w:r w:rsidRPr="008D24FF">
        <w:rPr>
          <w:sz w:val="28"/>
        </w:rPr>
        <w:t xml:space="preserve">Сдерживает развитие кредита также слабая кредитная инфраструктура коммерческих банков (недостаточное информационное, методическое, </w:t>
      </w:r>
      <w:r>
        <w:rPr>
          <w:sz w:val="28"/>
        </w:rPr>
        <w:t>научное, кадровое обеспечение).</w:t>
      </w:r>
    </w:p>
    <w:p w:rsidR="008D24FF" w:rsidRDefault="008D24FF" w:rsidP="0047133A">
      <w:pPr>
        <w:spacing w:after="240" w:line="360" w:lineRule="auto"/>
        <w:ind w:firstLine="851"/>
        <w:jc w:val="both"/>
        <w:rPr>
          <w:sz w:val="28"/>
        </w:rPr>
      </w:pPr>
      <w:r w:rsidRPr="008D24FF">
        <w:rPr>
          <w:sz w:val="28"/>
        </w:rPr>
        <w:t>Предстоит еще создать стройную систему кредитных отношений, способствующую дальнейшему э</w:t>
      </w:r>
      <w:r>
        <w:rPr>
          <w:sz w:val="28"/>
        </w:rPr>
        <w:t xml:space="preserve">кономическому и социальному развитию России. </w:t>
      </w:r>
    </w:p>
    <w:p w:rsidR="008D24FF" w:rsidRDefault="008D24FF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47133A" w:rsidRDefault="0047133A" w:rsidP="008D24FF">
      <w:pPr>
        <w:spacing w:line="360" w:lineRule="auto"/>
        <w:ind w:firstLine="851"/>
        <w:jc w:val="both"/>
        <w:rPr>
          <w:sz w:val="28"/>
        </w:rPr>
      </w:pPr>
    </w:p>
    <w:p w:rsidR="008D24FF" w:rsidRDefault="008D24FF" w:rsidP="008D24FF">
      <w:pPr>
        <w:spacing w:line="360" w:lineRule="auto"/>
        <w:ind w:firstLine="851"/>
        <w:jc w:val="both"/>
        <w:rPr>
          <w:sz w:val="28"/>
        </w:rPr>
      </w:pPr>
    </w:p>
    <w:p w:rsidR="008D24FF" w:rsidRDefault="008D24FF" w:rsidP="0047133A">
      <w:pPr>
        <w:spacing w:before="240" w:line="360" w:lineRule="auto"/>
        <w:ind w:firstLine="851"/>
        <w:jc w:val="center"/>
        <w:rPr>
          <w:b/>
          <w:sz w:val="28"/>
        </w:rPr>
      </w:pPr>
      <w:r>
        <w:rPr>
          <w:b/>
          <w:sz w:val="28"/>
        </w:rPr>
        <w:lastRenderedPageBreak/>
        <w:t>ЗАДАЧА</w:t>
      </w:r>
    </w:p>
    <w:p w:rsidR="008D24FF" w:rsidRDefault="008D24FF" w:rsidP="0047133A">
      <w:pPr>
        <w:spacing w:before="240" w:after="240" w:line="360" w:lineRule="auto"/>
        <w:ind w:firstLine="851"/>
        <w:jc w:val="both"/>
        <w:rPr>
          <w:sz w:val="28"/>
        </w:rPr>
      </w:pPr>
      <w:r>
        <w:rPr>
          <w:b/>
          <w:sz w:val="28"/>
        </w:rPr>
        <w:t xml:space="preserve">Условие: </w:t>
      </w:r>
      <w:r w:rsidRPr="008D24FF">
        <w:rPr>
          <w:sz w:val="28"/>
        </w:rPr>
        <w:t>Банк принимает вклады на месяц (ставка 15% годовых), на квартал (ставка 26% годовых) и на год (ставка 27% годовых). По вкладам на месяц и на квартал предполагается автоматическое продление условий вклада. Промежуточного (внутри срока вклада) начисления процентов и присоединения их к основному вкладу нет. Какой вклад лучше выбрать человеку, который исключает возможность того, что деньги могут потребоваться ему ранее, чем через год.</w:t>
      </w:r>
    </w:p>
    <w:p w:rsidR="00C305F9" w:rsidRPr="00C305F9" w:rsidRDefault="0047133A" w:rsidP="00C305F9">
      <w:pPr>
        <w:spacing w:after="240" w:line="360" w:lineRule="auto"/>
        <w:ind w:firstLine="851"/>
        <w:jc w:val="both"/>
        <w:rPr>
          <w:b/>
          <w:sz w:val="28"/>
        </w:rPr>
      </w:pPr>
      <w:r w:rsidRPr="0047133A">
        <w:rPr>
          <w:b/>
          <w:sz w:val="28"/>
        </w:rPr>
        <w:t>Решение:</w:t>
      </w:r>
      <w:r w:rsidR="00C305F9">
        <w:rPr>
          <w:b/>
          <w:sz w:val="28"/>
        </w:rPr>
        <w:t xml:space="preserve"> </w:t>
      </w:r>
      <w:r w:rsidR="00C305F9">
        <w:rPr>
          <w:sz w:val="28"/>
        </w:rPr>
        <w:t>Решим задачу с помощью формул.</w:t>
      </w:r>
    </w:p>
    <w:p w:rsidR="00C305F9" w:rsidRPr="00C305F9" w:rsidRDefault="00C305F9" w:rsidP="0047133A">
      <w:pPr>
        <w:spacing w:after="240" w:line="360" w:lineRule="auto"/>
        <w:ind w:firstLine="851"/>
        <w:jc w:val="both"/>
        <w:rPr>
          <w:sz w:val="28"/>
        </w:rPr>
      </w:pPr>
      <w:r>
        <w:rPr>
          <w:sz w:val="28"/>
        </w:rPr>
        <w:t>Рассчитаем годовой вклад:</w:t>
      </w:r>
    </w:p>
    <w:p w:rsidR="0047133A" w:rsidRDefault="00C305F9" w:rsidP="0047133A">
      <w:pPr>
        <w:spacing w:after="240" w:line="360" w:lineRule="auto"/>
        <w:ind w:firstLine="851"/>
        <w:jc w:val="both"/>
        <w:rPr>
          <w:b/>
          <w:sz w:val="28"/>
        </w:rPr>
      </w:pPr>
      <w:r>
        <w:rPr>
          <w:noProof/>
        </w:rPr>
        <w:drawing>
          <wp:inline distT="0" distB="0" distL="0" distR="0" wp14:anchorId="66B9BB06" wp14:editId="6DEB6A46">
            <wp:extent cx="1200150" cy="476250"/>
            <wp:effectExtent l="0" t="0" r="0" b="0"/>
            <wp:docPr id="1" name="Рисунок 1" descr="формула сложных процентов, го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рмула сложных процентов, год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</w:rPr>
        <w:t xml:space="preserve"> </w:t>
      </w:r>
    </w:p>
    <w:p w:rsidR="00C305F9" w:rsidRDefault="00C305F9" w:rsidP="0047133A">
      <w:pPr>
        <w:spacing w:after="240" w:line="360" w:lineRule="auto"/>
        <w:ind w:firstLine="851"/>
        <w:jc w:val="both"/>
        <w:rPr>
          <w:sz w:val="28"/>
        </w:rPr>
      </w:pPr>
      <w:r>
        <w:rPr>
          <w:sz w:val="28"/>
          <w:lang w:val="en-US"/>
        </w:rPr>
        <w:t>P</w:t>
      </w:r>
      <w:r>
        <w:rPr>
          <w:sz w:val="28"/>
          <w:vertAlign w:val="subscript"/>
          <w:lang w:val="en-US"/>
        </w:rPr>
        <w:t>i</w:t>
      </w:r>
      <w:r>
        <w:rPr>
          <w:sz w:val="28"/>
          <w:vertAlign w:val="subscript"/>
        </w:rPr>
        <w:t xml:space="preserve"> </w:t>
      </w:r>
      <w:r>
        <w:rPr>
          <w:sz w:val="28"/>
        </w:rPr>
        <w:t>= ((1+0,27)-1) = 27%</w:t>
      </w:r>
    </w:p>
    <w:p w:rsidR="00C305F9" w:rsidRPr="00C305F9" w:rsidRDefault="00C305F9" w:rsidP="00C305F9">
      <w:pPr>
        <w:spacing w:after="240" w:line="360" w:lineRule="auto"/>
        <w:ind w:firstLine="851"/>
        <w:jc w:val="both"/>
        <w:rPr>
          <w:sz w:val="28"/>
        </w:rPr>
      </w:pPr>
      <w:r>
        <w:rPr>
          <w:sz w:val="28"/>
        </w:rPr>
        <w:t>Рассчитаем квартальный вклад:</w:t>
      </w:r>
    </w:p>
    <w:p w:rsidR="00C305F9" w:rsidRDefault="00C305F9" w:rsidP="0047133A">
      <w:pPr>
        <w:spacing w:after="240" w:line="360" w:lineRule="auto"/>
        <w:ind w:firstLine="851"/>
        <w:jc w:val="both"/>
        <w:rPr>
          <w:b/>
          <w:sz w:val="28"/>
        </w:rPr>
      </w:pPr>
      <w:r>
        <w:rPr>
          <w:noProof/>
        </w:rPr>
        <w:drawing>
          <wp:inline distT="0" distB="0" distL="0" distR="0" wp14:anchorId="4B986C38" wp14:editId="1EE7B813">
            <wp:extent cx="1352550" cy="476250"/>
            <wp:effectExtent l="0" t="0" r="0" b="0"/>
            <wp:docPr id="2" name="Рисунок 2" descr="формула сложных процентов, кварта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рмула сложных процентов, квартал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5F9" w:rsidRDefault="00C305F9" w:rsidP="0047133A">
      <w:pPr>
        <w:spacing w:after="240" w:line="360" w:lineRule="auto"/>
        <w:ind w:firstLine="851"/>
        <w:jc w:val="both"/>
        <w:rPr>
          <w:sz w:val="28"/>
        </w:rPr>
      </w:pPr>
      <w:r>
        <w:rPr>
          <w:sz w:val="28"/>
          <w:lang w:val="en-US"/>
        </w:rPr>
        <w:t>P</w:t>
      </w:r>
      <w:r>
        <w:rPr>
          <w:sz w:val="28"/>
          <w:vertAlign w:val="subscript"/>
          <w:lang w:val="en-US"/>
        </w:rPr>
        <w:t>i</w:t>
      </w:r>
      <w:r>
        <w:rPr>
          <w:sz w:val="28"/>
          <w:vertAlign w:val="subscript"/>
        </w:rPr>
        <w:t xml:space="preserve"> </w:t>
      </w:r>
      <w:r>
        <w:rPr>
          <w:sz w:val="28"/>
        </w:rPr>
        <w:t xml:space="preserve">= </w:t>
      </w:r>
      <w:r w:rsidRPr="00C305F9">
        <w:rPr>
          <w:sz w:val="28"/>
        </w:rPr>
        <w:t>((1+0,26/4)^4 - 1)</w:t>
      </w:r>
      <w:r>
        <w:rPr>
          <w:sz w:val="28"/>
        </w:rPr>
        <w:t>= 28,65%</w:t>
      </w:r>
    </w:p>
    <w:p w:rsidR="00C305F9" w:rsidRDefault="00C305F9" w:rsidP="0047133A">
      <w:pPr>
        <w:spacing w:after="240" w:line="360" w:lineRule="auto"/>
        <w:ind w:firstLine="851"/>
        <w:jc w:val="both"/>
        <w:rPr>
          <w:b/>
          <w:sz w:val="28"/>
        </w:rPr>
      </w:pPr>
      <w:r>
        <w:rPr>
          <w:sz w:val="28"/>
        </w:rPr>
        <w:t>Рассчитаем месячный вклад:</w:t>
      </w:r>
    </w:p>
    <w:p w:rsidR="00C305F9" w:rsidRDefault="00C305F9" w:rsidP="0047133A">
      <w:pPr>
        <w:spacing w:after="240" w:line="360" w:lineRule="auto"/>
        <w:ind w:firstLine="851"/>
        <w:jc w:val="both"/>
        <w:rPr>
          <w:b/>
          <w:sz w:val="28"/>
        </w:rPr>
      </w:pPr>
      <w:r>
        <w:rPr>
          <w:noProof/>
        </w:rPr>
        <w:drawing>
          <wp:inline distT="0" distB="0" distL="0" distR="0" wp14:anchorId="023A8388" wp14:editId="5105031C">
            <wp:extent cx="1409700" cy="476250"/>
            <wp:effectExtent l="0" t="0" r="0" b="0"/>
            <wp:docPr id="3" name="Рисунок 3" descr="формула сложных процентов, месяц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ормула сложных процентов, месяц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5F9" w:rsidRDefault="00C305F9" w:rsidP="00C305F9">
      <w:pPr>
        <w:spacing w:after="240" w:line="360" w:lineRule="auto"/>
        <w:ind w:firstLine="851"/>
        <w:jc w:val="both"/>
        <w:rPr>
          <w:sz w:val="28"/>
        </w:rPr>
      </w:pPr>
      <w:r>
        <w:rPr>
          <w:sz w:val="28"/>
          <w:lang w:val="en-US"/>
        </w:rPr>
        <w:t>P</w:t>
      </w:r>
      <w:r>
        <w:rPr>
          <w:sz w:val="28"/>
          <w:vertAlign w:val="subscript"/>
          <w:lang w:val="en-US"/>
        </w:rPr>
        <w:t>i</w:t>
      </w:r>
      <w:r>
        <w:rPr>
          <w:sz w:val="28"/>
          <w:vertAlign w:val="subscript"/>
        </w:rPr>
        <w:t xml:space="preserve"> </w:t>
      </w:r>
      <w:r>
        <w:rPr>
          <w:sz w:val="28"/>
        </w:rPr>
        <w:t xml:space="preserve">= </w:t>
      </w:r>
      <w:r w:rsidRPr="00C305F9">
        <w:rPr>
          <w:sz w:val="28"/>
        </w:rPr>
        <w:t>((1+0,17/12)^12 - 1)</w:t>
      </w:r>
      <w:r>
        <w:rPr>
          <w:sz w:val="28"/>
        </w:rPr>
        <w:t xml:space="preserve"> = 18,39%</w:t>
      </w:r>
    </w:p>
    <w:p w:rsidR="00C305F9" w:rsidRDefault="00C305F9" w:rsidP="00C305F9">
      <w:pPr>
        <w:spacing w:after="240" w:line="360" w:lineRule="auto"/>
        <w:ind w:firstLine="851"/>
        <w:jc w:val="both"/>
        <w:rPr>
          <w:sz w:val="28"/>
        </w:rPr>
      </w:pPr>
      <w:r>
        <w:rPr>
          <w:sz w:val="28"/>
        </w:rPr>
        <w:t>Из вычислений можно сделать вывод, что человеку выгодней выбрать квартальный вклад.</w:t>
      </w:r>
    </w:p>
    <w:p w:rsidR="0047133A" w:rsidRPr="00C305F9" w:rsidRDefault="00C305F9" w:rsidP="00C305F9">
      <w:pPr>
        <w:spacing w:after="240" w:line="360" w:lineRule="auto"/>
        <w:ind w:firstLine="851"/>
        <w:jc w:val="both"/>
        <w:rPr>
          <w:sz w:val="28"/>
        </w:rPr>
      </w:pPr>
      <w:r w:rsidRPr="00C305F9">
        <w:rPr>
          <w:b/>
          <w:sz w:val="28"/>
        </w:rPr>
        <w:t>Ответ</w:t>
      </w:r>
      <w:r>
        <w:rPr>
          <w:sz w:val="28"/>
        </w:rPr>
        <w:t>: квартальный.</w:t>
      </w:r>
    </w:p>
    <w:p w:rsidR="0047133A" w:rsidRDefault="0047133A" w:rsidP="0047133A">
      <w:pPr>
        <w:spacing w:after="240" w:line="360" w:lineRule="auto"/>
        <w:ind w:firstLine="851"/>
        <w:jc w:val="center"/>
        <w:rPr>
          <w:b/>
          <w:sz w:val="28"/>
        </w:rPr>
      </w:pPr>
      <w:r>
        <w:rPr>
          <w:b/>
          <w:sz w:val="28"/>
        </w:rPr>
        <w:lastRenderedPageBreak/>
        <w:t>СПИСОК ИСПОЛЬЗОВАНН</w:t>
      </w:r>
      <w:r w:rsidR="00BB4236">
        <w:rPr>
          <w:b/>
          <w:sz w:val="28"/>
        </w:rPr>
        <w:t>ЫХ ИСТОЧНИКОВ</w:t>
      </w:r>
    </w:p>
    <w:p w:rsidR="0047133A" w:rsidRPr="00F872E2" w:rsidRDefault="00F872E2" w:rsidP="00F872E2">
      <w:pPr>
        <w:pStyle w:val="a7"/>
        <w:numPr>
          <w:ilvl w:val="0"/>
          <w:numId w:val="4"/>
        </w:numPr>
        <w:spacing w:after="240" w:line="360" w:lineRule="auto"/>
        <w:ind w:left="426"/>
        <w:jc w:val="both"/>
        <w:rPr>
          <w:sz w:val="28"/>
        </w:rPr>
      </w:pPr>
      <w:r w:rsidRPr="00F872E2">
        <w:rPr>
          <w:sz w:val="28"/>
        </w:rPr>
        <w:t>Д</w:t>
      </w:r>
      <w:r w:rsidR="001C20D3" w:rsidRPr="00F872E2">
        <w:rPr>
          <w:sz w:val="28"/>
        </w:rPr>
        <w:t>еньги, кредит, банки: Учебник / О.И. Лаврушин, И.Е. Шакер, М.П. Березина и др.; Под ред. О.И. Лаврушина.- 8.изд., пер</w:t>
      </w:r>
      <w:r w:rsidRPr="00F872E2">
        <w:rPr>
          <w:sz w:val="28"/>
        </w:rPr>
        <w:t>ераб. и доп. – М.: КноРус, 2014.</w:t>
      </w:r>
    </w:p>
    <w:p w:rsidR="00F872E2" w:rsidRPr="00F872E2" w:rsidRDefault="00F872E2" w:rsidP="00F872E2">
      <w:pPr>
        <w:pStyle w:val="a7"/>
        <w:numPr>
          <w:ilvl w:val="0"/>
          <w:numId w:val="4"/>
        </w:numPr>
        <w:spacing w:after="240" w:line="360" w:lineRule="auto"/>
        <w:ind w:left="426"/>
        <w:jc w:val="both"/>
        <w:rPr>
          <w:sz w:val="28"/>
        </w:rPr>
      </w:pPr>
      <w:r w:rsidRPr="00F872E2">
        <w:rPr>
          <w:sz w:val="28"/>
        </w:rPr>
        <w:t>Деньги, кредит, банки: Учебник/ Под. ред. Г.Н. Белоглазовой -М.:   Юрайт, 2009. - 620 с.</w:t>
      </w:r>
    </w:p>
    <w:p w:rsidR="00F872E2" w:rsidRPr="00F872E2" w:rsidRDefault="00F872E2" w:rsidP="00F872E2">
      <w:pPr>
        <w:pStyle w:val="a7"/>
        <w:numPr>
          <w:ilvl w:val="0"/>
          <w:numId w:val="4"/>
        </w:numPr>
        <w:spacing w:after="240" w:line="360" w:lineRule="auto"/>
        <w:ind w:left="426"/>
        <w:jc w:val="both"/>
        <w:rPr>
          <w:sz w:val="28"/>
        </w:rPr>
      </w:pPr>
      <w:r w:rsidRPr="00F872E2">
        <w:rPr>
          <w:sz w:val="28"/>
        </w:rPr>
        <w:t>Деньги, кредит банки: Учебник /Под.ред. Варламова Т.П. – М.: РИОР, 2013.</w:t>
      </w:r>
    </w:p>
    <w:p w:rsidR="00F872E2" w:rsidRPr="00F872E2" w:rsidRDefault="00F872E2" w:rsidP="00F872E2">
      <w:pPr>
        <w:pStyle w:val="a7"/>
        <w:numPr>
          <w:ilvl w:val="0"/>
          <w:numId w:val="4"/>
        </w:numPr>
        <w:spacing w:after="240" w:line="360" w:lineRule="auto"/>
        <w:ind w:left="426"/>
        <w:jc w:val="both"/>
        <w:rPr>
          <w:sz w:val="28"/>
        </w:rPr>
      </w:pPr>
      <w:r w:rsidRPr="00F872E2">
        <w:rPr>
          <w:sz w:val="28"/>
        </w:rPr>
        <w:t>Модернизация денежно-кредитной политики как фактор перехода экономики России к инновационному росту. Монография. Под ред. Абрамовой М.А., -М: Циф, 2010</w:t>
      </w:r>
    </w:p>
    <w:p w:rsidR="00F872E2" w:rsidRPr="00F872E2" w:rsidRDefault="00F872E2" w:rsidP="00F872E2">
      <w:pPr>
        <w:pStyle w:val="a7"/>
        <w:numPr>
          <w:ilvl w:val="0"/>
          <w:numId w:val="4"/>
        </w:numPr>
        <w:spacing w:after="240" w:line="360" w:lineRule="auto"/>
        <w:ind w:left="426"/>
        <w:jc w:val="both"/>
        <w:rPr>
          <w:sz w:val="28"/>
        </w:rPr>
      </w:pPr>
      <w:r w:rsidRPr="00F872E2">
        <w:rPr>
          <w:sz w:val="28"/>
        </w:rPr>
        <w:t>Моисеев С.Р. Денежно-кредитная политика: теория и практика: Учеб.  пособие. – М.: Московская финансово-промышленная академия,  2011. – 784 с.</w:t>
      </w:r>
    </w:p>
    <w:p w:rsidR="0047133A" w:rsidRDefault="0047133A" w:rsidP="0047133A">
      <w:pPr>
        <w:spacing w:after="240" w:line="360" w:lineRule="auto"/>
        <w:ind w:firstLine="851"/>
        <w:jc w:val="center"/>
        <w:rPr>
          <w:b/>
          <w:sz w:val="28"/>
        </w:rPr>
      </w:pPr>
    </w:p>
    <w:p w:rsidR="0047133A" w:rsidRDefault="0047133A" w:rsidP="0047133A">
      <w:pPr>
        <w:spacing w:after="240" w:line="360" w:lineRule="auto"/>
        <w:ind w:firstLine="851"/>
        <w:jc w:val="center"/>
        <w:rPr>
          <w:b/>
          <w:sz w:val="28"/>
        </w:rPr>
      </w:pPr>
    </w:p>
    <w:p w:rsidR="0047133A" w:rsidRDefault="0047133A" w:rsidP="0047133A">
      <w:pPr>
        <w:spacing w:after="240" w:line="360" w:lineRule="auto"/>
        <w:ind w:firstLine="851"/>
        <w:jc w:val="center"/>
        <w:rPr>
          <w:b/>
          <w:sz w:val="28"/>
        </w:rPr>
      </w:pPr>
    </w:p>
    <w:p w:rsidR="0047133A" w:rsidRDefault="0047133A" w:rsidP="0047133A">
      <w:pPr>
        <w:spacing w:after="240" w:line="360" w:lineRule="auto"/>
        <w:ind w:firstLine="851"/>
        <w:jc w:val="center"/>
        <w:rPr>
          <w:b/>
          <w:sz w:val="28"/>
        </w:rPr>
      </w:pPr>
    </w:p>
    <w:p w:rsidR="0047133A" w:rsidRDefault="0047133A" w:rsidP="0047133A">
      <w:pPr>
        <w:spacing w:after="240" w:line="360" w:lineRule="auto"/>
        <w:ind w:firstLine="851"/>
        <w:jc w:val="center"/>
        <w:rPr>
          <w:b/>
          <w:sz w:val="28"/>
        </w:rPr>
      </w:pPr>
    </w:p>
    <w:p w:rsidR="0047133A" w:rsidRDefault="0047133A" w:rsidP="0047133A">
      <w:pPr>
        <w:spacing w:after="240" w:line="360" w:lineRule="auto"/>
        <w:ind w:firstLine="851"/>
        <w:jc w:val="center"/>
        <w:rPr>
          <w:b/>
          <w:sz w:val="28"/>
        </w:rPr>
      </w:pPr>
    </w:p>
    <w:p w:rsidR="0047133A" w:rsidRDefault="0047133A" w:rsidP="0047133A">
      <w:pPr>
        <w:spacing w:after="240" w:line="360" w:lineRule="auto"/>
        <w:ind w:firstLine="851"/>
        <w:jc w:val="center"/>
        <w:rPr>
          <w:b/>
          <w:sz w:val="28"/>
        </w:rPr>
      </w:pPr>
    </w:p>
    <w:p w:rsidR="0047133A" w:rsidRDefault="0047133A" w:rsidP="0047133A">
      <w:pPr>
        <w:spacing w:after="240" w:line="360" w:lineRule="auto"/>
        <w:ind w:firstLine="851"/>
        <w:jc w:val="center"/>
        <w:rPr>
          <w:b/>
          <w:sz w:val="28"/>
        </w:rPr>
      </w:pPr>
    </w:p>
    <w:p w:rsidR="0047133A" w:rsidRDefault="0047133A" w:rsidP="0047133A">
      <w:pPr>
        <w:spacing w:after="240" w:line="360" w:lineRule="auto"/>
        <w:ind w:firstLine="851"/>
        <w:jc w:val="center"/>
        <w:rPr>
          <w:b/>
          <w:sz w:val="28"/>
        </w:rPr>
      </w:pPr>
    </w:p>
    <w:p w:rsidR="0047133A" w:rsidRDefault="0047133A" w:rsidP="00F872E2">
      <w:pPr>
        <w:spacing w:after="240" w:line="360" w:lineRule="auto"/>
        <w:rPr>
          <w:b/>
          <w:sz w:val="28"/>
        </w:rPr>
      </w:pPr>
    </w:p>
    <w:p w:rsidR="0047133A" w:rsidRDefault="0047133A" w:rsidP="0047133A">
      <w:pPr>
        <w:spacing w:after="240" w:line="360" w:lineRule="auto"/>
        <w:ind w:firstLine="851"/>
        <w:jc w:val="center"/>
        <w:rPr>
          <w:b/>
          <w:sz w:val="28"/>
        </w:rPr>
      </w:pPr>
      <w:r>
        <w:rPr>
          <w:b/>
          <w:sz w:val="28"/>
        </w:rPr>
        <w:lastRenderedPageBreak/>
        <w:t>ПРИЛОЖЕНИЯ</w:t>
      </w:r>
    </w:p>
    <w:p w:rsidR="0047133A" w:rsidRDefault="0047133A" w:rsidP="0047133A">
      <w:pPr>
        <w:spacing w:after="240" w:line="360" w:lineRule="auto"/>
        <w:ind w:firstLine="851"/>
        <w:jc w:val="right"/>
        <w:rPr>
          <w:sz w:val="28"/>
        </w:rPr>
      </w:pPr>
      <w:r w:rsidRPr="0047133A">
        <w:rPr>
          <w:sz w:val="28"/>
        </w:rPr>
        <w:t>Таблица 1</w:t>
      </w:r>
    </w:p>
    <w:p w:rsidR="0047133A" w:rsidRDefault="0047133A" w:rsidP="0047133A">
      <w:pPr>
        <w:spacing w:after="240" w:line="360" w:lineRule="auto"/>
        <w:ind w:firstLine="851"/>
        <w:jc w:val="center"/>
        <w:rPr>
          <w:b/>
          <w:sz w:val="28"/>
        </w:rPr>
      </w:pPr>
      <w:r w:rsidRPr="0047133A">
        <w:rPr>
          <w:b/>
          <w:sz w:val="28"/>
        </w:rPr>
        <w:t>Современные тенденции развития кредита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641"/>
        <w:gridCol w:w="5930"/>
      </w:tblGrid>
      <w:tr w:rsidR="0047133A" w:rsidTr="00783D9B">
        <w:trPr>
          <w:trHeight w:val="515"/>
        </w:trPr>
        <w:tc>
          <w:tcPr>
            <w:tcW w:w="0" w:type="auto"/>
          </w:tcPr>
          <w:p w:rsidR="0047133A" w:rsidRDefault="0047133A" w:rsidP="0047133A">
            <w:pPr>
              <w:spacing w:after="240"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Направление развития</w:t>
            </w:r>
          </w:p>
        </w:tc>
        <w:tc>
          <w:tcPr>
            <w:tcW w:w="0" w:type="auto"/>
          </w:tcPr>
          <w:p w:rsidR="0047133A" w:rsidRDefault="0047133A" w:rsidP="0047133A">
            <w:pPr>
              <w:spacing w:after="240"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Тенденции развития</w:t>
            </w:r>
          </w:p>
        </w:tc>
      </w:tr>
      <w:tr w:rsidR="0047133A" w:rsidTr="00783D9B">
        <w:tc>
          <w:tcPr>
            <w:tcW w:w="0" w:type="auto"/>
          </w:tcPr>
          <w:p w:rsidR="0047133A" w:rsidRPr="00783D9B" w:rsidRDefault="0047133A" w:rsidP="0047133A">
            <w:pPr>
              <w:spacing w:after="240" w:line="360" w:lineRule="auto"/>
              <w:jc w:val="both"/>
              <w:rPr>
                <w:sz w:val="28"/>
              </w:rPr>
            </w:pPr>
            <w:r w:rsidRPr="00783D9B">
              <w:rPr>
                <w:sz w:val="28"/>
              </w:rPr>
              <w:t>Взаимодействие элементов системы кредитования и внешней экономической среды</w:t>
            </w:r>
          </w:p>
        </w:tc>
        <w:tc>
          <w:tcPr>
            <w:tcW w:w="0" w:type="auto"/>
          </w:tcPr>
          <w:p w:rsidR="00783D9B" w:rsidRPr="00783D9B" w:rsidRDefault="00783D9B" w:rsidP="00783D9B">
            <w:pPr>
              <w:spacing w:line="360" w:lineRule="auto"/>
              <w:jc w:val="both"/>
              <w:rPr>
                <w:sz w:val="28"/>
              </w:rPr>
            </w:pPr>
            <w:r w:rsidRPr="00783D9B">
              <w:rPr>
                <w:sz w:val="28"/>
              </w:rPr>
              <w:t>Укрупнение кредита.</w:t>
            </w:r>
          </w:p>
          <w:p w:rsidR="0047133A" w:rsidRPr="00783D9B" w:rsidRDefault="00783D9B" w:rsidP="00783D9B">
            <w:pPr>
              <w:spacing w:line="360" w:lineRule="auto"/>
              <w:jc w:val="both"/>
              <w:rPr>
                <w:sz w:val="28"/>
              </w:rPr>
            </w:pPr>
            <w:r w:rsidRPr="00783D9B">
              <w:rPr>
                <w:sz w:val="28"/>
              </w:rPr>
              <w:t>Увеличение числа объектов. Увеличение числа видов и сочетание различных видов обеспечения. Усиление кредитных рисков и развитие аналитических функций</w:t>
            </w:r>
          </w:p>
        </w:tc>
      </w:tr>
      <w:tr w:rsidR="0047133A" w:rsidTr="00783D9B">
        <w:tc>
          <w:tcPr>
            <w:tcW w:w="0" w:type="auto"/>
          </w:tcPr>
          <w:p w:rsidR="0047133A" w:rsidRPr="00783D9B" w:rsidRDefault="00783D9B" w:rsidP="0047133A">
            <w:pPr>
              <w:spacing w:after="240"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Взаимодействие с материальным производством</w:t>
            </w:r>
          </w:p>
        </w:tc>
        <w:tc>
          <w:tcPr>
            <w:tcW w:w="0" w:type="auto"/>
          </w:tcPr>
          <w:p w:rsidR="0047133A" w:rsidRPr="00783D9B" w:rsidRDefault="00783D9B" w:rsidP="0047133A">
            <w:pPr>
              <w:spacing w:after="240" w:line="360" w:lineRule="auto"/>
              <w:jc w:val="both"/>
              <w:rPr>
                <w:sz w:val="28"/>
              </w:rPr>
            </w:pPr>
            <w:r w:rsidRPr="00783D9B">
              <w:rPr>
                <w:sz w:val="28"/>
              </w:rPr>
              <w:t>При общем поступательном развитии кредита сохраняется неравномерность его движения. Циклическое развитие кредита</w:t>
            </w:r>
            <w:r w:rsidR="001C20D3">
              <w:rPr>
                <w:sz w:val="28"/>
              </w:rPr>
              <w:t>.</w:t>
            </w:r>
          </w:p>
        </w:tc>
      </w:tr>
      <w:tr w:rsidR="0047133A" w:rsidTr="00783D9B">
        <w:tc>
          <w:tcPr>
            <w:tcW w:w="0" w:type="auto"/>
          </w:tcPr>
          <w:p w:rsidR="0047133A" w:rsidRPr="00783D9B" w:rsidRDefault="00783D9B" w:rsidP="0047133A">
            <w:pPr>
              <w:spacing w:after="240" w:line="360" w:lineRule="auto"/>
              <w:jc w:val="both"/>
              <w:rPr>
                <w:sz w:val="28"/>
              </w:rPr>
            </w:pPr>
            <w:r w:rsidRPr="00783D9B">
              <w:rPr>
                <w:sz w:val="28"/>
              </w:rPr>
              <w:t>Взаимодействие с финансовым и страховым рынком</w:t>
            </w:r>
          </w:p>
        </w:tc>
        <w:tc>
          <w:tcPr>
            <w:tcW w:w="0" w:type="auto"/>
          </w:tcPr>
          <w:p w:rsidR="00783D9B" w:rsidRPr="00783D9B" w:rsidRDefault="00783D9B" w:rsidP="001C20D3">
            <w:pPr>
              <w:spacing w:line="360" w:lineRule="auto"/>
              <w:jc w:val="both"/>
              <w:rPr>
                <w:sz w:val="28"/>
              </w:rPr>
            </w:pPr>
            <w:r w:rsidRPr="00783D9B">
              <w:rPr>
                <w:sz w:val="28"/>
              </w:rPr>
              <w:t>Использование новых финансовых инструментов (креди</w:t>
            </w:r>
            <w:r>
              <w:rPr>
                <w:sz w:val="28"/>
              </w:rPr>
              <w:t>тные деривативы, свопы и т.п.).</w:t>
            </w:r>
          </w:p>
          <w:p w:rsidR="00783D9B" w:rsidRPr="00783D9B" w:rsidRDefault="00783D9B" w:rsidP="001C20D3">
            <w:pPr>
              <w:spacing w:line="360" w:lineRule="auto"/>
              <w:jc w:val="both"/>
              <w:rPr>
                <w:sz w:val="28"/>
              </w:rPr>
            </w:pPr>
            <w:r w:rsidRPr="00783D9B">
              <w:rPr>
                <w:sz w:val="28"/>
              </w:rPr>
              <w:t>Усиление связи с си</w:t>
            </w:r>
            <w:r>
              <w:rPr>
                <w:sz w:val="28"/>
              </w:rPr>
              <w:t>стемой страхования (объединение</w:t>
            </w:r>
          </w:p>
          <w:p w:rsidR="0047133A" w:rsidRPr="00783D9B" w:rsidRDefault="00783D9B" w:rsidP="001C20D3">
            <w:pPr>
              <w:spacing w:line="360" w:lineRule="auto"/>
              <w:jc w:val="both"/>
              <w:rPr>
                <w:sz w:val="28"/>
              </w:rPr>
            </w:pPr>
            <w:r w:rsidRPr="00783D9B">
              <w:rPr>
                <w:sz w:val="28"/>
              </w:rPr>
              <w:t>капиталов, хеджирование и др.)</w:t>
            </w:r>
          </w:p>
        </w:tc>
      </w:tr>
      <w:tr w:rsidR="0047133A" w:rsidTr="00783D9B">
        <w:tc>
          <w:tcPr>
            <w:tcW w:w="0" w:type="auto"/>
          </w:tcPr>
          <w:p w:rsidR="0047133A" w:rsidRPr="00783D9B" w:rsidRDefault="00783D9B" w:rsidP="0047133A">
            <w:pPr>
              <w:spacing w:after="240" w:line="360" w:lineRule="auto"/>
              <w:jc w:val="both"/>
              <w:rPr>
                <w:sz w:val="28"/>
              </w:rPr>
            </w:pPr>
            <w:r w:rsidRPr="00783D9B">
              <w:rPr>
                <w:sz w:val="28"/>
              </w:rPr>
              <w:t>Действие в национальных системах кредитования международных норм</w:t>
            </w:r>
          </w:p>
        </w:tc>
        <w:tc>
          <w:tcPr>
            <w:tcW w:w="0" w:type="auto"/>
          </w:tcPr>
          <w:p w:rsidR="0047133A" w:rsidRPr="00783D9B" w:rsidRDefault="00783D9B" w:rsidP="0047133A">
            <w:pPr>
              <w:spacing w:after="240" w:line="360" w:lineRule="auto"/>
              <w:jc w:val="both"/>
              <w:rPr>
                <w:sz w:val="28"/>
              </w:rPr>
            </w:pPr>
            <w:r w:rsidRPr="00783D9B">
              <w:rPr>
                <w:sz w:val="28"/>
              </w:rPr>
              <w:t>«Экологизация» кредита. Интернационализация кредитного дела</w:t>
            </w:r>
          </w:p>
        </w:tc>
      </w:tr>
    </w:tbl>
    <w:p w:rsidR="0047133A" w:rsidRPr="0047133A" w:rsidRDefault="0047133A" w:rsidP="0047133A">
      <w:pPr>
        <w:spacing w:after="240" w:line="360" w:lineRule="auto"/>
        <w:ind w:firstLine="851"/>
        <w:jc w:val="both"/>
        <w:rPr>
          <w:b/>
          <w:sz w:val="28"/>
        </w:rPr>
      </w:pPr>
    </w:p>
    <w:p w:rsidR="00636B26" w:rsidRDefault="00636B26" w:rsidP="00783D9B">
      <w:pPr>
        <w:spacing w:line="360" w:lineRule="auto"/>
        <w:jc w:val="both"/>
        <w:rPr>
          <w:sz w:val="28"/>
        </w:rPr>
      </w:pPr>
    </w:p>
    <w:p w:rsidR="00636B26" w:rsidRDefault="00636B26" w:rsidP="008D24FF">
      <w:pPr>
        <w:spacing w:line="360" w:lineRule="auto"/>
        <w:ind w:firstLine="851"/>
        <w:jc w:val="both"/>
        <w:rPr>
          <w:sz w:val="28"/>
        </w:rPr>
      </w:pPr>
    </w:p>
    <w:p w:rsidR="00636B26" w:rsidRPr="00636B26" w:rsidRDefault="00636B26" w:rsidP="008D24FF">
      <w:pPr>
        <w:spacing w:line="360" w:lineRule="auto"/>
        <w:ind w:firstLine="851"/>
        <w:jc w:val="both"/>
        <w:rPr>
          <w:sz w:val="28"/>
        </w:rPr>
      </w:pPr>
    </w:p>
    <w:sectPr w:rsidR="00636B26" w:rsidRPr="00636B26" w:rsidSect="008228F1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FDF" w:rsidRDefault="004A3FDF" w:rsidP="008228F1">
      <w:r>
        <w:separator/>
      </w:r>
    </w:p>
  </w:endnote>
  <w:endnote w:type="continuationSeparator" w:id="0">
    <w:p w:rsidR="004A3FDF" w:rsidRDefault="004A3FDF" w:rsidP="00822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-1792815467"/>
      <w:docPartObj>
        <w:docPartGallery w:val="Page Numbers (Bottom of Page)"/>
        <w:docPartUnique/>
      </w:docPartObj>
    </w:sdtPr>
    <w:sdtEndPr/>
    <w:sdtContent>
      <w:p w:rsidR="008228F1" w:rsidRPr="008228F1" w:rsidRDefault="008228F1">
        <w:pPr>
          <w:pStyle w:val="a5"/>
          <w:jc w:val="center"/>
          <w:rPr>
            <w:sz w:val="28"/>
          </w:rPr>
        </w:pPr>
        <w:r w:rsidRPr="008228F1">
          <w:rPr>
            <w:sz w:val="28"/>
          </w:rPr>
          <w:fldChar w:fldCharType="begin"/>
        </w:r>
        <w:r w:rsidRPr="008228F1">
          <w:rPr>
            <w:sz w:val="28"/>
          </w:rPr>
          <w:instrText>PAGE   \* MERGEFORMAT</w:instrText>
        </w:r>
        <w:r w:rsidRPr="008228F1">
          <w:rPr>
            <w:sz w:val="28"/>
          </w:rPr>
          <w:fldChar w:fldCharType="separate"/>
        </w:r>
        <w:r w:rsidR="009C4EEF">
          <w:rPr>
            <w:noProof/>
            <w:sz w:val="28"/>
          </w:rPr>
          <w:t>2</w:t>
        </w:r>
        <w:r w:rsidRPr="008228F1">
          <w:rPr>
            <w:sz w:val="28"/>
          </w:rPr>
          <w:fldChar w:fldCharType="end"/>
        </w:r>
      </w:p>
    </w:sdtContent>
  </w:sdt>
  <w:p w:rsidR="008228F1" w:rsidRDefault="008228F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FDF" w:rsidRDefault="004A3FDF" w:rsidP="008228F1">
      <w:r>
        <w:separator/>
      </w:r>
    </w:p>
  </w:footnote>
  <w:footnote w:type="continuationSeparator" w:id="0">
    <w:p w:rsidR="004A3FDF" w:rsidRDefault="004A3FDF" w:rsidP="00822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648C"/>
    <w:multiLevelType w:val="hybridMultilevel"/>
    <w:tmpl w:val="42D698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34EC5"/>
    <w:multiLevelType w:val="hybridMultilevel"/>
    <w:tmpl w:val="2932D120"/>
    <w:lvl w:ilvl="0" w:tplc="3B689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7F20AD"/>
    <w:multiLevelType w:val="hybridMultilevel"/>
    <w:tmpl w:val="E3640E3C"/>
    <w:lvl w:ilvl="0" w:tplc="DA70883C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CAA7169"/>
    <w:multiLevelType w:val="hybridMultilevel"/>
    <w:tmpl w:val="26EA24C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B26"/>
    <w:rsid w:val="00040006"/>
    <w:rsid w:val="00182A43"/>
    <w:rsid w:val="001C20D3"/>
    <w:rsid w:val="0022463E"/>
    <w:rsid w:val="00264F3F"/>
    <w:rsid w:val="0047133A"/>
    <w:rsid w:val="004A3FDF"/>
    <w:rsid w:val="00636B26"/>
    <w:rsid w:val="0074005E"/>
    <w:rsid w:val="0075350C"/>
    <w:rsid w:val="00783D9B"/>
    <w:rsid w:val="008228F1"/>
    <w:rsid w:val="008D24FF"/>
    <w:rsid w:val="009C4EEF"/>
    <w:rsid w:val="00B60500"/>
    <w:rsid w:val="00BB4236"/>
    <w:rsid w:val="00C012A3"/>
    <w:rsid w:val="00C305F9"/>
    <w:rsid w:val="00D10947"/>
    <w:rsid w:val="00E3183F"/>
    <w:rsid w:val="00EF4A58"/>
    <w:rsid w:val="00F75FE4"/>
    <w:rsid w:val="00F8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B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28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28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2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24FF"/>
    <w:pPr>
      <w:ind w:left="720"/>
      <w:contextualSpacing/>
    </w:pPr>
  </w:style>
  <w:style w:type="table" w:styleId="a8">
    <w:name w:val="Table Grid"/>
    <w:basedOn w:val="a1"/>
    <w:uiPriority w:val="59"/>
    <w:rsid w:val="0047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305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5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B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28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28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2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24FF"/>
    <w:pPr>
      <w:ind w:left="720"/>
      <w:contextualSpacing/>
    </w:pPr>
  </w:style>
  <w:style w:type="table" w:styleId="a8">
    <w:name w:val="Table Grid"/>
    <w:basedOn w:val="a1"/>
    <w:uiPriority w:val="59"/>
    <w:rsid w:val="0047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305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5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11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2015-10-14T07:45:00Z</dcterms:created>
  <dcterms:modified xsi:type="dcterms:W3CDTF">2015-12-15T13:38:00Z</dcterms:modified>
</cp:coreProperties>
</file>