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DE" w:rsidRPr="005D7C18" w:rsidRDefault="00EA4EDE" w:rsidP="00EA4EDE">
      <w:pPr>
        <w:pStyle w:val="21"/>
        <w:tabs>
          <w:tab w:val="right" w:leader="dot" w:pos="9345"/>
        </w:tabs>
        <w:spacing w:line="600" w:lineRule="auto"/>
        <w:jc w:val="center"/>
        <w:rPr>
          <w:b w:val="0"/>
          <w:sz w:val="28"/>
          <w:szCs w:val="28"/>
        </w:rPr>
      </w:pPr>
      <w:r w:rsidRPr="005D7C18">
        <w:rPr>
          <w:b w:val="0"/>
          <w:sz w:val="28"/>
          <w:szCs w:val="28"/>
        </w:rPr>
        <w:t>Содержание</w:t>
      </w:r>
    </w:p>
    <w:p w:rsidR="00FC2BD9" w:rsidRPr="00FC2BD9" w:rsidRDefault="002A2009">
      <w:pPr>
        <w:pStyle w:val="2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32"/>
          <w:szCs w:val="22"/>
          <w:lang w:eastAsia="ru-RU"/>
        </w:rPr>
      </w:pPr>
      <w:r w:rsidRPr="002A2009">
        <w:rPr>
          <w:b w:val="0"/>
          <w:sz w:val="28"/>
          <w:szCs w:val="28"/>
        </w:rPr>
        <w:fldChar w:fldCharType="begin"/>
      </w:r>
      <w:r w:rsidR="00EA4EDE" w:rsidRPr="00D77C9C">
        <w:rPr>
          <w:b w:val="0"/>
          <w:sz w:val="28"/>
          <w:szCs w:val="28"/>
        </w:rPr>
        <w:instrText xml:space="preserve"> TOC \o "1-3" \h \z \u </w:instrText>
      </w:r>
      <w:r w:rsidRPr="002A2009">
        <w:rPr>
          <w:b w:val="0"/>
          <w:sz w:val="28"/>
          <w:szCs w:val="28"/>
        </w:rPr>
        <w:fldChar w:fldCharType="separate"/>
      </w:r>
      <w:hyperlink w:anchor="_Toc405885495" w:history="1">
        <w:r w:rsidR="00FC2BD9" w:rsidRPr="00FC2BD9">
          <w:rPr>
            <w:rStyle w:val="a6"/>
            <w:noProof/>
            <w:sz w:val="28"/>
          </w:rPr>
          <w:t>1.</w:t>
        </w:r>
        <w:r w:rsidR="00FC2BD9" w:rsidRPr="00FC2BD9">
          <w:rPr>
            <w:rFonts w:asciiTheme="minorHAnsi" w:eastAsiaTheme="minorEastAsia" w:hAnsiTheme="minorHAnsi" w:cstheme="minorBidi"/>
            <w:b w:val="0"/>
            <w:bCs w:val="0"/>
            <w:noProof/>
            <w:sz w:val="32"/>
            <w:szCs w:val="22"/>
            <w:lang w:eastAsia="ru-RU"/>
          </w:rPr>
          <w:tab/>
        </w:r>
        <w:r w:rsidR="00FC2BD9" w:rsidRPr="00FC2BD9">
          <w:rPr>
            <w:rStyle w:val="a6"/>
            <w:noProof/>
            <w:sz w:val="28"/>
          </w:rPr>
          <w:t>Банковский   менеджмент   в России:   современные   дискуссии по поводу его определения, трудности становления</w:t>
        </w:r>
        <w:r w:rsidR="00FC2BD9" w:rsidRPr="00FC2BD9">
          <w:rPr>
            <w:noProof/>
            <w:webHidden/>
            <w:sz w:val="28"/>
          </w:rPr>
          <w:tab/>
        </w:r>
        <w:r w:rsidRPr="00FC2BD9">
          <w:rPr>
            <w:noProof/>
            <w:webHidden/>
            <w:sz w:val="28"/>
          </w:rPr>
          <w:fldChar w:fldCharType="begin"/>
        </w:r>
        <w:r w:rsidR="00FC2BD9" w:rsidRPr="00FC2BD9">
          <w:rPr>
            <w:noProof/>
            <w:webHidden/>
            <w:sz w:val="28"/>
          </w:rPr>
          <w:instrText xml:space="preserve"> PAGEREF _Toc405885495 \h </w:instrText>
        </w:r>
        <w:r w:rsidRPr="00FC2BD9">
          <w:rPr>
            <w:noProof/>
            <w:webHidden/>
            <w:sz w:val="28"/>
          </w:rPr>
        </w:r>
        <w:r w:rsidRPr="00FC2BD9">
          <w:rPr>
            <w:noProof/>
            <w:webHidden/>
            <w:sz w:val="28"/>
          </w:rPr>
          <w:fldChar w:fldCharType="separate"/>
        </w:r>
        <w:r w:rsidR="003004DF">
          <w:rPr>
            <w:noProof/>
            <w:webHidden/>
            <w:sz w:val="28"/>
          </w:rPr>
          <w:t>3</w:t>
        </w:r>
        <w:r w:rsidRPr="00FC2BD9">
          <w:rPr>
            <w:noProof/>
            <w:webHidden/>
            <w:sz w:val="28"/>
          </w:rPr>
          <w:fldChar w:fldCharType="end"/>
        </w:r>
      </w:hyperlink>
    </w:p>
    <w:p w:rsidR="00FC2BD9" w:rsidRPr="00FC2BD9" w:rsidRDefault="002A2009">
      <w:pPr>
        <w:pStyle w:val="2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32"/>
          <w:szCs w:val="22"/>
          <w:lang w:eastAsia="ru-RU"/>
        </w:rPr>
      </w:pPr>
      <w:hyperlink w:anchor="_Toc405885496" w:history="1">
        <w:r w:rsidR="00FC2BD9" w:rsidRPr="00FC2BD9">
          <w:rPr>
            <w:rStyle w:val="a6"/>
            <w:noProof/>
            <w:sz w:val="28"/>
          </w:rPr>
          <w:t>2.</w:t>
        </w:r>
        <w:r w:rsidR="00FC2BD9" w:rsidRPr="00FC2BD9">
          <w:rPr>
            <w:rFonts w:asciiTheme="minorHAnsi" w:eastAsiaTheme="minorEastAsia" w:hAnsiTheme="minorHAnsi" w:cstheme="minorBidi"/>
            <w:b w:val="0"/>
            <w:bCs w:val="0"/>
            <w:noProof/>
            <w:sz w:val="32"/>
            <w:szCs w:val="22"/>
            <w:lang w:eastAsia="ru-RU"/>
          </w:rPr>
          <w:tab/>
        </w:r>
        <w:r w:rsidR="00FC2BD9" w:rsidRPr="00FC2BD9">
          <w:rPr>
            <w:rStyle w:val="a6"/>
            <w:noProof/>
            <w:sz w:val="28"/>
          </w:rPr>
          <w:t>Определение (Бумажные деньги)</w:t>
        </w:r>
        <w:r w:rsidR="00FC2BD9" w:rsidRPr="00FC2BD9">
          <w:rPr>
            <w:noProof/>
            <w:webHidden/>
            <w:sz w:val="28"/>
          </w:rPr>
          <w:tab/>
        </w:r>
        <w:r w:rsidRPr="00FC2BD9">
          <w:rPr>
            <w:noProof/>
            <w:webHidden/>
            <w:sz w:val="28"/>
          </w:rPr>
          <w:fldChar w:fldCharType="begin"/>
        </w:r>
        <w:r w:rsidR="00FC2BD9" w:rsidRPr="00FC2BD9">
          <w:rPr>
            <w:noProof/>
            <w:webHidden/>
            <w:sz w:val="28"/>
          </w:rPr>
          <w:instrText xml:space="preserve"> PAGEREF _Toc405885496 \h </w:instrText>
        </w:r>
        <w:r w:rsidRPr="00FC2BD9">
          <w:rPr>
            <w:noProof/>
            <w:webHidden/>
            <w:sz w:val="28"/>
          </w:rPr>
        </w:r>
        <w:r w:rsidRPr="00FC2BD9">
          <w:rPr>
            <w:noProof/>
            <w:webHidden/>
            <w:sz w:val="28"/>
          </w:rPr>
          <w:fldChar w:fldCharType="separate"/>
        </w:r>
        <w:r w:rsidR="003004DF">
          <w:rPr>
            <w:noProof/>
            <w:webHidden/>
            <w:sz w:val="28"/>
          </w:rPr>
          <w:t>12</w:t>
        </w:r>
        <w:r w:rsidRPr="00FC2BD9">
          <w:rPr>
            <w:noProof/>
            <w:webHidden/>
            <w:sz w:val="28"/>
          </w:rPr>
          <w:fldChar w:fldCharType="end"/>
        </w:r>
      </w:hyperlink>
    </w:p>
    <w:p w:rsidR="00FC2BD9" w:rsidRPr="00FC2BD9" w:rsidRDefault="002A2009">
      <w:pPr>
        <w:pStyle w:val="2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32"/>
          <w:szCs w:val="22"/>
          <w:lang w:eastAsia="ru-RU"/>
        </w:rPr>
      </w:pPr>
      <w:hyperlink w:anchor="_Toc405885497" w:history="1">
        <w:r w:rsidR="00FC2BD9" w:rsidRPr="00FC2BD9">
          <w:rPr>
            <w:rStyle w:val="a6"/>
            <w:noProof/>
            <w:sz w:val="28"/>
          </w:rPr>
          <w:t>3.</w:t>
        </w:r>
        <w:r w:rsidR="00FC2BD9" w:rsidRPr="00FC2BD9">
          <w:rPr>
            <w:rFonts w:asciiTheme="minorHAnsi" w:eastAsiaTheme="minorEastAsia" w:hAnsiTheme="minorHAnsi" w:cstheme="minorBidi"/>
            <w:b w:val="0"/>
            <w:bCs w:val="0"/>
            <w:noProof/>
            <w:sz w:val="32"/>
            <w:szCs w:val="22"/>
            <w:lang w:eastAsia="ru-RU"/>
          </w:rPr>
          <w:tab/>
        </w:r>
        <w:r w:rsidR="00FC2BD9" w:rsidRPr="00FC2BD9">
          <w:rPr>
            <w:rStyle w:val="a6"/>
            <w:noProof/>
            <w:sz w:val="28"/>
          </w:rPr>
          <w:t>Задача</w:t>
        </w:r>
        <w:r w:rsidR="00FC2BD9" w:rsidRPr="00FC2BD9">
          <w:rPr>
            <w:noProof/>
            <w:webHidden/>
            <w:sz w:val="28"/>
          </w:rPr>
          <w:tab/>
        </w:r>
        <w:r w:rsidRPr="00FC2BD9">
          <w:rPr>
            <w:noProof/>
            <w:webHidden/>
            <w:sz w:val="28"/>
          </w:rPr>
          <w:fldChar w:fldCharType="begin"/>
        </w:r>
        <w:r w:rsidR="00FC2BD9" w:rsidRPr="00FC2BD9">
          <w:rPr>
            <w:noProof/>
            <w:webHidden/>
            <w:sz w:val="28"/>
          </w:rPr>
          <w:instrText xml:space="preserve"> PAGEREF _Toc405885497 \h </w:instrText>
        </w:r>
        <w:r w:rsidRPr="00FC2BD9">
          <w:rPr>
            <w:noProof/>
            <w:webHidden/>
            <w:sz w:val="28"/>
          </w:rPr>
        </w:r>
        <w:r w:rsidRPr="00FC2BD9">
          <w:rPr>
            <w:noProof/>
            <w:webHidden/>
            <w:sz w:val="28"/>
          </w:rPr>
          <w:fldChar w:fldCharType="separate"/>
        </w:r>
        <w:r w:rsidR="003004DF">
          <w:rPr>
            <w:noProof/>
            <w:webHidden/>
            <w:sz w:val="28"/>
          </w:rPr>
          <w:t>13</w:t>
        </w:r>
        <w:r w:rsidRPr="00FC2BD9">
          <w:rPr>
            <w:noProof/>
            <w:webHidden/>
            <w:sz w:val="28"/>
          </w:rPr>
          <w:fldChar w:fldCharType="end"/>
        </w:r>
      </w:hyperlink>
    </w:p>
    <w:p w:rsidR="00FC2BD9" w:rsidRPr="00FC2BD9" w:rsidRDefault="002A2009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32"/>
          <w:szCs w:val="22"/>
          <w:lang w:eastAsia="ru-RU"/>
        </w:rPr>
      </w:pPr>
      <w:hyperlink w:anchor="_Toc405885498" w:history="1">
        <w:r w:rsidR="00FC2BD9" w:rsidRPr="00FC2BD9">
          <w:rPr>
            <w:rStyle w:val="a6"/>
            <w:noProof/>
            <w:sz w:val="28"/>
          </w:rPr>
          <w:t>Список литературы</w:t>
        </w:r>
        <w:r w:rsidR="00FC2BD9" w:rsidRPr="00FC2BD9">
          <w:rPr>
            <w:noProof/>
            <w:webHidden/>
            <w:sz w:val="28"/>
          </w:rPr>
          <w:tab/>
        </w:r>
        <w:r w:rsidRPr="00FC2BD9">
          <w:rPr>
            <w:noProof/>
            <w:webHidden/>
            <w:sz w:val="28"/>
          </w:rPr>
          <w:fldChar w:fldCharType="begin"/>
        </w:r>
        <w:r w:rsidR="00FC2BD9" w:rsidRPr="00FC2BD9">
          <w:rPr>
            <w:noProof/>
            <w:webHidden/>
            <w:sz w:val="28"/>
          </w:rPr>
          <w:instrText xml:space="preserve"> PAGEREF _Toc405885498 \h </w:instrText>
        </w:r>
        <w:r w:rsidRPr="00FC2BD9">
          <w:rPr>
            <w:noProof/>
            <w:webHidden/>
            <w:sz w:val="28"/>
          </w:rPr>
        </w:r>
        <w:r w:rsidRPr="00FC2BD9">
          <w:rPr>
            <w:noProof/>
            <w:webHidden/>
            <w:sz w:val="28"/>
          </w:rPr>
          <w:fldChar w:fldCharType="separate"/>
        </w:r>
        <w:r w:rsidR="003004DF">
          <w:rPr>
            <w:noProof/>
            <w:webHidden/>
            <w:sz w:val="28"/>
          </w:rPr>
          <w:t>22</w:t>
        </w:r>
        <w:r w:rsidRPr="00FC2BD9">
          <w:rPr>
            <w:noProof/>
            <w:webHidden/>
            <w:sz w:val="28"/>
          </w:rPr>
          <w:fldChar w:fldCharType="end"/>
        </w:r>
      </w:hyperlink>
    </w:p>
    <w:p w:rsidR="00EA4EDE" w:rsidRPr="005D7C18" w:rsidRDefault="002A2009" w:rsidP="00EA4EDE">
      <w:pPr>
        <w:pStyle w:val="2"/>
        <w:spacing w:before="0" w:after="0" w:line="600" w:lineRule="auto"/>
        <w:rPr>
          <w:rFonts w:cs="Times New Roman"/>
          <w:i/>
        </w:rPr>
      </w:pPr>
      <w:r w:rsidRPr="00D77C9C">
        <w:rPr>
          <w:rFonts w:cs="Times New Roman"/>
          <w:b w:val="0"/>
        </w:rPr>
        <w:fldChar w:fldCharType="end"/>
      </w:r>
    </w:p>
    <w:p w:rsidR="00DB1C58" w:rsidRPr="000840F1" w:rsidRDefault="00EA4EDE" w:rsidP="008A3C79">
      <w:pPr>
        <w:pStyle w:val="2"/>
        <w:rPr>
          <w:color w:val="000000"/>
        </w:rPr>
      </w:pPr>
      <w:r w:rsidRPr="005D7C18">
        <w:rPr>
          <w:i/>
        </w:rPr>
        <w:br w:type="page"/>
      </w:r>
    </w:p>
    <w:p w:rsidR="00E55402" w:rsidRPr="001F031B" w:rsidRDefault="00E55402" w:rsidP="00FC2BD9">
      <w:pPr>
        <w:pStyle w:val="2"/>
        <w:numPr>
          <w:ilvl w:val="0"/>
          <w:numId w:val="24"/>
        </w:numPr>
      </w:pPr>
      <w:bookmarkStart w:id="0" w:name="_Toc405885495"/>
      <w:r w:rsidRPr="001F031B">
        <w:lastRenderedPageBreak/>
        <w:t>Банковский   менеджмент   в России:   современные   дискуссии по поводу его опр</w:t>
      </w:r>
      <w:r w:rsidR="00EA4EDE" w:rsidRPr="001F031B">
        <w:t>еделения, трудности становления</w:t>
      </w:r>
      <w:bookmarkEnd w:id="0"/>
    </w:p>
    <w:p w:rsidR="00E55402" w:rsidRPr="005D7C18" w:rsidRDefault="00E55402" w:rsidP="00EA4EDE">
      <w:pPr>
        <w:spacing w:after="0"/>
        <w:rPr>
          <w:rFonts w:ascii="Times New Roman" w:hAnsi="Times New Roman"/>
          <w:szCs w:val="28"/>
        </w:rPr>
      </w:pPr>
    </w:p>
    <w:p w:rsidR="00EA4EDE" w:rsidRPr="005D7C18" w:rsidRDefault="00EA4EDE" w:rsidP="00EA4EDE">
      <w:pPr>
        <w:pStyle w:val="a3"/>
        <w:suppressAutoHyphens/>
        <w:spacing w:after="0" w:line="360" w:lineRule="auto"/>
        <w:ind w:left="0" w:firstLine="709"/>
        <w:jc w:val="both"/>
        <w:rPr>
          <w:sz w:val="28"/>
        </w:rPr>
      </w:pPr>
      <w:r w:rsidRPr="005D7C18">
        <w:rPr>
          <w:sz w:val="28"/>
        </w:rPr>
        <w:t xml:space="preserve">Банковский менеджмент в общем виде представляет собой управление отношениями, связанными со стратегическим и тактическим планированием, анализом, регулированием, контролем деятельности банка, управлением финансами, маркетинговой деятельностью, персоналом, осуществляющим банковские операции. Другими словами, это — управление отношениями, касающимися формирования и использования денежных ресурсов, то есть взаимоувязанная совокупность финансового менеджмента и управления персоналом, занятым в банковской сфере. Разделение банковского менеджмента на финансовый менеджмент и управление персоналом в коммерческом банке обусловлено структурой объекта, на который направлены управляющие воздействия банковского менеджмента. Поэтому его можно рассматривать как деятельность по внутрибанковскому регулированию, которая направлена, в первую очередь, на соблюдение требований и нормативов, установленных органами государственного надзора.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Банк — это организация, осуществляющая управление капиталом – собственным и заемным.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Этот капитал рассматривается с позиции самовозрастающей стоимости или с позиции его приращения. Есть и другие понятия капитала, например "человеческий капитал", которое рассматривается с позиции отношений между людьми, определяющими успех их общей деятельности в социально-экономических процессах. Управление человеческим капиталом — это отношение к человеку в процессе управления кредитной организацией, основанное на понимании роли человека при достижении конечного результата или цели самой организации. Для банка это могут быть прибыль, ликвидность, устойчивость, имидж и другие параметры, которые он выделяет, исходя из своей миссии или философии своего существования в обществе. Сфера банковского менеджмента охватывает построение процессов по рациональному </w:t>
      </w:r>
      <w:r w:rsidRPr="005D7C18">
        <w:rPr>
          <w:rFonts w:ascii="Times New Roman" w:hAnsi="Times New Roman"/>
          <w:sz w:val="28"/>
        </w:rPr>
        <w:lastRenderedPageBreak/>
        <w:t xml:space="preserve">управлению денежными потоками и использованию знаний и опыта банковского персонала как необходимого условия эффективного менеджмента в коммерческом банке. Поэтому управление человеческим капиталом неразрывно связано с управлением собственным и заемным капиталом, обеспечивая его эффективное использование в интересах банка и его клиентов  [3, с.10].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Банковский менеджмент — это практическая деятельность, связанная с непосредственным управлением процессами осуществления коммерческим банком своих функций. В этом аспекте банковский менеджмент выступает как система разработки управляющих воздействий на объект управления: активные и пассивные операции, расчетно-кассовые операции, исполнение нормативных финансово-экономических показателей, внутрибанковский аудит и контроль и т.д.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Как известно, основное назначение банка — это посредничество в процессе перемещения денежных средств от кредиторов к заемщикам и от продавцов к покупателям. Невозможность полного совпадения экономических интересов банка и клиента связана с тем, что банк по своей экономической природе — финансовый посредник, который обеспечивает обслуживание денежных потоков в экономике, не являясь собственником привлеченных денежных средств, тогда как клиент, как правило, — владелец произведенных товаров и услуг, имеющих в основном материальное наполнение. Реальному сектору экономики необходимы инвестиции и финансирование оборотных средств, а банкам увеличение объемов производительных активов. Для реализации коммерческим банком своих функций в рыночной экономике необходимо, чтобы эти две цели были увязаны [8, с.11].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 Следовательно, имеются лишь отдельные точки пересечения интересов банка и клиента. Поэтому для решения вопросов, касающихся обеспечения обратной связи между продуктами и услугами банка, предлагаемыми непосредственно участникам свободного рынка - потребителям, на банковский </w:t>
      </w:r>
      <w:r w:rsidRPr="005D7C18">
        <w:rPr>
          <w:rFonts w:ascii="Times New Roman" w:hAnsi="Times New Roman"/>
          <w:sz w:val="28"/>
        </w:rPr>
        <w:lastRenderedPageBreak/>
        <w:t xml:space="preserve">менеджмент возлагается функция обратной связи с внешней средой коммерческого банка.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Постоянное изменение внешних условий, в которых осуществляет деятельность кредитная организация, требует соответствующей реакции со стороны коммерческого банка — глубокого анализа финансовой и макроэкономической политики, изыскания новых способов создания прибавочного продукта (не считая простых операций и игр на обменных курсах рубля). Банки должны постоянно отвечать изменяющимся требованиям рынка, своей клиентуры, небанковских финансовых организаций и обострению неценовой конкуренции. Постоянное формирование новых направлений банковской деятельности по разработке и реализации банковских продуктов и услуг неизбежно наталкивается на трудности, вызываемые отсутствием должного взаимодействия функциональных подразделений банка, обмена информацией между ними и координации их усилий. Именно из-за отсутствия взаимодействия подразделений банка ухудшаются его основные качественные параметры и показатели, усложняются процессы принятия стратегических решений, затрудняется оценка преимуществ и недостатков выбранных решений. Поэтому главная задача банковского менеджмента — это построение системы отношений, связанных с оптимальной организацией взаимодействия многочисленных элементов сложной динамичной системы, которую представляет собой современный коммерческий банк, а также определение оптимальных режимов его функционирования. В этой связи банковский менеджмент как система отношений представляет собой взаимосвязь финансово-экономических, структурно-функциональных и функционально-технологических параметров.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Другими словами, банковский менеджмент представляет собой взаимосвязанные и взаимозависимые системные параметры [33, с.110]: </w:t>
      </w:r>
    </w:p>
    <w:p w:rsidR="00EA4EDE" w:rsidRPr="005D7C18" w:rsidRDefault="00EA4EDE" w:rsidP="00EA4EDE">
      <w:pPr>
        <w:numPr>
          <w:ilvl w:val="0"/>
          <w:numId w:val="14"/>
        </w:numPr>
        <w:tabs>
          <w:tab w:val="clear" w:pos="180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финансово-экономических показателей (ФЭ);</w:t>
      </w:r>
    </w:p>
    <w:p w:rsidR="00EA4EDE" w:rsidRPr="005D7C18" w:rsidRDefault="00EA4EDE" w:rsidP="00EA4EDE">
      <w:pPr>
        <w:numPr>
          <w:ilvl w:val="0"/>
          <w:numId w:val="14"/>
        </w:numPr>
        <w:tabs>
          <w:tab w:val="clear" w:pos="180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организационного построения, отвечающего решению стоящих перед банком задач (ОП); </w:t>
      </w:r>
    </w:p>
    <w:p w:rsidR="00EA4EDE" w:rsidRPr="005D7C18" w:rsidRDefault="00EA4EDE" w:rsidP="00EA4EDE">
      <w:pPr>
        <w:numPr>
          <w:ilvl w:val="0"/>
          <w:numId w:val="14"/>
        </w:numPr>
        <w:tabs>
          <w:tab w:val="clear" w:pos="180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lastRenderedPageBreak/>
        <w:t xml:space="preserve">функционально-технологического управления продуктовым рядом банка (ФТ). </w:t>
      </w:r>
    </w:p>
    <w:p w:rsidR="00EA4EDE" w:rsidRPr="005D7C18" w:rsidRDefault="00EA4EDE" w:rsidP="00EA4EDE">
      <w:pPr>
        <w:pStyle w:val="20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5D7C18">
        <w:rPr>
          <w:rFonts w:ascii="Times New Roman" w:hAnsi="Times New Roman"/>
          <w:sz w:val="28"/>
          <w:szCs w:val="24"/>
        </w:rPr>
        <w:t xml:space="preserve">Если отранжировать системные параметры, то соподчиненность и взаимосвязи между ними можно представить так: ФЭ – ОП – ФТ.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Процессы разработки и реализации комплексных технологий по построению оптимальных отношений, касающихся формирования и использования денежных потоков, реинжиниринга бизнес-процессов обслуживания клиентов, комплексного решения задач анализа состояния и деятельности коммерческого банка и решает система управления, которая получила название "финансовый менеджмент".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Начиная с XVII в., вопросам управления в России уделялось серьезное внимание. Заметный след в истории России и улучшении ее системы управления оставили известный русский экономист А.Л. Ордин-Нащокин, А.П. Волынский (кабинет-министр с </w:t>
      </w:r>
      <w:smartTag w:uri="urn:schemas-microsoft-com:office:smarttags" w:element="metricconverter">
        <w:smartTagPr>
          <w:attr w:name="ProductID" w:val="1738 г"/>
        </w:smartTagPr>
        <w:r w:rsidRPr="005D7C18">
          <w:rPr>
            <w:rFonts w:ascii="Times New Roman" w:hAnsi="Times New Roman"/>
            <w:sz w:val="28"/>
          </w:rPr>
          <w:t>1738 г</w:t>
        </w:r>
      </w:smartTag>
      <w:r w:rsidRPr="005D7C18">
        <w:rPr>
          <w:rFonts w:ascii="Times New Roman" w:hAnsi="Times New Roman"/>
          <w:sz w:val="28"/>
        </w:rPr>
        <w:t xml:space="preserve">. по </w:t>
      </w:r>
      <w:smartTag w:uri="urn:schemas-microsoft-com:office:smarttags" w:element="metricconverter">
        <w:smartTagPr>
          <w:attr w:name="ProductID" w:val="1740 г"/>
        </w:smartTagPr>
        <w:r w:rsidRPr="005D7C18">
          <w:rPr>
            <w:rFonts w:ascii="Times New Roman" w:hAnsi="Times New Roman"/>
            <w:sz w:val="28"/>
          </w:rPr>
          <w:t>1740 г</w:t>
        </w:r>
      </w:smartTag>
      <w:r w:rsidRPr="005D7C18">
        <w:rPr>
          <w:rFonts w:ascii="Times New Roman" w:hAnsi="Times New Roman"/>
          <w:sz w:val="28"/>
        </w:rPr>
        <w:t xml:space="preserve">.), В.Н. Татищев (главный управляющий горных заводов в Сибирской и Казанской губерниях с </w:t>
      </w:r>
      <w:smartTag w:uri="urn:schemas-microsoft-com:office:smarttags" w:element="metricconverter">
        <w:smartTagPr>
          <w:attr w:name="ProductID" w:val="1730 г"/>
        </w:smartTagPr>
        <w:r w:rsidRPr="005D7C18">
          <w:rPr>
            <w:rFonts w:ascii="Times New Roman" w:hAnsi="Times New Roman"/>
            <w:sz w:val="28"/>
          </w:rPr>
          <w:t>1730 г</w:t>
        </w:r>
      </w:smartTag>
      <w:r w:rsidRPr="005D7C18">
        <w:rPr>
          <w:rFonts w:ascii="Times New Roman" w:hAnsi="Times New Roman"/>
          <w:sz w:val="28"/>
        </w:rPr>
        <w:t xml:space="preserve">. по </w:t>
      </w:r>
      <w:smartTag w:uri="urn:schemas-microsoft-com:office:smarttags" w:element="metricconverter">
        <w:smartTagPr>
          <w:attr w:name="ProductID" w:val="1740 г"/>
        </w:smartTagPr>
        <w:r w:rsidRPr="005D7C18">
          <w:rPr>
            <w:rFonts w:ascii="Times New Roman" w:hAnsi="Times New Roman"/>
            <w:sz w:val="28"/>
          </w:rPr>
          <w:t>1740 г</w:t>
        </w:r>
      </w:smartTag>
      <w:r w:rsidRPr="005D7C18">
        <w:rPr>
          <w:rFonts w:ascii="Times New Roman" w:hAnsi="Times New Roman"/>
          <w:sz w:val="28"/>
        </w:rPr>
        <w:t xml:space="preserve">.) и выдающийся русский ученый М.В. Ломоносов.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Велики заслуги в реформировании системы управления России П.А. Столыпина. С </w:t>
      </w:r>
      <w:smartTag w:uri="urn:schemas-microsoft-com:office:smarttags" w:element="metricconverter">
        <w:smartTagPr>
          <w:attr w:name="ProductID" w:val="1906 г"/>
        </w:smartTagPr>
        <w:r w:rsidRPr="005D7C18">
          <w:rPr>
            <w:rFonts w:ascii="Times New Roman" w:hAnsi="Times New Roman"/>
            <w:sz w:val="28"/>
          </w:rPr>
          <w:t>1906 г</w:t>
        </w:r>
      </w:smartTag>
      <w:r w:rsidRPr="005D7C18">
        <w:rPr>
          <w:rFonts w:ascii="Times New Roman" w:hAnsi="Times New Roman"/>
          <w:sz w:val="28"/>
        </w:rPr>
        <w:t>. он совмещал две должности — министра внутренних дел и премьер-министра. Столыпин занимался совершенствованием местного самоуправления. Построение социализма в СССР потребовало создания новой общественной организации управления социалистическим производством.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Известный советский ученый А.К. Гастев занимался вопросами совершенствования теории и практики организации труда. Им сформулирована и обоснована концепция, получившая название «трудовые установки». Внедрением методики трудовых установок в практическую деятельность занимался Центральный институт труда (ЦИТ), созданный осенью </w:t>
      </w:r>
      <w:smartTag w:uri="urn:schemas-microsoft-com:office:smarttags" w:element="metricconverter">
        <w:smartTagPr>
          <w:attr w:name="ProductID" w:val="1920 г"/>
        </w:smartTagPr>
        <w:r w:rsidRPr="005D7C18">
          <w:rPr>
            <w:rFonts w:ascii="Times New Roman" w:hAnsi="Times New Roman"/>
            <w:sz w:val="28"/>
          </w:rPr>
          <w:t>1920 г</w:t>
        </w:r>
      </w:smartTag>
      <w:r w:rsidRPr="005D7C18">
        <w:rPr>
          <w:rFonts w:ascii="Times New Roman" w:hAnsi="Times New Roman"/>
          <w:sz w:val="28"/>
        </w:rPr>
        <w:t>. при ВЦСПС. Важнейшее место в осуществлении методики трудовых движений отводилось инструктажу.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lastRenderedPageBreak/>
        <w:t>Недостатком концепции трудовых установок Гастева является слабая разработка самой методики трудовых установок, выбор слишком узкой базы исследования, ориентация на индивидуальность рабочего.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Важная роль в развитии научной организации труда и управления в СССР принадлежит видному экономисту О.А. Ерманскому, который внес значительный вклад в создание теории социалистической рационализации. Концепция Ерманского была подвергнута резкой критике, но, несмотря на критику, вклад Ерманского в развитие теории и практики организации труда значителен. Им обобщен большой практический материал хозяйственного строительства в СССР.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Проблемы научной организации труда получили широкое освещение в трудах П.М. Керженцева. Керженцев распространил понимание научной организации труда на все сферы человеческой деятельности.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Крупный вклад в развитие теоретических основ социалистической организации производственных процессов был внесен О.И. Непорентом. Все операции он классифицировал по признаку их сочетания в производственном процессе на три вида: последовательное, параллельное и параллельно- последовательное, показал их влияние на длительность производственного цикла.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В 30-е гг. была проделана большая научная и практическая работа по созданию науки об организации производства, труда и управления, результатом которой был выход в свет первого советского учебника по организации производства. В эти же годы было положено начало формированию системы подготовки кадров с высшим и средним специальным экономическим образованием для предприятий и органов управления. Кроме того, была введена новая для того времени специальность — инженер-экономист отраслевого профиля, которая вскоре стала ведущей среди экономических специальностей.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В годы Великой Отечественной войны система управления промышленностью, сложившаяся в предшествующие годы, не претерпела </w:t>
      </w:r>
      <w:r w:rsidRPr="005D7C18">
        <w:rPr>
          <w:rFonts w:ascii="Times New Roman" w:hAnsi="Times New Roman"/>
          <w:sz w:val="28"/>
        </w:rPr>
        <w:lastRenderedPageBreak/>
        <w:t>принципиальных изменений. Основным принципом управления продолжал оставаться хозрасчет при усилении административно-командных методов руководства. Научная работа велась по проблемам внутризаводского планирования и диспетчирования.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В послевоенный период времени возобновилась научная и практическая работа в области организации и управления производством. Вместе с тем, имело место сокращение исследований в области управления производством. К концу 50-х гг. тематика исследований по проблемам организации и управления предприятиями начала постепенно расширяться. Начиная с </w:t>
      </w:r>
      <w:smartTag w:uri="urn:schemas-microsoft-com:office:smarttags" w:element="metricconverter">
        <w:smartTagPr>
          <w:attr w:name="ProductID" w:val="1957 г"/>
        </w:smartTagPr>
        <w:r w:rsidRPr="005D7C18">
          <w:rPr>
            <w:rFonts w:ascii="Times New Roman" w:hAnsi="Times New Roman"/>
            <w:sz w:val="28"/>
          </w:rPr>
          <w:t>1957 г</w:t>
        </w:r>
      </w:smartTag>
      <w:r w:rsidRPr="005D7C18">
        <w:rPr>
          <w:rFonts w:ascii="Times New Roman" w:hAnsi="Times New Roman"/>
          <w:sz w:val="28"/>
        </w:rPr>
        <w:t>. был осуществлен переход к управлению промышленностью и строительством по территориальному принципу через Советы народного хозяйства (совнархозы) экономических административных районов. Главным назначением совнархозов было пресечение ведомственных тенденций в развитии промышленности.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К этому же времени относится рождение такой важной самостоятельной ветви экономики, как экономическая кибернетика, тесно связанной с использованием на практике экономико-математических методов. Создание этой науки в нашей стране осуществлялось под руководством академиков А.И. Берга и В.М. Глушкова. Кибернетика сыграла важную роль в развитии теории управления производством.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Дискуссия, развернувшаяся в стране в период с 1962 по 1965 гг., по вопросам совершенствования системы и методов управления народным хозяйством, предшествовала проведению хозяйственной реформы.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Период времени, начиная с </w:t>
      </w:r>
      <w:smartTag w:uri="urn:schemas-microsoft-com:office:smarttags" w:element="metricconverter">
        <w:smartTagPr>
          <w:attr w:name="ProductID" w:val="1965 г"/>
        </w:smartTagPr>
        <w:r w:rsidRPr="005D7C18">
          <w:rPr>
            <w:rFonts w:ascii="Times New Roman" w:hAnsi="Times New Roman"/>
            <w:sz w:val="28"/>
          </w:rPr>
          <w:t>1965 г</w:t>
        </w:r>
      </w:smartTag>
      <w:r w:rsidRPr="005D7C18">
        <w:rPr>
          <w:rFonts w:ascii="Times New Roman" w:hAnsi="Times New Roman"/>
          <w:sz w:val="28"/>
        </w:rPr>
        <w:t xml:space="preserve">. по настоящее время, характеризуется проведением в стране трех реформ, направленных на совершенствование системы управления народным хозяйством.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К ним относятся: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1. Реформа системы управления экономикой </w:t>
      </w:r>
      <w:smartTag w:uri="urn:schemas-microsoft-com:office:smarttags" w:element="metricconverter">
        <w:smartTagPr>
          <w:attr w:name="ProductID" w:val="1965 г"/>
        </w:smartTagPr>
        <w:r w:rsidRPr="005D7C18">
          <w:rPr>
            <w:rFonts w:ascii="Times New Roman" w:hAnsi="Times New Roman"/>
            <w:sz w:val="28"/>
          </w:rPr>
          <w:t>1965 г</w:t>
        </w:r>
      </w:smartTag>
      <w:r w:rsidRPr="005D7C18">
        <w:rPr>
          <w:rFonts w:ascii="Times New Roman" w:hAnsi="Times New Roman"/>
          <w:sz w:val="28"/>
        </w:rPr>
        <w:t>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2. Реформа системы управления </w:t>
      </w:r>
      <w:smartTag w:uri="urn:schemas-microsoft-com:office:smarttags" w:element="metricconverter">
        <w:smartTagPr>
          <w:attr w:name="ProductID" w:val="1979 г"/>
        </w:smartTagPr>
        <w:r w:rsidRPr="005D7C18">
          <w:rPr>
            <w:rFonts w:ascii="Times New Roman" w:hAnsi="Times New Roman"/>
            <w:sz w:val="28"/>
          </w:rPr>
          <w:t>1979 г</w:t>
        </w:r>
      </w:smartTag>
      <w:r w:rsidRPr="005D7C18">
        <w:rPr>
          <w:rFonts w:ascii="Times New Roman" w:hAnsi="Times New Roman"/>
          <w:sz w:val="28"/>
        </w:rPr>
        <w:t>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3. Ускорение социально-экономического развития (</w:t>
      </w:r>
      <w:smartTag w:uri="urn:schemas-microsoft-com:office:smarttags" w:element="metricconverter">
        <w:smartTagPr>
          <w:attr w:name="ProductID" w:val="1986 г"/>
        </w:smartTagPr>
        <w:r w:rsidRPr="005D7C18">
          <w:rPr>
            <w:rFonts w:ascii="Times New Roman" w:hAnsi="Times New Roman"/>
            <w:sz w:val="28"/>
          </w:rPr>
          <w:t>1986 г</w:t>
        </w:r>
      </w:smartTag>
      <w:r w:rsidRPr="005D7C18">
        <w:rPr>
          <w:rFonts w:ascii="Times New Roman" w:hAnsi="Times New Roman"/>
          <w:sz w:val="28"/>
        </w:rPr>
        <w:t xml:space="preserve">.) и переход к рыночным отношениям (с </w:t>
      </w:r>
      <w:smartTag w:uri="urn:schemas-microsoft-com:office:smarttags" w:element="metricconverter">
        <w:smartTagPr>
          <w:attr w:name="ProductID" w:val="1991 г"/>
        </w:smartTagPr>
        <w:r w:rsidRPr="005D7C18">
          <w:rPr>
            <w:rFonts w:ascii="Times New Roman" w:hAnsi="Times New Roman"/>
            <w:sz w:val="28"/>
          </w:rPr>
          <w:t>1991 г</w:t>
        </w:r>
      </w:smartTag>
      <w:r w:rsidRPr="005D7C18">
        <w:rPr>
          <w:rFonts w:ascii="Times New Roman" w:hAnsi="Times New Roman"/>
          <w:sz w:val="28"/>
        </w:rPr>
        <w:t>. и по настоящее время).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lastRenderedPageBreak/>
        <w:t>В связи с произошедшими серьезными изменениями в политической системе управления, в стране развернулась дискуссия о механизме перехода к рынку.</w:t>
      </w:r>
    </w:p>
    <w:p w:rsidR="00EA4EDE" w:rsidRPr="005D7C18" w:rsidRDefault="003004DF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Специальная комиссия</w:t>
      </w:r>
      <w:r w:rsidR="00EA4EDE" w:rsidRPr="005D7C18">
        <w:rPr>
          <w:rFonts w:ascii="Times New Roman" w:hAnsi="Times New Roman"/>
          <w:sz w:val="28"/>
        </w:rPr>
        <w:t>, возглавляемая академиком А. Г. Аганбегяном, предложила три альтернативных варианта перехода к рыночным отношениям: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1) внесение отдельных элементов рынка в существующую командно- административную систему управления;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2) быстрый переход к рынку без какого-либо государственного регулирования;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3) создание системы управления на основе регулируемой рыночной экономики.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Этот вариант совершенствования системы управления соответствовал предложениям правительства.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Другая комиссия под руководством академика С. Шаталина подготовила программу, получившую название «500 дней», в которой был намечен целый комплекс мероприятий, необходимых для перехода к регулируемому рынку. Эта программа многими учеными рассматривалась как «шоковая терапия».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По итогам дискуссии был принят компромиссный вариант перехода от системы управления к регулируемому рынку. В его основу была положена программа «500 дней», основной целью которой было полное разрушение административно-командной системы управления. С ноября </w:t>
      </w:r>
      <w:smartTag w:uri="urn:schemas-microsoft-com:office:smarttags" w:element="metricconverter">
        <w:smartTagPr>
          <w:attr w:name="ProductID" w:val="1991 г"/>
        </w:smartTagPr>
        <w:r w:rsidRPr="005D7C18">
          <w:rPr>
            <w:rFonts w:ascii="Times New Roman" w:hAnsi="Times New Roman"/>
            <w:sz w:val="28"/>
          </w:rPr>
          <w:t>1991 г</w:t>
        </w:r>
      </w:smartTag>
      <w:r w:rsidRPr="005D7C18">
        <w:rPr>
          <w:rFonts w:ascii="Times New Roman" w:hAnsi="Times New Roman"/>
          <w:sz w:val="28"/>
        </w:rPr>
        <w:t>. начался процесс формирования рыночных отношений в России.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Однако, несмотря на принятые меры, не удалось приостановить развала экономики России. Социально-экономическая ситуация в стране продолжает ухудшаться. Было принято много ошибочных решений. Одной из причин сложившегося положения является начатая с </w:t>
      </w:r>
      <w:smartTag w:uri="urn:schemas-microsoft-com:office:smarttags" w:element="metricconverter">
        <w:smartTagPr>
          <w:attr w:name="ProductID" w:val="1992 г"/>
        </w:smartTagPr>
        <w:r w:rsidRPr="005D7C18">
          <w:rPr>
            <w:rFonts w:ascii="Times New Roman" w:hAnsi="Times New Roman"/>
            <w:sz w:val="28"/>
          </w:rPr>
          <w:t>1992 г</w:t>
        </w:r>
      </w:smartTag>
      <w:r w:rsidRPr="005D7C18">
        <w:rPr>
          <w:rFonts w:ascii="Times New Roman" w:hAnsi="Times New Roman"/>
          <w:sz w:val="28"/>
        </w:rPr>
        <w:t>. политика невмешательства правительства в экономику регионов и импортно-экспортные операции.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Неуправляемого рынка нет ни в одной развитой стране мира. Рынок требует управления, руководства, регулирования со стороны государства. В </w:t>
      </w:r>
      <w:r w:rsidRPr="005D7C18">
        <w:rPr>
          <w:rFonts w:ascii="Times New Roman" w:hAnsi="Times New Roman"/>
          <w:sz w:val="28"/>
        </w:rPr>
        <w:lastRenderedPageBreak/>
        <w:t>настоящее время в России наблюдается разбалансированность всего механизма управления страной. Отечественный менеджер в своей практической деятельности сталкивается с такими проблемами, которые совсем незнакомы западному менеджеру. Поэтому в создавшихся условиях особое значение приобретает получение нового знания по искусству управления.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Широко используемое в настоящее время понятие "финансовый менеджмент" имеет многочисленные толкования. Но в целом российские специалисты сходятся в одном — в том, что финансовый менеджмент — это управление отношениями по формированию и использованию денежных ресурсов. Именно в таком понимании финансовый менеджмент рассматривается в работах таких известных авторов, как И.Т. Балабанов, И.Н. Герчикова, В.В. Ковалев, Л.П. Павлова, Р.С. Сайфулин, Е.С. Стоянова, А.Д. Шеремет.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В гораздо меньшей степени, чем общий финансовый менеджмент, отечественными авторами проработана проблема финансового менеджмента и коммерческом банке. Причина в специфике деятельности коммерческого банка как финансового посредника по управлению денежными потоками, которым присуща вся совокупность функций денег. К освещению этой проблемы авторы, как правило, подходят с позиций соблюдения требований и нормативов государственных регулирующих органов, отвечающих за ликвидность банковской системы в целом. Проблемам финансового менеджмента в коммерческом банке с позиций соблюдения требований регулирующих органов посвящены работы таких авторов, как Э.Н. Василишен, О.И. Лаврушин, И.Д. Мамонова, М.А. Пессель, Н.Э. Соколинская, А.М. Тавасиев.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В процессе своей деятельности коммерческий банк исходит в основном из микроэкономических факторов и устойчивости клиентов. Такой подход наиболее актуален в современных условиях, так как первичным звеном в экономической цепочке создания продукции (товаров, услуг) являются создатели материальных ценностей. Соответственно и коммерческий банк для </w:t>
      </w:r>
      <w:r w:rsidRPr="005D7C18">
        <w:rPr>
          <w:rFonts w:ascii="Times New Roman" w:hAnsi="Times New Roman"/>
          <w:sz w:val="28"/>
        </w:rPr>
        <w:lastRenderedPageBreak/>
        <w:t>рыночной экономики первичен, а Центробанк — конструктор перестройки банковской системы. Среди исследователей этого направления финансового менеджмента в коммерческом банке можно назвать О.В. Грядовую, Ю.С. Масленченкова, Л.А. Плотицину, К.Р. Тагирбекова, В.Е. Черкасова.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В работах отечественных авторов (М.З. Бор, Г.С. Панова, В.В. Пятенко, В.Т. Севрук, В.М. Усоскин, Э.А. Уткин, Е.Б. Ширинская) также представлен и опыт зарубежных банков. Данный опыт, безусловно, важен, однако зарубежные финансовые системы существенно отличаются от кредитно-банковской системы России. Например, распространение опыта Федеральной резервной системы США на российскую почву требует тщательной нелегкой адаптации, так как отечественная банковская система в отличие от системы США построена по территориальному принципу и основана на монопольном положении Центробанка России, а не на экономическом районировании субъектов федерации и экономики. </w:t>
      </w:r>
    </w:p>
    <w:p w:rsidR="00EA4EDE" w:rsidRPr="005D7C18" w:rsidRDefault="00EA4EDE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 xml:space="preserve">Отсюда можно сделать вывод о том, что одна из особенностей финансового менеджмента в коммерческом банке в современных российских условиях — это отсутствие единообразной технологии управления экономическими процессами в кредитной организации в рамках существующей кредитно-банковской системы. Главная же особенность финансового менеджмента в коммерческом банке в нынешних российских условиях обусловлена тем, что коммерческий банк — это единственный экономический субъект, который системно управляет всеми функциями денег (мера стоимости, функции обращения, платежа и накопления) и в этой связи является первичным звеном рыночной экономики. Внешняя среда финансового менеджмента в коммерческом банке — это совокупность финансовых отношений. Банковская деятельность требует такого стиля работы, в основе которого лежит постоянный поиск новых возможностей, умение привлекать и использовать для решения поставленных задач ресурсы из самых разнообразных источников, </w:t>
      </w:r>
      <w:r w:rsidRPr="005D7C18">
        <w:rPr>
          <w:rFonts w:ascii="Times New Roman" w:hAnsi="Times New Roman"/>
          <w:sz w:val="28"/>
        </w:rPr>
        <w:lastRenderedPageBreak/>
        <w:t>добиваясь повышения эффективности и получения максимально возможного результата при минимальных затратах.</w:t>
      </w:r>
    </w:p>
    <w:p w:rsidR="00E55402" w:rsidRPr="00C27DE2" w:rsidRDefault="00E55402" w:rsidP="001F031B">
      <w:pPr>
        <w:pStyle w:val="3"/>
      </w:pPr>
    </w:p>
    <w:p w:rsidR="00E55402" w:rsidRPr="001F031B" w:rsidRDefault="00EA4EDE" w:rsidP="00FC2BD9">
      <w:pPr>
        <w:pStyle w:val="2"/>
        <w:numPr>
          <w:ilvl w:val="0"/>
          <w:numId w:val="24"/>
        </w:numPr>
      </w:pPr>
      <w:bookmarkStart w:id="1" w:name="_Toc405885496"/>
      <w:r w:rsidRPr="001F031B">
        <w:t>Определение</w:t>
      </w:r>
      <w:r w:rsidR="00C27DE2" w:rsidRPr="001F031B">
        <w:t xml:space="preserve"> (</w:t>
      </w:r>
      <w:r w:rsidRPr="001F031B">
        <w:t>Бу</w:t>
      </w:r>
      <w:r w:rsidR="00C27DE2" w:rsidRPr="001F031B">
        <w:t>мажные деньги)</w:t>
      </w:r>
      <w:bookmarkEnd w:id="1"/>
    </w:p>
    <w:p w:rsidR="00B82C7A" w:rsidRPr="00D77C9C" w:rsidRDefault="00B624C0" w:rsidP="00B82C7A">
      <w:pPr>
        <w:shd w:val="clear" w:color="auto" w:fill="FFFFFF"/>
        <w:spacing w:before="120" w:after="120" w:line="360" w:lineRule="auto"/>
        <w:ind w:firstLine="567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B82C7A">
        <w:rPr>
          <w:rStyle w:val="ab"/>
          <w:rFonts w:ascii="Times New Roman" w:hAnsi="Times New Roman"/>
          <w:color w:val="262626"/>
          <w:sz w:val="28"/>
          <w:szCs w:val="28"/>
          <w:bdr w:val="none" w:sz="0" w:space="0" w:color="auto" w:frame="1"/>
          <w:shd w:val="clear" w:color="auto" w:fill="FFFFFF"/>
        </w:rPr>
        <w:t>Бумажные деньги</w:t>
      </w:r>
      <w:r w:rsidRPr="00B82C7A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– номинальные знаки стоимости, денежные знаки, которые выпускаются страной с целью покрыть бюджетные расходы, и на территории всей страны обязательны к приему. Государство принудительно устанавливает курс на бумажные деньги, поскольку по своей природе бумажные деньги самостоятельной стоимости не имеют. Затраты на изготовление бумажных денег по сравнению с заявленной стоимостью незначительны, в отличие от драгоценных металлов (золота, серебра), которые обращались благодаря собственной стоимости. Бумажные деньги еще называют казначейскими или декретными.</w:t>
      </w:r>
      <w:r w:rsidRPr="00D77C9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</w:t>
      </w:r>
    </w:p>
    <w:p w:rsidR="00B82C7A" w:rsidRPr="00D77C9C" w:rsidRDefault="00B82C7A">
      <w:pPr>
        <w:spacing w:after="0" w:line="240" w:lineRule="auto"/>
        <w:rPr>
          <w:rFonts w:ascii="Arial" w:hAnsi="Arial" w:cs="Arial"/>
          <w:color w:val="262626"/>
          <w:sz w:val="21"/>
          <w:szCs w:val="21"/>
          <w:shd w:val="clear" w:color="auto" w:fill="FFFFFF"/>
        </w:rPr>
      </w:pPr>
      <w:r w:rsidRPr="00D77C9C">
        <w:rPr>
          <w:rFonts w:ascii="Arial" w:hAnsi="Arial" w:cs="Arial"/>
          <w:color w:val="262626"/>
          <w:sz w:val="21"/>
          <w:szCs w:val="21"/>
          <w:shd w:val="clear" w:color="auto" w:fill="FFFFFF"/>
        </w:rPr>
        <w:br w:type="page"/>
      </w:r>
    </w:p>
    <w:p w:rsidR="00E55402" w:rsidRPr="004914DC" w:rsidRDefault="00EA4EDE" w:rsidP="00FC2BD9">
      <w:pPr>
        <w:pStyle w:val="2"/>
        <w:numPr>
          <w:ilvl w:val="0"/>
          <w:numId w:val="24"/>
        </w:numPr>
      </w:pPr>
      <w:bookmarkStart w:id="2" w:name="_Toc405885497"/>
      <w:r w:rsidRPr="004914DC">
        <w:lastRenderedPageBreak/>
        <w:t>Задача</w:t>
      </w:r>
      <w:bookmarkEnd w:id="2"/>
    </w:p>
    <w:p w:rsidR="00E55402" w:rsidRPr="005D7C18" w:rsidRDefault="00E55402" w:rsidP="00EA4ED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Особенности функционирования Пенсионного фонда Российской Федерации. На основе практических материалов требуется проанализировать динамику и структуру доходов и расходов социального внебюджетного фонда за последние 5 лет  и выявит</w:t>
      </w:r>
      <w:r w:rsidR="00EA4EDE" w:rsidRPr="005D7C18">
        <w:rPr>
          <w:rFonts w:ascii="Times New Roman" w:hAnsi="Times New Roman"/>
          <w:sz w:val="28"/>
        </w:rPr>
        <w:t>ь основные проблемы их развития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Бюджет Пенсионного фонда Российской Федерации формируется за счет: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 -  страховых взносов;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 -  средств федерального бюджета;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 -  сумм пеней и иных финансовых санкций;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 - доходов от размещения (инвестирования) временно свободных  средств обязательного пенсионного страхования;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 -  добровольных взносов физических лиц и организаций, уплачиваемых ими не в качестве страхователей или застрахованных лиц;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 - иных источников, не запрещенных законодательством Российской Федерации. [4, ст.17]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Плательщиками страховых взносов в ПФР являются: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- работодатели – юридические лица, в том числе иностранные, их обособленные подразделения;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- международные организации, осуществляющие свою деятельность на территории Российской Федерации, - в отношении граждан, имеющих право на государственное пенсионное обеспечение ;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- граждане, занимающиеся индивидуальной трудовой деятельностью и народными художественными промыслами;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- крестьянские, фермерские хозяйства;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- граждане, в том числе иностранные лица, лица без гражданства, проживающие на территории Российской Федерации, индивидуальные предприниматели, осуществляющие приём на работу по трудовому договору;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lastRenderedPageBreak/>
        <w:t>- граждане, работающие по трудовым договорам, получающие вознаграждения по договорам гражданско-правового характера, по авторским договорам.</w:t>
      </w:r>
    </w:p>
    <w:p w:rsidR="00EA4EDE" w:rsidRPr="005D7C18" w:rsidRDefault="00EA4EDE" w:rsidP="00EA4E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Пенсионный фонд России должен обеспечивать сбор страховых взносов, необходимых для финансирования выплат государственных пенсий, полнее используя в этих целях данные ему права, так как начиная с 1995 года доходов Пенсионного фонда от страховых взносов не хватает для обеспечения его расходов и для выплаты пенсий требуются дотации из федерального бюджета. Выплачиваемые пенсионные пособия все меньше отвечают своему социально-экономическому значению - обеспечивать достойный уровень жизни людям, не имеющим трудовых доходов. Таким образом, можно сделать вывод, что выполнение социальных целей государства является основной задачей Пенсионного фонда РФ. 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Размер взносов на социальное страхование, уплачиваемых работодателями и гражданами в Пенсионный фонд Российской Федерации, определяется Государственной Думой и Советом Федерации по представлению правления Фонда. 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Основной источник доходов фонда - это страховые взносы работодателей и работающих граждан. Но ещё большую часть доходов составляют поступления из федерального бюджета, что видно на круговых диаграммах. И только лишь в 2009 году доля доходов от налогов и страховых взносов превышает долю поступлений из федерального бюджета. В 2011 году «картина» достаточно резко меняется: доля доходов за счет налогов и страховых взносов составляет 40%, а  доля поступлений из федерального бюджета составляет 60%. Разница по сравнению с 2009 годом составляет 13%.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Имеются данные о поступлениях денежных средств в Пенсионный фонд РФ с 200</w:t>
      </w:r>
      <w:r w:rsidR="006747BC" w:rsidRPr="006747BC">
        <w:rPr>
          <w:rFonts w:ascii="Times New Roman" w:hAnsi="Times New Roman"/>
          <w:sz w:val="28"/>
          <w:szCs w:val="28"/>
        </w:rPr>
        <w:t>8</w:t>
      </w:r>
      <w:r w:rsidRPr="005D7C18">
        <w:rPr>
          <w:rFonts w:ascii="Times New Roman" w:hAnsi="Times New Roman"/>
          <w:sz w:val="28"/>
          <w:szCs w:val="28"/>
        </w:rPr>
        <w:t xml:space="preserve"> по 201</w:t>
      </w:r>
      <w:r w:rsidR="006747BC" w:rsidRPr="006747BC">
        <w:rPr>
          <w:rFonts w:ascii="Times New Roman" w:hAnsi="Times New Roman"/>
          <w:sz w:val="28"/>
          <w:szCs w:val="28"/>
        </w:rPr>
        <w:t>3</w:t>
      </w:r>
      <w:r w:rsidRPr="005D7C18">
        <w:rPr>
          <w:rFonts w:ascii="Times New Roman" w:hAnsi="Times New Roman"/>
          <w:sz w:val="28"/>
          <w:szCs w:val="28"/>
        </w:rPr>
        <w:t xml:space="preserve"> года (см. Таблица 1).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Для наглядности  я построила график динамики поступлений средств в ПФР по годам с 2008 по 2013, где мы можем увидеть только положительную динамику и увеличение поступлений с каждым годом, что говорит об </w:t>
      </w:r>
      <w:r w:rsidRPr="005D7C18">
        <w:rPr>
          <w:rFonts w:ascii="Times New Roman" w:hAnsi="Times New Roman"/>
          <w:sz w:val="28"/>
          <w:szCs w:val="28"/>
        </w:rPr>
        <w:lastRenderedPageBreak/>
        <w:t>успешном функционировании фонда. Особенно сильно заметен резкий рост в 2013 году по сравнению с предыдущими.</w:t>
      </w:r>
    </w:p>
    <w:p w:rsidR="00EA4EDE" w:rsidRPr="005D7C18" w:rsidRDefault="00EA4EDE" w:rsidP="00EA4EDE">
      <w:pPr>
        <w:spacing w:after="0" w:line="36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Таблица 1</w:t>
      </w:r>
    </w:p>
    <w:tbl>
      <w:tblPr>
        <w:tblW w:w="10093" w:type="dxa"/>
        <w:tblInd w:w="-252" w:type="dxa"/>
        <w:tblLook w:val="0000"/>
      </w:tblPr>
      <w:tblGrid>
        <w:gridCol w:w="2927"/>
        <w:gridCol w:w="1350"/>
        <w:gridCol w:w="1163"/>
        <w:gridCol w:w="1163"/>
        <w:gridCol w:w="1163"/>
        <w:gridCol w:w="1163"/>
        <w:gridCol w:w="1164"/>
      </w:tblGrid>
      <w:tr w:rsidR="00EA4EDE" w:rsidRPr="005D7C18" w:rsidTr="00B77009">
        <w:trPr>
          <w:trHeight w:val="492"/>
        </w:trPr>
        <w:tc>
          <w:tcPr>
            <w:tcW w:w="1009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7C18">
              <w:rPr>
                <w:rFonts w:ascii="Times New Roman" w:hAnsi="Times New Roman"/>
                <w:sz w:val="28"/>
                <w:szCs w:val="28"/>
              </w:rPr>
              <w:t>Поступление средств в Пенсионный фонд Российской Федерации</w:t>
            </w:r>
          </w:p>
        </w:tc>
      </w:tr>
      <w:tr w:rsidR="00EA4EDE" w:rsidRPr="005D7C18" w:rsidTr="00B77009">
        <w:trPr>
          <w:trHeight w:val="410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(млн. руб.)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</w:p>
        </w:tc>
      </w:tr>
      <w:tr w:rsidR="00EA4EDE" w:rsidRPr="005D7C18" w:rsidTr="00B77009">
        <w:trPr>
          <w:trHeight w:val="410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2008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2009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2010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2011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2012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2013</w:t>
            </w:r>
          </w:p>
        </w:tc>
      </w:tr>
      <w:tr w:rsidR="00EA4EDE" w:rsidRPr="005D7C18" w:rsidTr="00B77009">
        <w:trPr>
          <w:trHeight w:val="41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  <w:b/>
              </w:rPr>
            </w:pPr>
            <w:r w:rsidRPr="005D7C18">
              <w:rPr>
                <w:rFonts w:ascii="Times New Roman" w:hAnsi="Times New Roman"/>
                <w:b/>
              </w:rPr>
              <w:t>Поступление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1349601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1637580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1946817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2730172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3222649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4610084</w:t>
            </w:r>
          </w:p>
        </w:tc>
      </w:tr>
      <w:tr w:rsidR="00EA4EDE" w:rsidRPr="005D7C18" w:rsidTr="00B77009">
        <w:trPr>
          <w:trHeight w:val="41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</w:tr>
      <w:tr w:rsidR="00EA4EDE" w:rsidRPr="005D7C18" w:rsidTr="00B77009">
        <w:trPr>
          <w:trHeight w:val="41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налоги, страховые взносы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635603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797641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1016897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1254013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1273364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1929016</w:t>
            </w:r>
          </w:p>
        </w:tc>
      </w:tr>
      <w:tr w:rsidR="00EA4EDE" w:rsidRPr="005D7C18" w:rsidTr="00B77009">
        <w:trPr>
          <w:trHeight w:val="41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из федерального бюджета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693131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833105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919879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1456930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1946726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2648397</w:t>
            </w:r>
          </w:p>
        </w:tc>
      </w:tr>
    </w:tbl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lang w:val="en-US"/>
        </w:rPr>
      </w:pPr>
      <w:bookmarkStart w:id="3" w:name="OLE_LINK1"/>
      <w:bookmarkStart w:id="4" w:name="OLE_LINK2"/>
    </w:p>
    <w:p w:rsidR="00EA4EDE" w:rsidRPr="005D7C18" w:rsidRDefault="00EA4EDE" w:rsidP="006747B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Для того, чтобы проанализировать представленные данные (см. Таблица 1) рассчитаем следующие показатели:</w:t>
      </w:r>
    </w:p>
    <w:p w:rsidR="00EA4EDE" w:rsidRPr="005D7C18" w:rsidRDefault="00EA4EDE" w:rsidP="00754CDF">
      <w:pPr>
        <w:numPr>
          <w:ilvl w:val="0"/>
          <w:numId w:val="1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5D7C18">
        <w:rPr>
          <w:rFonts w:ascii="Times New Roman" w:hAnsi="Times New Roman"/>
          <w:sz w:val="28"/>
          <w:szCs w:val="28"/>
        </w:rPr>
        <w:t>Среднегодовой уровень доходов;</w:t>
      </w:r>
    </w:p>
    <w:p w:rsidR="00EA4EDE" w:rsidRPr="005D7C18" w:rsidRDefault="00EA4EDE" w:rsidP="00754CDF">
      <w:pPr>
        <w:numPr>
          <w:ilvl w:val="0"/>
          <w:numId w:val="1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Среднегодовой темп роста, прироста доходов;</w:t>
      </w:r>
    </w:p>
    <w:p w:rsidR="00EA4EDE" w:rsidRPr="005D7C18" w:rsidRDefault="00EA4EDE" w:rsidP="00754CDF">
      <w:pPr>
        <w:numPr>
          <w:ilvl w:val="0"/>
          <w:numId w:val="1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Возможную сумму доходов на 201</w:t>
      </w:r>
      <w:r w:rsidR="005D5CF3" w:rsidRPr="005D5CF3">
        <w:rPr>
          <w:rFonts w:ascii="Times New Roman" w:hAnsi="Times New Roman"/>
          <w:sz w:val="28"/>
          <w:szCs w:val="28"/>
        </w:rPr>
        <w:t>4</w:t>
      </w:r>
      <w:r w:rsidRPr="005D7C18">
        <w:rPr>
          <w:rFonts w:ascii="Times New Roman" w:hAnsi="Times New Roman"/>
          <w:sz w:val="28"/>
          <w:szCs w:val="28"/>
        </w:rPr>
        <w:t>, 201</w:t>
      </w:r>
      <w:r w:rsidR="005D5CF3" w:rsidRPr="005D5CF3">
        <w:rPr>
          <w:rFonts w:ascii="Times New Roman" w:hAnsi="Times New Roman"/>
          <w:sz w:val="28"/>
          <w:szCs w:val="28"/>
        </w:rPr>
        <w:t>5</w:t>
      </w:r>
      <w:r w:rsidRPr="005D7C18">
        <w:rPr>
          <w:rFonts w:ascii="Times New Roman" w:hAnsi="Times New Roman"/>
          <w:sz w:val="28"/>
          <w:szCs w:val="28"/>
        </w:rPr>
        <w:t xml:space="preserve"> и 201</w:t>
      </w:r>
      <w:r w:rsidR="005D5CF3" w:rsidRPr="005D5CF3">
        <w:rPr>
          <w:rFonts w:ascii="Times New Roman" w:hAnsi="Times New Roman"/>
          <w:sz w:val="28"/>
          <w:szCs w:val="28"/>
        </w:rPr>
        <w:t>6</w:t>
      </w:r>
      <w:r w:rsidRPr="005D7C18">
        <w:rPr>
          <w:rFonts w:ascii="Times New Roman" w:hAnsi="Times New Roman"/>
          <w:sz w:val="28"/>
          <w:szCs w:val="28"/>
        </w:rPr>
        <w:t xml:space="preserve"> года при условии, что среднегодовой темп доходов сохранится на предстоящие три года.</w:t>
      </w:r>
    </w:p>
    <w:p w:rsidR="00E773DC" w:rsidRPr="00F84F81" w:rsidRDefault="00EA4EDE" w:rsidP="00E773DC">
      <w:pPr>
        <w:pStyle w:val="ac"/>
        <w:numPr>
          <w:ilvl w:val="0"/>
          <w:numId w:val="22"/>
        </w:numPr>
        <w:spacing w:after="0" w:line="360" w:lineRule="auto"/>
        <w:jc w:val="both"/>
        <w:rPr>
          <w:color w:val="000000"/>
          <w:sz w:val="28"/>
          <w:szCs w:val="28"/>
        </w:rPr>
      </w:pPr>
      <w:r w:rsidRPr="001D2590">
        <w:rPr>
          <w:rFonts w:ascii="Times New Roman" w:hAnsi="Times New Roman"/>
          <w:sz w:val="28"/>
          <w:szCs w:val="28"/>
        </w:rPr>
        <w:t xml:space="preserve">Для расчета среднегодового уровня доходов использую формулу </w:t>
      </w:r>
    </w:p>
    <w:p w:rsidR="001D2590" w:rsidRPr="00F84F81" w:rsidRDefault="001D2590" w:rsidP="00F84F81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84F81">
        <w:rPr>
          <w:rStyle w:val="apple-converted-space"/>
          <w:color w:val="000000"/>
          <w:sz w:val="28"/>
          <w:szCs w:val="28"/>
        </w:rPr>
        <w:t> </w:t>
      </w:r>
      <w:r w:rsidRPr="00E773DC">
        <w:rPr>
          <w:sz w:val="28"/>
          <w:szCs w:val="28"/>
        </w:rPr>
        <w:t>средней арифметической</w:t>
      </w:r>
      <w:r w:rsidRPr="00F84F81">
        <w:rPr>
          <w:color w:val="000000"/>
          <w:sz w:val="28"/>
          <w:szCs w:val="28"/>
        </w:rPr>
        <w:t>:</w:t>
      </w:r>
    </w:p>
    <w:p w:rsidR="001D2590" w:rsidRDefault="00D06F0F" w:rsidP="00597F2C">
      <w:pPr>
        <w:pStyle w:val="a5"/>
        <w:shd w:val="clear" w:color="auto" w:fill="FFFFFF"/>
        <w:spacing w:before="120" w:beforeAutospacing="0" w:after="0" w:afterAutospacing="0" w:line="360" w:lineRule="auto"/>
        <w:ind w:left="709"/>
        <w:rPr>
          <w:rFonts w:ascii="Tahoma" w:hAnsi="Tahoma" w:cs="Tahoma"/>
          <w:color w:val="000000"/>
          <w:sz w:val="18"/>
          <w:szCs w:val="18"/>
        </w:rPr>
      </w:pPr>
      <w:r w:rsidRPr="00CE3401">
        <w:rPr>
          <w:position w:val="-24"/>
          <w:sz w:val="28"/>
          <w:szCs w:val="28"/>
        </w:rPr>
        <w:object w:dxaOrig="9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42.75pt" o:ole="">
            <v:imagedata r:id="rId8" o:title=""/>
          </v:shape>
          <o:OLEObject Type="Embed" ProgID="Equation.3" ShapeID="_x0000_i1025" DrawAspect="Content" ObjectID="_1479904892" r:id="rId9"/>
        </w:object>
      </w:r>
    </w:p>
    <w:p w:rsidR="00C7662F" w:rsidRPr="00D77C9C" w:rsidRDefault="00C7662F" w:rsidP="00F84F81">
      <w:pPr>
        <w:shd w:val="clear" w:color="auto" w:fill="FFFFFF"/>
        <w:spacing w:after="0" w:line="360" w:lineRule="auto"/>
        <w:ind w:left="1527"/>
        <w:rPr>
          <w:rStyle w:val="ab"/>
          <w:rFonts w:ascii="Times New Roman" w:hAnsi="Times New Roman"/>
          <w:color w:val="000000"/>
          <w:sz w:val="28"/>
          <w:szCs w:val="28"/>
        </w:rPr>
      </w:pPr>
    </w:p>
    <w:p w:rsidR="001D2590" w:rsidRPr="00F84F81" w:rsidRDefault="00C7662F" w:rsidP="00F84F81">
      <w:pPr>
        <w:shd w:val="clear" w:color="auto" w:fill="FFFFFF"/>
        <w:spacing w:after="0" w:line="360" w:lineRule="auto"/>
        <w:ind w:left="1527"/>
        <w:rPr>
          <w:rFonts w:ascii="Times New Roman" w:hAnsi="Times New Roman"/>
          <w:color w:val="000000"/>
          <w:sz w:val="28"/>
          <w:szCs w:val="28"/>
        </w:rPr>
      </w:pP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y</w:t>
      </w:r>
      <w:r w:rsidR="001D2590" w:rsidRPr="00F84F81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1D2590" w:rsidRPr="00F84F81">
        <w:rPr>
          <w:rFonts w:ascii="Times New Roman" w:hAnsi="Times New Roman"/>
          <w:color w:val="000000"/>
          <w:sz w:val="28"/>
          <w:szCs w:val="28"/>
        </w:rPr>
        <w:t>— уровни ряда (</w:t>
      </w:r>
      <w:r w:rsidR="001D2590" w:rsidRPr="00F84F81">
        <w:rPr>
          <w:rStyle w:val="ab"/>
          <w:rFonts w:ascii="Times New Roman" w:hAnsi="Times New Roman"/>
          <w:color w:val="000000"/>
          <w:sz w:val="28"/>
          <w:szCs w:val="28"/>
        </w:rPr>
        <w:t>y</w:t>
      </w:r>
      <w:r w:rsidR="001D2590" w:rsidRPr="00F84F81">
        <w:rPr>
          <w:rStyle w:val="ab"/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="001D2590" w:rsidRPr="00F84F81">
        <w:rPr>
          <w:rStyle w:val="ab"/>
          <w:rFonts w:ascii="Times New Roman" w:hAnsi="Times New Roman"/>
          <w:color w:val="000000"/>
          <w:sz w:val="28"/>
          <w:szCs w:val="28"/>
        </w:rPr>
        <w:t>, y</w:t>
      </w:r>
      <w:r w:rsidR="001D2590" w:rsidRPr="00F84F81">
        <w:rPr>
          <w:rStyle w:val="ab"/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1D2590" w:rsidRPr="00F84F81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vertAlign w:val="subscript"/>
        </w:rPr>
        <w:t> </w:t>
      </w:r>
      <w:r w:rsidR="001D2590" w:rsidRPr="00F84F81">
        <w:rPr>
          <w:rStyle w:val="ab"/>
          <w:rFonts w:ascii="Times New Roman" w:hAnsi="Times New Roman"/>
          <w:color w:val="000000"/>
          <w:sz w:val="28"/>
          <w:szCs w:val="28"/>
        </w:rPr>
        <w:t>,...,y</w:t>
      </w:r>
      <w:r w:rsidR="001D2590" w:rsidRPr="00F84F81">
        <w:rPr>
          <w:rStyle w:val="ab"/>
          <w:rFonts w:ascii="Times New Roman" w:hAnsi="Times New Roman"/>
          <w:color w:val="000000"/>
          <w:sz w:val="28"/>
          <w:szCs w:val="28"/>
          <w:vertAlign w:val="subscript"/>
        </w:rPr>
        <w:t>n</w:t>
      </w:r>
      <w:r w:rsidR="001D2590" w:rsidRPr="00F84F81">
        <w:rPr>
          <w:rFonts w:ascii="Times New Roman" w:hAnsi="Times New Roman"/>
          <w:color w:val="000000"/>
          <w:sz w:val="28"/>
          <w:szCs w:val="28"/>
        </w:rPr>
        <w:t>),</w:t>
      </w:r>
    </w:p>
    <w:p w:rsidR="001D2590" w:rsidRPr="00F84F81" w:rsidRDefault="001D2590" w:rsidP="00F84F81">
      <w:pPr>
        <w:shd w:val="clear" w:color="auto" w:fill="FFFFFF"/>
        <w:spacing w:after="0" w:line="360" w:lineRule="auto"/>
        <w:ind w:left="1527"/>
        <w:rPr>
          <w:rFonts w:ascii="Times New Roman" w:hAnsi="Times New Roman"/>
          <w:color w:val="000000"/>
          <w:sz w:val="28"/>
          <w:szCs w:val="28"/>
        </w:rPr>
      </w:pP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n</w:t>
      </w:r>
      <w:r w:rsidRPr="00F84F81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F84F81">
        <w:rPr>
          <w:rFonts w:ascii="Times New Roman" w:hAnsi="Times New Roman"/>
          <w:color w:val="000000"/>
          <w:sz w:val="28"/>
          <w:szCs w:val="28"/>
        </w:rPr>
        <w:t>— число периодов (число уровней ряда).</w:t>
      </w:r>
    </w:p>
    <w:p w:rsidR="001D2590" w:rsidRPr="001D2590" w:rsidRDefault="00D86565" w:rsidP="00D86565">
      <w:pPr>
        <w:pStyle w:val="ac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86565">
        <w:rPr>
          <w:rFonts w:ascii="Times New Roman" w:hAnsi="Times New Roman"/>
          <w:position w:val="-34"/>
          <w:sz w:val="28"/>
          <w:szCs w:val="28"/>
        </w:rPr>
        <w:object w:dxaOrig="8400" w:dyaOrig="880">
          <v:shape id="_x0000_i1026" type="#_x0000_t75" style="width:468pt;height:48.75pt" o:ole="">
            <v:imagedata r:id="rId10" o:title=""/>
          </v:shape>
          <o:OLEObject Type="Embed" ProgID="Equation.3" ShapeID="_x0000_i1026" DrawAspect="Content" ObjectID="_1479904893" r:id="rId11"/>
        </w:object>
      </w:r>
    </w:p>
    <w:p w:rsidR="00EA4EDE" w:rsidRDefault="00EA4EDE" w:rsidP="00D86565">
      <w:pPr>
        <w:spacing w:after="0" w:line="360" w:lineRule="auto"/>
        <w:ind w:firstLine="900"/>
        <w:rPr>
          <w:rFonts w:ascii="Times New Roman" w:hAnsi="Times New Roman"/>
          <w:position w:val="-24"/>
          <w:sz w:val="28"/>
          <w:szCs w:val="28"/>
          <w:lang w:val="en-US"/>
        </w:rPr>
      </w:pPr>
      <w:r w:rsidRPr="005D7C18">
        <w:rPr>
          <w:rFonts w:ascii="Times New Roman" w:hAnsi="Times New Roman"/>
          <w:position w:val="-24"/>
          <w:sz w:val="28"/>
          <w:szCs w:val="28"/>
        </w:rPr>
        <w:t>(млн. руб.)</w:t>
      </w:r>
    </w:p>
    <w:p w:rsidR="00D86565" w:rsidRDefault="00D86565" w:rsidP="00D86565">
      <w:pPr>
        <w:spacing w:after="0" w:line="360" w:lineRule="auto"/>
        <w:ind w:firstLine="900"/>
        <w:rPr>
          <w:rFonts w:ascii="Times New Roman" w:hAnsi="Times New Roman"/>
          <w:position w:val="-24"/>
          <w:sz w:val="28"/>
          <w:szCs w:val="28"/>
          <w:lang w:val="en-US"/>
        </w:rPr>
      </w:pPr>
    </w:p>
    <w:p w:rsidR="00D86565" w:rsidRDefault="00D86565" w:rsidP="00D86565">
      <w:pPr>
        <w:spacing w:after="0" w:line="360" w:lineRule="auto"/>
        <w:ind w:firstLine="900"/>
        <w:rPr>
          <w:rFonts w:ascii="Times New Roman" w:hAnsi="Times New Roman"/>
          <w:sz w:val="28"/>
          <w:szCs w:val="28"/>
          <w:lang w:val="en-US"/>
        </w:rPr>
      </w:pPr>
    </w:p>
    <w:p w:rsidR="003D44C4" w:rsidRDefault="003D44C4" w:rsidP="00D86565">
      <w:pPr>
        <w:spacing w:after="0" w:line="360" w:lineRule="auto"/>
        <w:ind w:firstLine="900"/>
        <w:rPr>
          <w:rFonts w:ascii="Times New Roman" w:hAnsi="Times New Roman"/>
          <w:sz w:val="28"/>
          <w:szCs w:val="28"/>
          <w:lang w:val="en-US"/>
        </w:rPr>
      </w:pPr>
    </w:p>
    <w:p w:rsidR="003D44C4" w:rsidRPr="00D86565" w:rsidRDefault="003D44C4" w:rsidP="00D86565">
      <w:pPr>
        <w:spacing w:after="0" w:line="360" w:lineRule="auto"/>
        <w:ind w:firstLine="900"/>
        <w:rPr>
          <w:rFonts w:ascii="Times New Roman" w:hAnsi="Times New Roman"/>
          <w:sz w:val="28"/>
          <w:szCs w:val="28"/>
          <w:lang w:val="en-US"/>
        </w:rPr>
      </w:pPr>
    </w:p>
    <w:p w:rsidR="00EA4EDE" w:rsidRPr="00984369" w:rsidRDefault="00EA4EDE" w:rsidP="00984369">
      <w:pPr>
        <w:pStyle w:val="ac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84369">
        <w:rPr>
          <w:rFonts w:ascii="Times New Roman" w:hAnsi="Times New Roman"/>
          <w:sz w:val="28"/>
          <w:szCs w:val="28"/>
        </w:rPr>
        <w:t>Среднегодовой темп роста, прироста доходов:</w:t>
      </w:r>
    </w:p>
    <w:p w:rsidR="00EA4EDE" w:rsidRPr="00FD2B18" w:rsidRDefault="00FD2B18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32"/>
          <w:sz w:val="28"/>
          <w:szCs w:val="28"/>
        </w:rPr>
      </w:pPr>
      <w:r w:rsidRPr="005D7C18">
        <w:rPr>
          <w:rFonts w:ascii="Times New Roman" w:hAnsi="Times New Roman"/>
          <w:position w:val="-32"/>
          <w:sz w:val="28"/>
          <w:szCs w:val="28"/>
        </w:rPr>
        <w:object w:dxaOrig="1180" w:dyaOrig="760">
          <v:shape id="_x0000_i1027" type="#_x0000_t75" style="width:76.5pt;height:48.75pt;mso-position-horizontal:left;mso-position-vertical:absolute" o:ole="" o:allowoverlap="f">
            <v:imagedata r:id="rId12" o:title=""/>
          </v:shape>
          <o:OLEObject Type="Embed" ProgID="Equation.3" ShapeID="_x0000_i1027" DrawAspect="Content" ObjectID="_1479904894" r:id="rId13"/>
        </w:object>
      </w:r>
      <w:r w:rsidR="00EA4EDE" w:rsidRPr="005D7C18">
        <w:rPr>
          <w:rFonts w:ascii="Times New Roman" w:hAnsi="Times New Roman"/>
          <w:position w:val="-32"/>
          <w:sz w:val="28"/>
          <w:szCs w:val="28"/>
        </w:rPr>
        <w:t>,</w:t>
      </w:r>
    </w:p>
    <w:p w:rsidR="00EA4EDE" w:rsidRPr="005D7C18" w:rsidRDefault="00161ACC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30"/>
          <w:sz w:val="28"/>
          <w:szCs w:val="28"/>
        </w:rPr>
      </w:pPr>
      <w:r w:rsidRPr="005D7C18">
        <w:rPr>
          <w:rFonts w:ascii="Times New Roman" w:hAnsi="Times New Roman"/>
          <w:position w:val="-26"/>
          <w:sz w:val="28"/>
          <w:szCs w:val="28"/>
        </w:rPr>
        <w:object w:dxaOrig="3980" w:dyaOrig="700">
          <v:shape id="_x0000_i1028" type="#_x0000_t75" style="width:237pt;height:42pt" o:ole="">
            <v:imagedata r:id="rId14" o:title=""/>
          </v:shape>
          <o:OLEObject Type="Embed" ProgID="Equation.3" ShapeID="_x0000_i1028" DrawAspect="Content" ObjectID="_1479904895" r:id="rId15"/>
        </w:object>
      </w:r>
      <w:r w:rsidR="00EA4EDE" w:rsidRPr="005D7C18">
        <w:rPr>
          <w:rFonts w:ascii="Times New Roman" w:hAnsi="Times New Roman"/>
          <w:position w:val="-30"/>
          <w:sz w:val="28"/>
          <w:szCs w:val="28"/>
        </w:rPr>
        <w:t xml:space="preserve">      или 127,9 %.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position w:val="-32"/>
          <w:sz w:val="28"/>
          <w:szCs w:val="28"/>
        </w:rPr>
      </w:pPr>
      <w:r w:rsidRPr="005D7C18">
        <w:rPr>
          <w:rFonts w:ascii="Times New Roman" w:hAnsi="Times New Roman"/>
          <w:position w:val="-32"/>
          <w:sz w:val="28"/>
          <w:szCs w:val="28"/>
        </w:rPr>
        <w:t>Средний абсолютный прирост:</w: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24"/>
          <w:sz w:val="28"/>
          <w:szCs w:val="28"/>
        </w:rPr>
        <w:object w:dxaOrig="1219" w:dyaOrig="620">
          <v:shape id="_x0000_i1029" type="#_x0000_t75" style="width:70.5pt;height:37.5pt" o:ole="">
            <v:imagedata r:id="rId16" o:title=""/>
          </v:shape>
          <o:OLEObject Type="Embed" ProgID="Equation.3" ShapeID="_x0000_i1029" DrawAspect="Content" ObjectID="_1479904896" r:id="rId17"/>
        </w:object>
      </w:r>
      <w:r w:rsidRPr="005D7C18">
        <w:rPr>
          <w:rFonts w:ascii="Times New Roman" w:hAnsi="Times New Roman"/>
          <w:position w:val="-24"/>
          <w:sz w:val="28"/>
          <w:szCs w:val="28"/>
        </w:rPr>
        <w:t>,</w: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24"/>
          <w:sz w:val="28"/>
          <w:szCs w:val="28"/>
          <w:lang w:val="en-US"/>
        </w:rPr>
        <w:object w:dxaOrig="4660" w:dyaOrig="620">
          <v:shape id="_x0000_i1030" type="#_x0000_t75" style="width:258.75pt;height:34.5pt" o:ole="">
            <v:imagedata r:id="rId18" o:title=""/>
          </v:shape>
          <o:OLEObject Type="Embed" ProgID="Equation.3" ShapeID="_x0000_i1030" DrawAspect="Content" ObjectID="_1479904897" r:id="rId19"/>
        </w:object>
      </w:r>
      <w:r w:rsidRPr="005D7C18">
        <w:rPr>
          <w:rFonts w:ascii="Times New Roman" w:hAnsi="Times New Roman"/>
          <w:position w:val="-24"/>
          <w:sz w:val="28"/>
          <w:szCs w:val="28"/>
        </w:rPr>
        <w:t xml:space="preserve"> млн. руб.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position w:val="-24"/>
          <w:sz w:val="28"/>
          <w:szCs w:val="28"/>
        </w:rPr>
      </w:pP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24"/>
          <w:sz w:val="28"/>
          <w:szCs w:val="28"/>
        </w:rPr>
        <w:t>3. Прогнозируемые суммы доходов на 2013, 2012 и 2013 года:</w:t>
      </w:r>
    </w:p>
    <w:p w:rsidR="00EA4EDE" w:rsidRPr="005D7C18" w:rsidRDefault="00FD050B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180" w:dyaOrig="360">
          <v:shape id="_x0000_i1031" type="#_x0000_t75" style="width:363.75pt;height:21pt" o:ole="">
            <v:imagedata r:id="rId20" o:title=""/>
          </v:shape>
          <o:OLEObject Type="Embed" ProgID="Equation.3" ShapeID="_x0000_i1031" DrawAspect="Content" ObjectID="_1479904898" r:id="rId21"/>
        </w:objec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12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560" w:dyaOrig="360">
          <v:shape id="_x0000_i1032" type="#_x0000_t75" style="width:376.5pt;height:21pt" o:ole="">
            <v:imagedata r:id="rId22" o:title=""/>
          </v:shape>
          <o:OLEObject Type="Embed" ProgID="Equation.3" ShapeID="_x0000_i1032" DrawAspect="Content" ObjectID="_1479904899" r:id="rId23"/>
        </w:objec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12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560" w:dyaOrig="360">
          <v:shape id="_x0000_i1033" type="#_x0000_t75" style="width:376.5pt;height:21pt" o:ole="">
            <v:imagedata r:id="rId24" o:title=""/>
          </v:shape>
          <o:OLEObject Type="Embed" ProgID="Equation.3" ShapeID="_x0000_i1033" DrawAspect="Content" ObjectID="_1479904900" r:id="rId25"/>
        </w:object>
      </w:r>
      <w:bookmarkEnd w:id="3"/>
      <w:bookmarkEnd w:id="4"/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Таким образом, можно сделать следующие выводы:</w:t>
      </w:r>
    </w:p>
    <w:p w:rsidR="00EA4EDE" w:rsidRPr="005D7C18" w:rsidRDefault="00EA4EDE" w:rsidP="00754CDF">
      <w:pPr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за период с 2008 года по 2013 год доходы Пенсионного фонда РФ ежегодно в среднем повышались на 27,9 %, то есть в абсолютном выражении на 652096,6 миллионов рублей;</w:t>
      </w:r>
    </w:p>
    <w:p w:rsidR="00EA4EDE" w:rsidRPr="005D7C18" w:rsidRDefault="00EA4EDE" w:rsidP="00754CDF">
      <w:pPr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при условии, что среднегодовой темп роста доходов сохранится на ближайшие три года, тогда в 2013 году сумма денежных поступлений составила 5896297,436 млн. руб.; в 2012 году – 7541364,4521 млн. руб.; в 2013 году – </w:t>
      </w:r>
      <w:r w:rsidRPr="00E773DC">
        <w:rPr>
          <w:rFonts w:ascii="Times New Roman" w:hAnsi="Times New Roman"/>
          <w:sz w:val="28"/>
          <w:szCs w:val="28"/>
        </w:rPr>
        <w:t>96454</w:t>
      </w:r>
      <w:r w:rsidRPr="00E773DC">
        <w:rPr>
          <w:rStyle w:val="a8"/>
          <w:rFonts w:ascii="Times New Roman" w:hAnsi="Times New Roman"/>
          <w:sz w:val="28"/>
          <w:szCs w:val="28"/>
        </w:rPr>
        <w:t>05,094</w:t>
      </w:r>
      <w:r w:rsidRPr="005D7C18">
        <w:rPr>
          <w:rStyle w:val="a8"/>
          <w:rFonts w:ascii="Times New Roman" w:hAnsi="Times New Roman"/>
        </w:rPr>
        <w:t xml:space="preserve"> млн. руб. </w:t>
      </w:r>
    </w:p>
    <w:p w:rsidR="00EA4EDE" w:rsidRPr="005D7C18" w:rsidRDefault="00EA4EDE" w:rsidP="00EA4EDE">
      <w:pPr>
        <w:pStyle w:val="a7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Согласно статье 147 Бюджетного Кодекса РФ – расходование средств государственных внебюджетных фондов осуществляется исключительно на </w:t>
      </w:r>
      <w:r w:rsidRPr="005D7C18">
        <w:rPr>
          <w:rFonts w:ascii="Times New Roman" w:hAnsi="Times New Roman"/>
          <w:sz w:val="28"/>
          <w:szCs w:val="28"/>
        </w:rPr>
        <w:lastRenderedPageBreak/>
        <w:t>цели, определенные законодательством Российской Федерации, субъектов Российской Федерации, регламентирующим их деятельность, в соответствии с бюджетами указанных фондов, утвержденными федеральными законами, законами субъектов Российской Федерации.</w:t>
      </w:r>
    </w:p>
    <w:p w:rsidR="00EA4EDE" w:rsidRPr="005D7C18" w:rsidRDefault="00EA4EDE" w:rsidP="00EA4EDE">
      <w:pPr>
        <w:pStyle w:val="a7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Средства Пенсионного фонда направляются на (см. Таблица 2):</w:t>
      </w:r>
    </w:p>
    <w:p w:rsidR="00EA4EDE" w:rsidRPr="005D7C18" w:rsidRDefault="00EA4EDE" w:rsidP="00EA4EDE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выплату в соответствии с законодательством Российской Федерации и международными договорами Российской Федерации страхового обеспечения по обязательному пенсионному страхованию, перевод средств в сумме, эквивалентной сумме пенсионных накоплений, учтенной в специальной части индивидуального лицевого счета застрахованного лица, в негосударственный пенсионный фонд, выбранный застрахованным лицом для формирования накопительной части трудовой пенсии;</w:t>
      </w:r>
    </w:p>
    <w:p w:rsidR="00EA4EDE" w:rsidRPr="005D7C18" w:rsidRDefault="00362DC1" w:rsidP="00EA4EDE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A4EDE" w:rsidRPr="005D7C18">
        <w:rPr>
          <w:rFonts w:ascii="Times New Roman" w:hAnsi="Times New Roman"/>
          <w:sz w:val="28"/>
          <w:szCs w:val="28"/>
        </w:rPr>
        <w:t>доставку пенсий, выплачиваемых за счет средств бюджета Пенсионного фонда Российской Федерации;</w:t>
      </w:r>
    </w:p>
    <w:p w:rsidR="00EA4EDE" w:rsidRPr="005D7C18" w:rsidRDefault="00EA4EDE" w:rsidP="00EA4EDE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финансовое и материально-техническое обеспечение текущей деятельности страховщика (включая содержание его центральных и территориальных органов);</w:t>
      </w:r>
    </w:p>
    <w:p w:rsidR="00EA4EDE" w:rsidRPr="005D7C18" w:rsidRDefault="00EA4EDE" w:rsidP="00EA4EDE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иные цели, предусмотренные законодательством Российской Федерации об обязательном пенсионном страховании.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Расходы, не предусмотренные бюджетом Пенсионного фонда Российской Федерации на соответствующий год, осуществляются только после внесения изменений в указанный бюджет в установленном федеральным законом порядке. [4, ст.18]</w:t>
      </w:r>
    </w:p>
    <w:p w:rsidR="00EA4EDE" w:rsidRPr="005D7C18" w:rsidRDefault="00EA4EDE" w:rsidP="00EA4EDE">
      <w:pPr>
        <w:pStyle w:val="a7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За счет средств Пенсионного фонда финансируются программы по социальной поддержке инвалидов, пенсионеров, детей; осуществляются единовременные денежные выплаты.</w:t>
      </w:r>
    </w:p>
    <w:p w:rsidR="00EA4EDE" w:rsidRPr="005D7C18" w:rsidRDefault="00EA4EDE" w:rsidP="0059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 xml:space="preserve">Выплаты государственных пенсий и пособий занимают наибольший удельный вес в общем объеме расходов Пенсионного фонда (см. </w:t>
      </w:r>
      <w:r w:rsidR="00597F2C">
        <w:rPr>
          <w:rFonts w:ascii="Times New Roman" w:hAnsi="Times New Roman"/>
          <w:sz w:val="28"/>
          <w:szCs w:val="28"/>
        </w:rPr>
        <w:t>Таблицу 2</w:t>
      </w:r>
      <w:r w:rsidRPr="005D7C18">
        <w:rPr>
          <w:rFonts w:ascii="Times New Roman" w:hAnsi="Times New Roman"/>
          <w:sz w:val="28"/>
          <w:szCs w:val="28"/>
        </w:rPr>
        <w:t xml:space="preserve">). Наряду с ними осуществляются целевые выплаты государственных пенсий и </w:t>
      </w:r>
      <w:r w:rsidRPr="005D7C18">
        <w:rPr>
          <w:rFonts w:ascii="Times New Roman" w:hAnsi="Times New Roman"/>
          <w:sz w:val="28"/>
          <w:szCs w:val="28"/>
        </w:rPr>
        <w:lastRenderedPageBreak/>
        <w:t>пособий на возвратной основе из федерального бюджета. Это расходы на собственно выплату пенсий, а также расходы по их доставке и пересылке. Часть средств Пенсионного фонда используется на капитальные вложения и проектные работы, разработку и ввод в эксплуатацию автоматизированной системы фонда, подготовку и переподготовку кадров, содержание органов Пенсионного фонда, возврат краткосрочных ссуд  и полученных от коммерческих банков кредитов.</w:t>
      </w:r>
    </w:p>
    <w:p w:rsidR="00EA4EDE" w:rsidRPr="005D7C18" w:rsidRDefault="00EA4EDE" w:rsidP="00EA4EDE">
      <w:pPr>
        <w:spacing w:after="0" w:line="36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Таблица 2</w:t>
      </w:r>
    </w:p>
    <w:tbl>
      <w:tblPr>
        <w:tblW w:w="5000" w:type="pct"/>
        <w:tblLook w:val="0000"/>
      </w:tblPr>
      <w:tblGrid>
        <w:gridCol w:w="2422"/>
        <w:gridCol w:w="1003"/>
        <w:gridCol w:w="1003"/>
        <w:gridCol w:w="1003"/>
        <w:gridCol w:w="1004"/>
        <w:gridCol w:w="1004"/>
        <w:gridCol w:w="1319"/>
        <w:gridCol w:w="1096"/>
      </w:tblGrid>
      <w:tr w:rsidR="00EA4EDE" w:rsidRPr="005D7C18" w:rsidTr="0041047B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4EDE" w:rsidRPr="00A629C8" w:rsidRDefault="00EA4EDE" w:rsidP="00EA4E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29C8">
              <w:rPr>
                <w:rFonts w:ascii="Times New Roman" w:hAnsi="Times New Roman"/>
                <w:sz w:val="28"/>
                <w:szCs w:val="28"/>
              </w:rPr>
              <w:t>Расходование средств Пенсионного фонда Российской Федерации</w:t>
            </w:r>
          </w:p>
        </w:tc>
      </w:tr>
      <w:tr w:rsidR="00EA4EDE" w:rsidRPr="005D7C18" w:rsidTr="0041047B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(млн. руб.)</w:t>
            </w:r>
          </w:p>
        </w:tc>
      </w:tr>
      <w:tr w:rsidR="00EA4EDE" w:rsidRPr="005D7C18" w:rsidTr="0041047B">
        <w:trPr>
          <w:trHeight w:val="315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2008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2009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2010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2011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2012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2013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EA4EDE" w:rsidRPr="005D7C18" w:rsidTr="0041047B">
        <w:trPr>
          <w:trHeight w:val="315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D7C18">
              <w:rPr>
                <w:rFonts w:ascii="Times New Roman" w:hAnsi="Times New Roman"/>
                <w:b/>
                <w:bCs/>
              </w:rPr>
              <w:t>Расходование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1299113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1537257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1786457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2357793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3008660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4249235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14238515</w:t>
            </w:r>
          </w:p>
        </w:tc>
      </w:tr>
      <w:tr w:rsidR="00EA4EDE" w:rsidRPr="005D7C18" w:rsidTr="0041047B">
        <w:trPr>
          <w:trHeight w:val="30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 </w:t>
            </w:r>
          </w:p>
        </w:tc>
      </w:tr>
      <w:tr w:rsidR="00EA4EDE" w:rsidRPr="005D7C18" w:rsidTr="0041047B">
        <w:trPr>
          <w:trHeight w:val="60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на финансирование выплат населению пенсий, пособий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1265186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1492806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1727530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2290821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2872257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4013711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13662311</w:t>
            </w:r>
          </w:p>
        </w:tc>
      </w:tr>
      <w:tr w:rsidR="00EA4EDE" w:rsidRPr="005D7C18" w:rsidTr="0041047B">
        <w:trPr>
          <w:trHeight w:val="450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EDE" w:rsidRPr="005D7C18" w:rsidRDefault="00EA4EDE" w:rsidP="00EA4EDE">
            <w:pPr>
              <w:spacing w:after="0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из них на осуществление ежемесячной денежной выплаты ветеранам, инвалидам, гражданам, подвергшимся воздействию радиации вследствие радиационных аварий и ядерных испытаний, Героям Советского Союза, Героям Российской Федерации и полным кавалерам ордена Славы, Героям Социалистического Труда и полным кавалерам ордена Трудовой Славы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120960 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182116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202877 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232960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263583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293639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EDE" w:rsidRPr="005D7C18" w:rsidRDefault="00EA4EDE" w:rsidP="00EA4EDE">
            <w:pPr>
              <w:spacing w:after="0"/>
              <w:jc w:val="center"/>
              <w:rPr>
                <w:rFonts w:ascii="Times New Roman" w:hAnsi="Times New Roman"/>
              </w:rPr>
            </w:pPr>
            <w:r w:rsidRPr="005D7C18">
              <w:rPr>
                <w:rFonts w:ascii="Times New Roman" w:hAnsi="Times New Roman"/>
              </w:rPr>
              <w:t>790182</w:t>
            </w:r>
          </w:p>
        </w:tc>
      </w:tr>
    </w:tbl>
    <w:p w:rsidR="00A629C8" w:rsidRDefault="00A629C8" w:rsidP="0023222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A4EDE" w:rsidRPr="00A629C8" w:rsidRDefault="00A629C8" w:rsidP="0023222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[14]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Для того чтобы проанализировать расходы Пенсионного фонда Российской Федерации (см. Таблица 2) я рассчитаю следующие показатели:</w:t>
      </w:r>
    </w:p>
    <w:p w:rsidR="00EA4EDE" w:rsidRPr="005D7C18" w:rsidRDefault="00EA4EDE" w:rsidP="00EA4EDE">
      <w:pPr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5D7C18">
        <w:rPr>
          <w:rFonts w:ascii="Times New Roman" w:hAnsi="Times New Roman"/>
          <w:sz w:val="28"/>
          <w:szCs w:val="28"/>
        </w:rPr>
        <w:lastRenderedPageBreak/>
        <w:t>Среднегодовой уровень расходов;</w:t>
      </w:r>
    </w:p>
    <w:p w:rsidR="00EA4EDE" w:rsidRPr="005D7C18" w:rsidRDefault="00EA4EDE" w:rsidP="00EA4EDE">
      <w:pPr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Среднегодовой темп роста, прироста расходов;</w:t>
      </w:r>
    </w:p>
    <w:p w:rsidR="00EA4EDE" w:rsidRPr="005D7C18" w:rsidRDefault="00EA4EDE" w:rsidP="00EA4EDE">
      <w:pPr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Прогнозируемую сумму расходов на 201</w:t>
      </w:r>
      <w:r w:rsidR="00CE3401" w:rsidRPr="00CE3401">
        <w:rPr>
          <w:rFonts w:ascii="Times New Roman" w:hAnsi="Times New Roman"/>
          <w:sz w:val="28"/>
          <w:szCs w:val="28"/>
        </w:rPr>
        <w:t>4</w:t>
      </w:r>
      <w:r w:rsidRPr="005D7C18">
        <w:rPr>
          <w:rFonts w:ascii="Times New Roman" w:hAnsi="Times New Roman"/>
          <w:sz w:val="28"/>
          <w:szCs w:val="28"/>
        </w:rPr>
        <w:t>, 201</w:t>
      </w:r>
      <w:r w:rsidR="00CE3401" w:rsidRPr="00CE3401">
        <w:rPr>
          <w:rFonts w:ascii="Times New Roman" w:hAnsi="Times New Roman"/>
          <w:sz w:val="28"/>
          <w:szCs w:val="28"/>
        </w:rPr>
        <w:t>5</w:t>
      </w:r>
      <w:r w:rsidRPr="005D7C18">
        <w:rPr>
          <w:rFonts w:ascii="Times New Roman" w:hAnsi="Times New Roman"/>
          <w:sz w:val="28"/>
          <w:szCs w:val="28"/>
        </w:rPr>
        <w:t xml:space="preserve"> и 201</w:t>
      </w:r>
      <w:r w:rsidR="00CE3401" w:rsidRPr="00CE3401">
        <w:rPr>
          <w:rFonts w:ascii="Times New Roman" w:hAnsi="Times New Roman"/>
          <w:sz w:val="28"/>
          <w:szCs w:val="28"/>
        </w:rPr>
        <w:t>6</w:t>
      </w:r>
      <w:r w:rsidRPr="005D7C18">
        <w:rPr>
          <w:rFonts w:ascii="Times New Roman" w:hAnsi="Times New Roman"/>
          <w:sz w:val="28"/>
          <w:szCs w:val="28"/>
        </w:rPr>
        <w:t xml:space="preserve"> года при условии, что среднегодовой темп расходов сохранится на предстоящие три года.</w:t>
      </w:r>
    </w:p>
    <w:p w:rsidR="00CE3401" w:rsidRPr="00CE3401" w:rsidRDefault="00EA4EDE" w:rsidP="00F330D6">
      <w:pPr>
        <w:pStyle w:val="ac"/>
        <w:shd w:val="clear" w:color="auto" w:fill="FFFFFF"/>
        <w:spacing w:after="0" w:line="36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E3401">
        <w:rPr>
          <w:rFonts w:ascii="Times New Roman" w:hAnsi="Times New Roman"/>
          <w:sz w:val="28"/>
          <w:szCs w:val="28"/>
        </w:rPr>
        <w:t xml:space="preserve">1. Для расчета среднегодового уровня расходов использую </w:t>
      </w:r>
      <w:r w:rsidR="00CE3401" w:rsidRPr="00CE3401">
        <w:rPr>
          <w:rFonts w:ascii="Times New Roman" w:hAnsi="Times New Roman"/>
          <w:sz w:val="28"/>
          <w:szCs w:val="28"/>
        </w:rPr>
        <w:t xml:space="preserve">формулу </w:t>
      </w:r>
      <w:r w:rsidR="00CE3401" w:rsidRPr="00CE3401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E3401" w:rsidRPr="00CE3401">
        <w:rPr>
          <w:rFonts w:ascii="Times New Roman" w:hAnsi="Times New Roman"/>
          <w:sz w:val="28"/>
          <w:szCs w:val="28"/>
        </w:rPr>
        <w:t>средней арифметической</w:t>
      </w:r>
      <w:r w:rsidR="00CE3401" w:rsidRPr="00CE3401">
        <w:rPr>
          <w:rFonts w:ascii="Times New Roman" w:hAnsi="Times New Roman"/>
          <w:color w:val="000000"/>
          <w:sz w:val="28"/>
          <w:szCs w:val="28"/>
        </w:rPr>
        <w:t>:</w:t>
      </w:r>
    </w:p>
    <w:p w:rsidR="00CE3401" w:rsidRDefault="00597F2C" w:rsidP="00F330D6">
      <w:pPr>
        <w:pStyle w:val="a5"/>
        <w:shd w:val="clear" w:color="auto" w:fill="FFFFFF"/>
        <w:spacing w:before="120" w:beforeAutospacing="0" w:after="0" w:afterAutospacing="0" w:line="360" w:lineRule="auto"/>
        <w:ind w:left="851"/>
        <w:rPr>
          <w:rFonts w:ascii="Tahoma" w:hAnsi="Tahoma" w:cs="Tahoma"/>
          <w:color w:val="000000"/>
          <w:sz w:val="18"/>
          <w:szCs w:val="18"/>
        </w:rPr>
      </w:pPr>
      <w:r w:rsidRPr="00CE3401">
        <w:rPr>
          <w:position w:val="-24"/>
          <w:sz w:val="28"/>
          <w:szCs w:val="28"/>
        </w:rPr>
        <w:object w:dxaOrig="920" w:dyaOrig="680">
          <v:shape id="_x0000_i1034" type="#_x0000_t75" style="width:57.75pt;height:42.75pt" o:ole="">
            <v:imagedata r:id="rId26" o:title=""/>
          </v:shape>
          <o:OLEObject Type="Embed" ProgID="Equation.3" ShapeID="_x0000_i1034" DrawAspect="Content" ObjectID="_1479904901" r:id="rId27"/>
        </w:object>
      </w:r>
    </w:p>
    <w:p w:rsidR="00CE3401" w:rsidRPr="00CE3401" w:rsidRDefault="00CE3401" w:rsidP="00F330D6">
      <w:pPr>
        <w:shd w:val="clear" w:color="auto" w:fill="FFFFFF"/>
        <w:spacing w:after="0" w:line="360" w:lineRule="auto"/>
        <w:ind w:left="851"/>
        <w:rPr>
          <w:rStyle w:val="ab"/>
          <w:rFonts w:ascii="Times New Roman" w:hAnsi="Times New Roman"/>
          <w:color w:val="000000"/>
          <w:sz w:val="28"/>
          <w:szCs w:val="28"/>
        </w:rPr>
      </w:pPr>
    </w:p>
    <w:p w:rsidR="00CE3401" w:rsidRPr="00F84F81" w:rsidRDefault="00CE3401" w:rsidP="00F330D6">
      <w:pPr>
        <w:shd w:val="clear" w:color="auto" w:fill="FFFFFF"/>
        <w:spacing w:after="0" w:line="36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y</w:t>
      </w:r>
      <w:r w:rsidRPr="00F84F81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F84F81">
        <w:rPr>
          <w:rFonts w:ascii="Times New Roman" w:hAnsi="Times New Roman"/>
          <w:color w:val="000000"/>
          <w:sz w:val="28"/>
          <w:szCs w:val="28"/>
        </w:rPr>
        <w:t>— уровни ряда (</w:t>
      </w: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y</w:t>
      </w:r>
      <w:r w:rsidRPr="00F84F81">
        <w:rPr>
          <w:rStyle w:val="ab"/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, y</w:t>
      </w:r>
      <w:r w:rsidRPr="00F84F81">
        <w:rPr>
          <w:rStyle w:val="ab"/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F84F81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vertAlign w:val="subscript"/>
        </w:rPr>
        <w:t> </w:t>
      </w: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,...,y</w:t>
      </w:r>
      <w:r w:rsidRPr="00F84F81">
        <w:rPr>
          <w:rStyle w:val="ab"/>
          <w:rFonts w:ascii="Times New Roman" w:hAnsi="Times New Roman"/>
          <w:color w:val="000000"/>
          <w:sz w:val="28"/>
          <w:szCs w:val="28"/>
          <w:vertAlign w:val="subscript"/>
        </w:rPr>
        <w:t>n</w:t>
      </w:r>
      <w:r w:rsidRPr="00F84F81">
        <w:rPr>
          <w:rFonts w:ascii="Times New Roman" w:hAnsi="Times New Roman"/>
          <w:color w:val="000000"/>
          <w:sz w:val="28"/>
          <w:szCs w:val="28"/>
        </w:rPr>
        <w:t>),</w:t>
      </w:r>
    </w:p>
    <w:p w:rsidR="00CE3401" w:rsidRPr="00F84F81" w:rsidRDefault="00CE3401" w:rsidP="00F330D6">
      <w:pPr>
        <w:shd w:val="clear" w:color="auto" w:fill="FFFFFF"/>
        <w:spacing w:after="0" w:line="36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 w:rsidRPr="00F84F81">
        <w:rPr>
          <w:rStyle w:val="ab"/>
          <w:rFonts w:ascii="Times New Roman" w:hAnsi="Times New Roman"/>
          <w:color w:val="000000"/>
          <w:sz w:val="28"/>
          <w:szCs w:val="28"/>
        </w:rPr>
        <w:t>n</w:t>
      </w:r>
      <w:r w:rsidRPr="00F84F81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F84F81">
        <w:rPr>
          <w:rFonts w:ascii="Times New Roman" w:hAnsi="Times New Roman"/>
          <w:color w:val="000000"/>
          <w:sz w:val="28"/>
          <w:szCs w:val="28"/>
        </w:rPr>
        <w:t>— число периодов (число уровней ряда).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EA4EDE" w:rsidRPr="005D7C18" w:rsidRDefault="002A2009" w:rsidP="00597F2C">
      <w:pPr>
        <w:spacing w:after="0" w:line="360" w:lineRule="auto"/>
        <w:ind w:left="851"/>
        <w:jc w:val="center"/>
        <w:rPr>
          <w:rFonts w:ascii="Times New Roman" w:hAnsi="Times New Roman"/>
          <w:sz w:val="28"/>
          <w:szCs w:val="28"/>
        </w:rPr>
      </w:pPr>
      <w:r w:rsidRPr="002A2009">
        <w:rPr>
          <w:rFonts w:ascii="Times New Roman" w:hAnsi="Times New Roman"/>
          <w:noProof/>
          <w:position w:val="-24"/>
          <w:sz w:val="28"/>
          <w:szCs w:val="28"/>
        </w:rPr>
        <w:pict>
          <v:shape id="_x0000_s1045" type="#_x0000_t75" style="position:absolute;left:0;text-align:left;margin-left:0;margin-top:-.85pt;width:231pt;height:42.75pt;z-index:251660288;mso-position-horizontal:left">
            <v:imagedata r:id="rId28" o:title=""/>
            <w10:wrap type="square"/>
          </v:shape>
          <o:OLEObject Type="Embed" ProgID="Equation.3" ShapeID="_x0000_s1045" DrawAspect="Content" ObjectID="_1479904912" r:id="rId29"/>
        </w:pict>
      </w:r>
      <w:r w:rsidR="00EA4EDE" w:rsidRPr="005D7C18">
        <w:rPr>
          <w:rFonts w:ascii="Times New Roman" w:hAnsi="Times New Roman"/>
          <w:position w:val="-24"/>
          <w:sz w:val="28"/>
          <w:szCs w:val="28"/>
        </w:rPr>
        <w:t xml:space="preserve"> (млн. руб.)</w:t>
      </w:r>
    </w:p>
    <w:p w:rsidR="00FC2BD9" w:rsidRDefault="00FC2BD9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2. Среднегодовой темп роста, прироста расходов:</w: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32"/>
          <w:sz w:val="28"/>
          <w:szCs w:val="28"/>
        </w:rPr>
      </w:pPr>
      <w:r w:rsidRPr="005D7C18">
        <w:rPr>
          <w:rFonts w:ascii="Times New Roman" w:hAnsi="Times New Roman"/>
          <w:position w:val="-32"/>
          <w:sz w:val="28"/>
          <w:szCs w:val="28"/>
        </w:rPr>
        <w:object w:dxaOrig="1040" w:dyaOrig="760">
          <v:shape id="_x0000_i1035" type="#_x0000_t75" style="width:66.75pt;height:48.75pt" o:ole="">
            <v:imagedata r:id="rId30" o:title=""/>
          </v:shape>
          <o:OLEObject Type="Embed" ProgID="Equation.3" ShapeID="_x0000_i1035" DrawAspect="Content" ObjectID="_1479904902" r:id="rId31"/>
        </w:object>
      </w:r>
      <w:r w:rsidRPr="005D7C18">
        <w:rPr>
          <w:rFonts w:ascii="Times New Roman" w:hAnsi="Times New Roman"/>
          <w:position w:val="-32"/>
          <w:sz w:val="28"/>
          <w:szCs w:val="28"/>
        </w:rPr>
        <w:t>,</w:t>
      </w:r>
    </w:p>
    <w:p w:rsidR="00EA4EDE" w:rsidRPr="005D7C18" w:rsidRDefault="00E773DC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30"/>
          <w:sz w:val="28"/>
          <w:szCs w:val="28"/>
        </w:rPr>
      </w:pPr>
      <w:r w:rsidRPr="005D7C18">
        <w:rPr>
          <w:rFonts w:ascii="Times New Roman" w:hAnsi="Times New Roman"/>
          <w:position w:val="-26"/>
          <w:sz w:val="28"/>
          <w:szCs w:val="28"/>
        </w:rPr>
        <w:object w:dxaOrig="3960" w:dyaOrig="700">
          <v:shape id="_x0000_i1036" type="#_x0000_t75" style="width:237.75pt;height:42pt" o:ole="">
            <v:imagedata r:id="rId32" o:title=""/>
          </v:shape>
          <o:OLEObject Type="Embed" ProgID="Equation.3" ShapeID="_x0000_i1036" DrawAspect="Content" ObjectID="_1479904903" r:id="rId33"/>
        </w:object>
      </w:r>
      <w:r w:rsidR="00EA4EDE" w:rsidRPr="005D7C18">
        <w:rPr>
          <w:rFonts w:ascii="Times New Roman" w:hAnsi="Times New Roman"/>
          <w:position w:val="-30"/>
          <w:sz w:val="28"/>
          <w:szCs w:val="28"/>
        </w:rPr>
        <w:t xml:space="preserve">      или 126,7 %.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position w:val="-32"/>
          <w:sz w:val="28"/>
          <w:szCs w:val="28"/>
        </w:rPr>
      </w:pPr>
      <w:r w:rsidRPr="005D7C18">
        <w:rPr>
          <w:rFonts w:ascii="Times New Roman" w:hAnsi="Times New Roman"/>
          <w:position w:val="-32"/>
          <w:sz w:val="28"/>
          <w:szCs w:val="28"/>
        </w:rPr>
        <w:t>Средний абсолютный прирост:</w: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24"/>
          <w:sz w:val="28"/>
          <w:szCs w:val="28"/>
        </w:rPr>
        <w:object w:dxaOrig="1219" w:dyaOrig="620">
          <v:shape id="_x0000_i1037" type="#_x0000_t75" style="width:70.5pt;height:37.5pt" o:ole="">
            <v:imagedata r:id="rId16" o:title=""/>
          </v:shape>
          <o:OLEObject Type="Embed" ProgID="Equation.3" ShapeID="_x0000_i1037" DrawAspect="Content" ObjectID="_1479904904" r:id="rId34"/>
        </w:object>
      </w:r>
      <w:r w:rsidRPr="005D7C18">
        <w:rPr>
          <w:rFonts w:ascii="Times New Roman" w:hAnsi="Times New Roman"/>
          <w:position w:val="-24"/>
          <w:sz w:val="28"/>
          <w:szCs w:val="28"/>
        </w:rPr>
        <w:t>,</w: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24"/>
          <w:sz w:val="28"/>
          <w:szCs w:val="28"/>
          <w:lang w:val="en-US"/>
        </w:rPr>
        <w:object w:dxaOrig="4660" w:dyaOrig="620">
          <v:shape id="_x0000_i1038" type="#_x0000_t75" style="width:258.75pt;height:34.5pt" o:ole="">
            <v:imagedata r:id="rId35" o:title=""/>
          </v:shape>
          <o:OLEObject Type="Embed" ProgID="Equation.3" ShapeID="_x0000_i1038" DrawAspect="Content" ObjectID="_1479904905" r:id="rId36"/>
        </w:object>
      </w:r>
      <w:r w:rsidRPr="005D7C18">
        <w:rPr>
          <w:rFonts w:ascii="Times New Roman" w:hAnsi="Times New Roman"/>
          <w:position w:val="-24"/>
          <w:sz w:val="28"/>
          <w:szCs w:val="28"/>
        </w:rPr>
        <w:t xml:space="preserve"> млн. руб.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position w:val="-24"/>
          <w:sz w:val="28"/>
          <w:szCs w:val="28"/>
        </w:rPr>
      </w:pP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24"/>
          <w:sz w:val="28"/>
          <w:szCs w:val="28"/>
        </w:rPr>
        <w:t>3. Прогнозируемые суммы расходов на 201</w:t>
      </w:r>
      <w:r w:rsidR="00F25CDD" w:rsidRPr="00F25CDD">
        <w:rPr>
          <w:rFonts w:ascii="Times New Roman" w:hAnsi="Times New Roman"/>
          <w:position w:val="-24"/>
          <w:sz w:val="28"/>
          <w:szCs w:val="28"/>
        </w:rPr>
        <w:t>4</w:t>
      </w:r>
      <w:r w:rsidRPr="005D7C18">
        <w:rPr>
          <w:rFonts w:ascii="Times New Roman" w:hAnsi="Times New Roman"/>
          <w:position w:val="-24"/>
          <w:sz w:val="28"/>
          <w:szCs w:val="28"/>
        </w:rPr>
        <w:t>, 201</w:t>
      </w:r>
      <w:r w:rsidR="00F25CDD" w:rsidRPr="00F25CDD">
        <w:rPr>
          <w:rFonts w:ascii="Times New Roman" w:hAnsi="Times New Roman"/>
          <w:position w:val="-24"/>
          <w:sz w:val="28"/>
          <w:szCs w:val="28"/>
        </w:rPr>
        <w:t>5</w:t>
      </w:r>
      <w:r w:rsidRPr="005D7C18">
        <w:rPr>
          <w:rFonts w:ascii="Times New Roman" w:hAnsi="Times New Roman"/>
          <w:position w:val="-24"/>
          <w:sz w:val="28"/>
          <w:szCs w:val="28"/>
        </w:rPr>
        <w:t xml:space="preserve"> и 201</w:t>
      </w:r>
      <w:r w:rsidR="00F25CDD" w:rsidRPr="00F25CDD">
        <w:rPr>
          <w:rFonts w:ascii="Times New Roman" w:hAnsi="Times New Roman"/>
          <w:position w:val="-24"/>
          <w:sz w:val="28"/>
          <w:szCs w:val="28"/>
        </w:rPr>
        <w:t>6</w:t>
      </w:r>
      <w:r w:rsidRPr="005D7C18">
        <w:rPr>
          <w:rFonts w:ascii="Times New Roman" w:hAnsi="Times New Roman"/>
          <w:position w:val="-24"/>
          <w:sz w:val="28"/>
          <w:szCs w:val="28"/>
        </w:rPr>
        <w:t xml:space="preserve"> года:</w:t>
      </w:r>
    </w:p>
    <w:p w:rsidR="00EA4EDE" w:rsidRPr="005D7C18" w:rsidRDefault="00597F2C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24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080" w:dyaOrig="360">
          <v:shape id="_x0000_i1039" type="#_x0000_t75" style="width:374.25pt;height:22.5pt" o:ole="">
            <v:imagedata r:id="rId37" o:title=""/>
          </v:shape>
          <o:OLEObject Type="Embed" ProgID="Equation.3" ShapeID="_x0000_i1039" DrawAspect="Content" ObjectID="_1479904906" r:id="rId38"/>
        </w:object>
      </w:r>
    </w:p>
    <w:p w:rsidR="00EA4EDE" w:rsidRPr="005D7C18" w:rsidRDefault="00597F2C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12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619" w:dyaOrig="360">
          <v:shape id="_x0000_i1040" type="#_x0000_t75" style="width:378pt;height:21pt" o:ole="">
            <v:imagedata r:id="rId39" o:title=""/>
          </v:shape>
          <o:OLEObject Type="Embed" ProgID="Equation.3" ShapeID="_x0000_i1040" DrawAspect="Content" ObjectID="_1479904907" r:id="rId40"/>
        </w:object>
      </w:r>
    </w:p>
    <w:p w:rsidR="00EA4EDE" w:rsidRPr="005D7C18" w:rsidRDefault="00EA4EDE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12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580" w:dyaOrig="360">
          <v:shape id="_x0000_i1041" type="#_x0000_t75" style="width:381.75pt;height:21pt" o:ole="">
            <v:imagedata r:id="rId41" o:title=""/>
          </v:shape>
          <o:OLEObject Type="Embed" ProgID="Equation.3" ShapeID="_x0000_i1041" DrawAspect="Content" ObjectID="_1479904908" r:id="rId42"/>
        </w:object>
      </w:r>
    </w:p>
    <w:p w:rsidR="00EA4EDE" w:rsidRPr="005D7C18" w:rsidRDefault="003D44C4" w:rsidP="00EA4EDE">
      <w:pPr>
        <w:spacing w:after="0" w:line="360" w:lineRule="auto"/>
        <w:ind w:firstLine="900"/>
        <w:jc w:val="center"/>
        <w:rPr>
          <w:rFonts w:ascii="Times New Roman" w:hAnsi="Times New Roman"/>
          <w:position w:val="-12"/>
          <w:sz w:val="28"/>
          <w:szCs w:val="28"/>
        </w:rPr>
      </w:pPr>
      <w:r w:rsidRPr="005D7C18">
        <w:rPr>
          <w:rFonts w:ascii="Times New Roman" w:hAnsi="Times New Roman"/>
          <w:position w:val="-12"/>
          <w:sz w:val="28"/>
          <w:szCs w:val="28"/>
        </w:rPr>
        <w:object w:dxaOrig="6500" w:dyaOrig="360">
          <v:shape id="_x0000_i1042" type="#_x0000_t75" style="width:376.5pt;height:21pt" o:ole="">
            <v:imagedata r:id="rId43" o:title=""/>
          </v:shape>
          <o:OLEObject Type="Embed" ProgID="Equation.3" ShapeID="_x0000_i1042" DrawAspect="Content" ObjectID="_1479904909" r:id="rId44"/>
        </w:object>
      </w:r>
    </w:p>
    <w:p w:rsidR="00EA4EDE" w:rsidRPr="005D7C18" w:rsidRDefault="00D709BC" w:rsidP="00F25CDD">
      <w:pPr>
        <w:spacing w:after="0" w:line="360" w:lineRule="auto"/>
        <w:ind w:firstLine="1418"/>
        <w:rPr>
          <w:rFonts w:ascii="Times New Roman" w:hAnsi="Times New Roman"/>
        </w:rPr>
      </w:pPr>
      <w:r w:rsidRPr="005D7C18">
        <w:rPr>
          <w:rFonts w:ascii="Times New Roman" w:hAnsi="Times New Roman"/>
          <w:position w:val="-12"/>
        </w:rPr>
        <w:object w:dxaOrig="5140" w:dyaOrig="360">
          <v:shape id="_x0000_i1043" type="#_x0000_t75" style="width:300.75pt;height:21pt" o:ole="">
            <v:imagedata r:id="rId45" o:title=""/>
          </v:shape>
          <o:OLEObject Type="Embed" ProgID="Equation.3" ShapeID="_x0000_i1043" DrawAspect="Content" ObjectID="_1479904910" r:id="rId46"/>
        </w:object>
      </w:r>
      <w:r w:rsidR="00F25CDD" w:rsidRPr="00D77C9C">
        <w:rPr>
          <w:rFonts w:ascii="Times New Roman" w:hAnsi="Times New Roman"/>
          <w:position w:val="-12"/>
        </w:rPr>
        <w:t xml:space="preserve">        </w:t>
      </w:r>
      <w:r w:rsidR="00EA4EDE" w:rsidRPr="00F25CDD">
        <w:rPr>
          <w:rFonts w:ascii="Times New Roman" w:hAnsi="Times New Roman"/>
          <w:sz w:val="28"/>
        </w:rPr>
        <w:t>млн.руб.</w:t>
      </w:r>
    </w:p>
    <w:p w:rsidR="00EA4EDE" w:rsidRPr="00D77C9C" w:rsidRDefault="00D709BC" w:rsidP="00F25CDD">
      <w:pPr>
        <w:spacing w:after="0" w:line="360" w:lineRule="auto"/>
        <w:ind w:firstLine="1418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position w:val="-12"/>
        </w:rPr>
        <w:object w:dxaOrig="5220" w:dyaOrig="360">
          <v:shape id="_x0000_i1044" type="#_x0000_t75" style="width:315pt;height:21.75pt" o:ole="">
            <v:imagedata r:id="rId47" o:title=""/>
          </v:shape>
          <o:OLEObject Type="Embed" ProgID="Equation.3" ShapeID="_x0000_i1044" DrawAspect="Content" ObjectID="_1479904911" r:id="rId48"/>
        </w:object>
      </w:r>
      <w:r w:rsidR="00EA4EDE" w:rsidRPr="005D7C18">
        <w:rPr>
          <w:rFonts w:ascii="Times New Roman" w:hAnsi="Times New Roman"/>
        </w:rPr>
        <w:t xml:space="preserve"> </w:t>
      </w:r>
      <w:r w:rsidR="00F25CDD" w:rsidRPr="00D77C9C">
        <w:rPr>
          <w:rFonts w:ascii="Times New Roman" w:hAnsi="Times New Roman"/>
        </w:rPr>
        <w:t xml:space="preserve">    </w:t>
      </w:r>
      <w:r w:rsidR="00EA4EDE" w:rsidRPr="00F25CDD">
        <w:rPr>
          <w:rFonts w:ascii="Times New Roman" w:hAnsi="Times New Roman"/>
          <w:sz w:val="28"/>
        </w:rPr>
        <w:t>млн.руб.</w:t>
      </w:r>
    </w:p>
    <w:p w:rsidR="00F25CDD" w:rsidRPr="00D77C9C" w:rsidRDefault="00F25CDD" w:rsidP="00F25CDD">
      <w:pPr>
        <w:spacing w:after="0" w:line="360" w:lineRule="auto"/>
        <w:ind w:firstLine="1418"/>
        <w:rPr>
          <w:rFonts w:ascii="Times New Roman" w:hAnsi="Times New Roman"/>
          <w:sz w:val="28"/>
          <w:szCs w:val="28"/>
        </w:rPr>
      </w:pP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Проведя расчеты можно сделать следующие выводы:</w:t>
      </w:r>
    </w:p>
    <w:p w:rsidR="00EA4EDE" w:rsidRPr="005D7C18" w:rsidRDefault="00EA4EDE" w:rsidP="0041047B">
      <w:pPr>
        <w:numPr>
          <w:ilvl w:val="0"/>
          <w:numId w:val="19"/>
        </w:numPr>
        <w:tabs>
          <w:tab w:val="clear" w:pos="360"/>
          <w:tab w:val="num" w:pos="426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за период с 2008 года по 2013 год расходы Пенсионного фонда РФ ежегодно в среднем повышались на 26,7%, то есть в абсолютном выражении на 590024,4 миллионов рублей;</w:t>
      </w:r>
    </w:p>
    <w:p w:rsidR="00EA4EDE" w:rsidRPr="005D7C18" w:rsidRDefault="00EA4EDE" w:rsidP="0041047B">
      <w:pPr>
        <w:numPr>
          <w:ilvl w:val="0"/>
          <w:numId w:val="1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при условии, что среднегодовой темп роста расходов сохранится на ближайшие три года, тогда в 201</w:t>
      </w:r>
      <w:r w:rsidR="003D44C4" w:rsidRPr="003D44C4">
        <w:rPr>
          <w:rFonts w:ascii="Times New Roman" w:hAnsi="Times New Roman"/>
          <w:sz w:val="28"/>
          <w:szCs w:val="28"/>
        </w:rPr>
        <w:t>4</w:t>
      </w:r>
      <w:r w:rsidRPr="005D7C18">
        <w:rPr>
          <w:rFonts w:ascii="Times New Roman" w:hAnsi="Times New Roman"/>
          <w:sz w:val="28"/>
          <w:szCs w:val="28"/>
        </w:rPr>
        <w:t xml:space="preserve"> году сумма расходов составит</w:t>
      </w:r>
      <w:r w:rsidR="003D44C4" w:rsidRPr="003D44C4">
        <w:rPr>
          <w:rFonts w:ascii="Times New Roman" w:hAnsi="Times New Roman"/>
          <w:sz w:val="28"/>
          <w:szCs w:val="28"/>
        </w:rPr>
        <w:t xml:space="preserve"> 10950077</w:t>
      </w:r>
      <w:r w:rsidR="00D709BC" w:rsidRPr="00D709BC">
        <w:rPr>
          <w:rFonts w:ascii="Times New Roman" w:hAnsi="Times New Roman"/>
          <w:sz w:val="28"/>
          <w:szCs w:val="28"/>
        </w:rPr>
        <w:t>,92</w:t>
      </w:r>
      <w:r w:rsidRPr="005D7C18">
        <w:rPr>
          <w:rFonts w:ascii="Times New Roman" w:hAnsi="Times New Roman"/>
          <w:sz w:val="28"/>
          <w:szCs w:val="28"/>
        </w:rPr>
        <w:t xml:space="preserve"> млн. руб.; в 201</w:t>
      </w:r>
      <w:r w:rsidR="00D709BC" w:rsidRPr="00D709BC">
        <w:rPr>
          <w:rFonts w:ascii="Times New Roman" w:hAnsi="Times New Roman"/>
          <w:sz w:val="28"/>
          <w:szCs w:val="28"/>
        </w:rPr>
        <w:t>5</w:t>
      </w:r>
      <w:r w:rsidRPr="005D7C18">
        <w:rPr>
          <w:rFonts w:ascii="Times New Roman" w:hAnsi="Times New Roman"/>
          <w:sz w:val="28"/>
          <w:szCs w:val="28"/>
        </w:rPr>
        <w:t xml:space="preserve"> году – </w:t>
      </w:r>
      <w:r w:rsidR="00D709BC" w:rsidRPr="00D709BC">
        <w:rPr>
          <w:rFonts w:ascii="Times New Roman" w:hAnsi="Times New Roman"/>
          <w:sz w:val="28"/>
          <w:szCs w:val="28"/>
        </w:rPr>
        <w:t>13873748,72</w:t>
      </w:r>
      <w:r w:rsidRPr="005D7C18">
        <w:rPr>
          <w:rFonts w:ascii="Times New Roman" w:hAnsi="Times New Roman"/>
          <w:sz w:val="28"/>
          <w:szCs w:val="28"/>
        </w:rPr>
        <w:t xml:space="preserve"> млн. руб.; в 201</w:t>
      </w:r>
      <w:r w:rsidR="00D709BC" w:rsidRPr="00D709BC">
        <w:rPr>
          <w:rFonts w:ascii="Times New Roman" w:hAnsi="Times New Roman"/>
          <w:sz w:val="28"/>
          <w:szCs w:val="28"/>
        </w:rPr>
        <w:t>6</w:t>
      </w:r>
      <w:r w:rsidRPr="005D7C18">
        <w:rPr>
          <w:rFonts w:ascii="Times New Roman" w:hAnsi="Times New Roman"/>
          <w:sz w:val="28"/>
          <w:szCs w:val="28"/>
        </w:rPr>
        <w:t xml:space="preserve"> году –</w:t>
      </w:r>
      <w:r w:rsidR="00F330D6" w:rsidRPr="00F330D6">
        <w:rPr>
          <w:rFonts w:ascii="Times New Roman" w:hAnsi="Times New Roman"/>
          <w:sz w:val="28"/>
        </w:rPr>
        <w:t>17578039,63</w:t>
      </w:r>
      <w:r w:rsidR="00F330D6">
        <w:rPr>
          <w:rFonts w:ascii="Times New Roman" w:hAnsi="Times New Roman"/>
          <w:sz w:val="28"/>
          <w:szCs w:val="28"/>
        </w:rPr>
        <w:t>млн. руб</w:t>
      </w:r>
      <w:r w:rsidRPr="005D7C18">
        <w:rPr>
          <w:rFonts w:ascii="Times New Roman" w:hAnsi="Times New Roman"/>
          <w:sz w:val="28"/>
          <w:szCs w:val="28"/>
        </w:rPr>
        <w:t>.</w:t>
      </w:r>
    </w:p>
    <w:p w:rsidR="00EA4EDE" w:rsidRPr="005D7C18" w:rsidRDefault="00EA4EDE" w:rsidP="00EA4ED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7C18">
        <w:rPr>
          <w:rFonts w:ascii="Times New Roman" w:hAnsi="Times New Roman"/>
          <w:sz w:val="28"/>
          <w:szCs w:val="28"/>
        </w:rPr>
        <w:t>Рассмотрев и проанализировав особенности формирования доходов и расходов средств Пенсионного фонда Российской Федерации можно сделать следующие заключения:</w:t>
      </w:r>
    </w:p>
    <w:p w:rsidR="00EA4EDE" w:rsidRPr="005D7C18" w:rsidRDefault="00F55EAD" w:rsidP="00EA4EDE">
      <w:pPr>
        <w:numPr>
          <w:ilvl w:val="0"/>
          <w:numId w:val="20"/>
        </w:numPr>
        <w:tabs>
          <w:tab w:val="clear" w:pos="1429"/>
        </w:tabs>
        <w:spacing w:after="0" w:line="360" w:lineRule="auto"/>
        <w:ind w:left="0" w:firstLine="900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EA4EDE" w:rsidRPr="005D7C18">
        <w:rPr>
          <w:rFonts w:ascii="Times New Roman" w:hAnsi="Times New Roman"/>
          <w:bCs/>
          <w:sz w:val="28"/>
          <w:szCs w:val="28"/>
        </w:rPr>
        <w:t>роанализировав динамику доходов бюджета Пенсионного фонда Российской Федерации за период с 2008 по 2013 года, а также прогнозируемый период с  201</w:t>
      </w:r>
      <w:r w:rsidR="003D44C4" w:rsidRPr="003D44C4">
        <w:rPr>
          <w:rFonts w:ascii="Times New Roman" w:hAnsi="Times New Roman"/>
          <w:bCs/>
          <w:sz w:val="28"/>
          <w:szCs w:val="28"/>
        </w:rPr>
        <w:t>4</w:t>
      </w:r>
      <w:r w:rsidR="00EA4EDE" w:rsidRPr="005D7C18">
        <w:rPr>
          <w:rFonts w:ascii="Times New Roman" w:hAnsi="Times New Roman"/>
          <w:bCs/>
          <w:sz w:val="28"/>
          <w:szCs w:val="28"/>
        </w:rPr>
        <w:t xml:space="preserve"> по 201</w:t>
      </w:r>
      <w:r w:rsidR="003D44C4" w:rsidRPr="003D44C4">
        <w:rPr>
          <w:rFonts w:ascii="Times New Roman" w:hAnsi="Times New Roman"/>
          <w:bCs/>
          <w:sz w:val="28"/>
          <w:szCs w:val="28"/>
        </w:rPr>
        <w:t>6</w:t>
      </w:r>
      <w:r w:rsidR="00EA4EDE" w:rsidRPr="005D7C18">
        <w:rPr>
          <w:rFonts w:ascii="Times New Roman" w:hAnsi="Times New Roman"/>
          <w:bCs/>
          <w:sz w:val="28"/>
          <w:szCs w:val="28"/>
        </w:rPr>
        <w:t xml:space="preserve"> года можно выявить тенденцию увеличения средств федерального бюджета в финансировании пенсионной системы.</w:t>
      </w:r>
      <w:r w:rsidR="00EA4EDE" w:rsidRPr="005D7C18">
        <w:rPr>
          <w:rFonts w:ascii="Times New Roman" w:hAnsi="Times New Roman"/>
          <w:bCs/>
          <w:spacing w:val="-2"/>
          <w:sz w:val="28"/>
          <w:szCs w:val="28"/>
        </w:rPr>
        <w:t xml:space="preserve"> Основными причинами увеличения доли средств федерального бюджета в бюджете ПФР являются: возложение на ПФР дополнительных функций по осуществлению отдельных выплат нестрахового характера, финансируемых за счет средств федерального бюджета (материнский (семейный) капитал), перерасчет пенсий, а также превышающее число пенсионеров над занятым населением.. Что касается структуры доходов, то большую часть занимают поступления из федерального бюджета, далее следуют налоги и взносы на социальные нужды, на третьем месте доходы от размещения пенсионных накоплений;</w:t>
      </w:r>
    </w:p>
    <w:p w:rsidR="00EA4EDE" w:rsidRPr="005D7C18" w:rsidRDefault="00F330D6" w:rsidP="00EA4EDE">
      <w:pPr>
        <w:numPr>
          <w:ilvl w:val="0"/>
          <w:numId w:val="20"/>
        </w:numPr>
        <w:tabs>
          <w:tab w:val="clear" w:pos="1429"/>
        </w:tabs>
        <w:spacing w:after="0" w:line="360" w:lineRule="auto"/>
        <w:ind w:left="0" w:firstLine="900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lastRenderedPageBreak/>
        <w:t>Р</w:t>
      </w:r>
      <w:r w:rsidR="00EA4EDE" w:rsidRPr="005D7C18">
        <w:rPr>
          <w:rFonts w:ascii="Times New Roman" w:hAnsi="Times New Roman"/>
          <w:bCs/>
          <w:spacing w:val="-4"/>
          <w:sz w:val="28"/>
          <w:szCs w:val="28"/>
        </w:rPr>
        <w:t xml:space="preserve">асходы Пенсионного фонда России с каждым годом увеличиваются в среднем на 26,7%. В структуре расходов бюджета преобладают расходы на выплату трудовой пенсии, далее следуют социальные пенсии, пенсии пенсионерам, досрочно вышедшим на пенсию, а также пенсии пенсионерам за пределами России. Практически все поступления средств расходуются Пенсионным фондом на выполнение своих </w:t>
      </w:r>
      <w:r w:rsidR="00597F2C" w:rsidRPr="005D7C18">
        <w:rPr>
          <w:rFonts w:ascii="Times New Roman" w:hAnsi="Times New Roman"/>
          <w:bCs/>
          <w:spacing w:val="-4"/>
          <w:sz w:val="28"/>
          <w:szCs w:val="28"/>
        </w:rPr>
        <w:t>функций,</w:t>
      </w:r>
      <w:r w:rsidR="00EA4EDE" w:rsidRPr="005D7C18">
        <w:rPr>
          <w:rFonts w:ascii="Times New Roman" w:hAnsi="Times New Roman"/>
          <w:bCs/>
          <w:spacing w:val="-4"/>
          <w:sz w:val="28"/>
          <w:szCs w:val="28"/>
        </w:rPr>
        <w:t xml:space="preserve"> и лишь незначительная часть средств остается на накопительных счетах.</w:t>
      </w:r>
    </w:p>
    <w:p w:rsidR="00FC2BD9" w:rsidRDefault="00FC2BD9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bookmarkStart w:id="5" w:name="_Toc405885498"/>
      <w:r>
        <w:br w:type="page"/>
      </w:r>
    </w:p>
    <w:p w:rsidR="00EA4EDE" w:rsidRPr="00506BA2" w:rsidRDefault="00EA4EDE" w:rsidP="00FC2BD9">
      <w:pPr>
        <w:pStyle w:val="2"/>
        <w:rPr>
          <w:rFonts w:cs="Times New Roman"/>
        </w:rPr>
      </w:pPr>
      <w:r w:rsidRPr="00506BA2">
        <w:rPr>
          <w:rFonts w:cs="Times New Roman"/>
        </w:rPr>
        <w:lastRenderedPageBreak/>
        <w:t>Список литературы</w:t>
      </w:r>
      <w:bookmarkEnd w:id="5"/>
    </w:p>
    <w:p w:rsidR="00EA4EDE" w:rsidRPr="005D7C18" w:rsidRDefault="00EA4EDE" w:rsidP="00EA4EDE">
      <w:pPr>
        <w:spacing w:after="0" w:line="360" w:lineRule="auto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EA4EDE" w:rsidRPr="005D7C18" w:rsidRDefault="002A2009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color w:val="000000"/>
          <w:sz w:val="28"/>
        </w:rPr>
      </w:pPr>
      <w:hyperlink r:id="rId49" w:tgtFrame="_blank" w:history="1">
        <w:r w:rsidR="00EA4EDE" w:rsidRPr="005D7C18">
          <w:rPr>
            <w:rFonts w:ascii="Times New Roman" w:hAnsi="Times New Roman"/>
            <w:color w:val="000000"/>
            <w:sz w:val="28"/>
          </w:rPr>
          <w:t>Банковский розничный бизнес</w:t>
        </w:r>
      </w:hyperlink>
      <w:r w:rsidR="00EA4EDE" w:rsidRPr="005D7C18">
        <w:rPr>
          <w:rFonts w:ascii="Times New Roman" w:hAnsi="Times New Roman"/>
          <w:color w:val="000000"/>
          <w:sz w:val="28"/>
        </w:rPr>
        <w:t xml:space="preserve"> Н. В. Калистратов, В. А. Кузнецов, А. В. Пухов - БДЦ-пресс, 2011,424с.</w:t>
      </w:r>
    </w:p>
    <w:p w:rsidR="00EA4EDE" w:rsidRPr="005D7C18" w:rsidRDefault="002A2009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color w:val="000000"/>
          <w:sz w:val="28"/>
        </w:rPr>
      </w:pPr>
      <w:hyperlink r:id="rId50" w:tgtFrame="_blank" w:history="1">
        <w:r w:rsidR="00EA4EDE" w:rsidRPr="005D7C18">
          <w:rPr>
            <w:rFonts w:ascii="Times New Roman" w:hAnsi="Times New Roman"/>
            <w:color w:val="000000"/>
            <w:sz w:val="28"/>
          </w:rPr>
          <w:t>Банковское дело (5-е изд., перераб. и доп.)</w:t>
        </w:r>
      </w:hyperlink>
      <w:r w:rsidR="00EA4EDE" w:rsidRPr="005D7C18">
        <w:rPr>
          <w:rFonts w:ascii="Times New Roman" w:hAnsi="Times New Roman"/>
          <w:color w:val="000000"/>
          <w:sz w:val="28"/>
        </w:rPr>
        <w:t xml:space="preserve"> Белоглазова Г.Н.- ФиС, 2011 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Банковское дело: стратегическое руководство. Под ред. Платонова В., Хиггинса М.</w:t>
      </w:r>
      <w:r w:rsidRPr="005D7C18">
        <w:rPr>
          <w:rFonts w:ascii="Times New Roman" w:hAnsi="Times New Roman"/>
          <w:color w:val="000000"/>
          <w:sz w:val="28"/>
        </w:rPr>
        <w:t xml:space="preserve"> </w:t>
      </w:r>
      <w:r w:rsidRPr="005D7C18">
        <w:rPr>
          <w:rFonts w:ascii="Times New Roman" w:hAnsi="Times New Roman"/>
          <w:sz w:val="28"/>
        </w:rPr>
        <w:t>—М.; Консалтбанкир, 2011.</w:t>
      </w:r>
    </w:p>
    <w:p w:rsidR="00EA4EDE" w:rsidRPr="005D7C18" w:rsidRDefault="002A2009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color w:val="000000"/>
          <w:sz w:val="28"/>
        </w:rPr>
      </w:pPr>
      <w:hyperlink r:id="rId51" w:tgtFrame="_blank" w:history="1">
        <w:r w:rsidR="00EA4EDE" w:rsidRPr="005D7C18">
          <w:rPr>
            <w:rFonts w:ascii="Times New Roman" w:hAnsi="Times New Roman"/>
            <w:color w:val="000000"/>
            <w:sz w:val="28"/>
          </w:rPr>
          <w:t>Банковское дело: управление кредитной организацией. Практикум</w:t>
        </w:r>
      </w:hyperlink>
      <w:r w:rsidR="00EA4EDE" w:rsidRPr="005D7C18">
        <w:rPr>
          <w:rFonts w:ascii="Times New Roman" w:hAnsi="Times New Roman"/>
          <w:color w:val="000000"/>
          <w:sz w:val="28"/>
        </w:rPr>
        <w:t xml:space="preserve"> Бычков В.П., Жилкина А.Н., Демент С.Е. - ДАШКОВ И К, 2013, 264c.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color w:val="000000"/>
          <w:sz w:val="28"/>
        </w:rPr>
      </w:pPr>
      <w:r w:rsidRPr="005D7C18">
        <w:rPr>
          <w:rFonts w:ascii="Times New Roman" w:hAnsi="Times New Roman"/>
          <w:color w:val="000000"/>
          <w:sz w:val="28"/>
        </w:rPr>
        <w:t xml:space="preserve"> </w:t>
      </w:r>
      <w:hyperlink r:id="rId52" w:tgtFrame="_blank" w:history="1">
        <w:r w:rsidRPr="005D7C18">
          <w:rPr>
            <w:rFonts w:ascii="Times New Roman" w:hAnsi="Times New Roman"/>
            <w:color w:val="000000"/>
            <w:sz w:val="28"/>
          </w:rPr>
          <w:t>Безопасность банковских систем</w:t>
        </w:r>
      </w:hyperlink>
      <w:r w:rsidRPr="005D7C18">
        <w:rPr>
          <w:rFonts w:ascii="Times New Roman" w:hAnsi="Times New Roman"/>
          <w:color w:val="000000"/>
          <w:sz w:val="28"/>
        </w:rPr>
        <w:t xml:space="preserve"> В. И. Ярочкин - Ось-89, 2012, 416с. 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Волошин И.В. Оценка банковских рисков: новые подходы.– Киев; Эльга, 2013.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Грядов О.В. Некоторые проблемы деятельности коммерческих банков // «Деньги и кредит», 2012, № 4, стр. 14-19</w:t>
      </w:r>
    </w:p>
    <w:p w:rsidR="00EA4EDE" w:rsidRPr="005D7C18" w:rsidRDefault="00EA4EDE" w:rsidP="00EA4EDE">
      <w:pPr>
        <w:pStyle w:val="ConsNonformat"/>
        <w:widowControl/>
        <w:numPr>
          <w:ilvl w:val="0"/>
          <w:numId w:val="21"/>
        </w:numPr>
        <w:tabs>
          <w:tab w:val="num" w:pos="0"/>
        </w:tabs>
        <w:suppressAutoHyphens/>
        <w:spacing w:line="36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5D7C18">
        <w:rPr>
          <w:rFonts w:ascii="Times New Roman" w:hAnsi="Times New Roman" w:cs="Times New Roman"/>
          <w:sz w:val="28"/>
          <w:szCs w:val="24"/>
        </w:rPr>
        <w:t>Гусева А.Е. Подход к оценке банковской ликвидности // Деньги и кредит, 2012, № 12, стр. 12-13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Иванов В.В. Стратегия управления банковской ликвидностью.</w:t>
      </w:r>
      <w:r w:rsidRPr="005D7C18">
        <w:rPr>
          <w:rFonts w:ascii="Times New Roman" w:hAnsi="Times New Roman"/>
          <w:color w:val="000000"/>
          <w:sz w:val="28"/>
        </w:rPr>
        <w:t xml:space="preserve"> </w:t>
      </w:r>
      <w:r w:rsidRPr="005D7C18">
        <w:rPr>
          <w:rFonts w:ascii="Times New Roman" w:hAnsi="Times New Roman"/>
          <w:sz w:val="28"/>
        </w:rPr>
        <w:t>– М.; Банк России, 2013.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Крейнина М.Н. финансовый менеджмент: Учебник /Под ред. Крейниной – М.: Финансы и статистика, 2009 – 383 с.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Ларионова И.В. Управление активами и пассивами в коммерческом банке. –М.; Консалтбанкир, 2013.</w:t>
      </w:r>
    </w:p>
    <w:p w:rsidR="00EA4EDE" w:rsidRPr="005D7C18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Финансовый менеджмент: Учебник. Под редакций Бланка – М.: Инфра-М, 2009 – 318 с.</w:t>
      </w:r>
    </w:p>
    <w:p w:rsidR="00EA4EDE" w:rsidRDefault="00EA4EDE" w:rsidP="00EA4EDE">
      <w:pPr>
        <w:numPr>
          <w:ilvl w:val="0"/>
          <w:numId w:val="21"/>
        </w:numPr>
        <w:tabs>
          <w:tab w:val="num" w:pos="0"/>
        </w:tabs>
        <w:suppressAutoHyphens/>
        <w:spacing w:after="0" w:line="360" w:lineRule="auto"/>
        <w:ind w:left="0" w:firstLine="0"/>
        <w:rPr>
          <w:rFonts w:ascii="Times New Roman" w:hAnsi="Times New Roman"/>
          <w:sz w:val="28"/>
        </w:rPr>
      </w:pPr>
      <w:r w:rsidRPr="005D7C18">
        <w:rPr>
          <w:rFonts w:ascii="Times New Roman" w:hAnsi="Times New Roman"/>
          <w:sz w:val="28"/>
        </w:rPr>
        <w:t>Стоянова Е.С. Финансовый менеджмент / Под ред. Стояновой Е.С. – М.: ЮНИТИ-ДАНА, 2009 – 422 с.</w:t>
      </w:r>
    </w:p>
    <w:p w:rsidR="00A629C8" w:rsidRPr="00A629C8" w:rsidRDefault="00A629C8" w:rsidP="00A629C8">
      <w:pPr>
        <w:pStyle w:val="ac"/>
        <w:numPr>
          <w:ilvl w:val="0"/>
          <w:numId w:val="21"/>
        </w:numPr>
        <w:tabs>
          <w:tab w:val="clear" w:pos="1211"/>
          <w:tab w:val="num" w:pos="0"/>
        </w:tabs>
        <w:spacing w:after="0" w:line="360" w:lineRule="auto"/>
        <w:ind w:hanging="1211"/>
        <w:rPr>
          <w:rFonts w:ascii="Times New Roman" w:hAnsi="Times New Roman"/>
          <w:sz w:val="28"/>
          <w:szCs w:val="28"/>
        </w:rPr>
      </w:pPr>
      <w:r w:rsidRPr="00A629C8">
        <w:rPr>
          <w:rFonts w:ascii="Times New Roman" w:hAnsi="Times New Roman"/>
          <w:sz w:val="28"/>
          <w:szCs w:val="28"/>
          <w:lang w:val="en-US"/>
        </w:rPr>
        <w:t>http</w:t>
      </w:r>
      <w:r w:rsidRPr="00A629C8">
        <w:rPr>
          <w:rFonts w:ascii="Times New Roman" w:hAnsi="Times New Roman"/>
          <w:sz w:val="28"/>
          <w:szCs w:val="28"/>
        </w:rPr>
        <w:t>://</w:t>
      </w:r>
      <w:r w:rsidRPr="00A629C8">
        <w:rPr>
          <w:rFonts w:ascii="Times New Roman" w:hAnsi="Times New Roman"/>
          <w:sz w:val="28"/>
          <w:szCs w:val="28"/>
          <w:lang w:val="en-US"/>
        </w:rPr>
        <w:t>www</w:t>
      </w:r>
      <w:r w:rsidRPr="00A629C8">
        <w:rPr>
          <w:rFonts w:ascii="Times New Roman" w:hAnsi="Times New Roman"/>
          <w:sz w:val="28"/>
          <w:szCs w:val="28"/>
        </w:rPr>
        <w:t>.</w:t>
      </w:r>
      <w:r w:rsidRPr="00A629C8">
        <w:rPr>
          <w:rFonts w:ascii="Times New Roman" w:hAnsi="Times New Roman"/>
          <w:sz w:val="28"/>
          <w:szCs w:val="28"/>
          <w:lang w:val="en-US"/>
        </w:rPr>
        <w:t>gks</w:t>
      </w:r>
      <w:r w:rsidRPr="00A629C8">
        <w:rPr>
          <w:rFonts w:ascii="Times New Roman" w:hAnsi="Times New Roman"/>
          <w:sz w:val="28"/>
          <w:szCs w:val="28"/>
        </w:rPr>
        <w:t>.</w:t>
      </w:r>
      <w:r w:rsidRPr="00A629C8">
        <w:rPr>
          <w:rFonts w:ascii="Times New Roman" w:hAnsi="Times New Roman"/>
          <w:sz w:val="28"/>
          <w:szCs w:val="28"/>
          <w:lang w:val="en-US"/>
        </w:rPr>
        <w:t>ru</w:t>
      </w:r>
      <w:r w:rsidRPr="00A629C8">
        <w:rPr>
          <w:rFonts w:ascii="Times New Roman" w:hAnsi="Times New Roman"/>
          <w:sz w:val="28"/>
          <w:szCs w:val="28"/>
        </w:rPr>
        <w:t>/</w:t>
      </w:r>
      <w:r w:rsidRPr="00A629C8">
        <w:rPr>
          <w:rFonts w:ascii="Times New Roman" w:hAnsi="Times New Roman"/>
          <w:sz w:val="28"/>
          <w:szCs w:val="28"/>
          <w:lang w:val="en-US"/>
        </w:rPr>
        <w:t>free</w:t>
      </w:r>
      <w:r w:rsidRPr="00A629C8">
        <w:rPr>
          <w:rFonts w:ascii="Times New Roman" w:hAnsi="Times New Roman"/>
          <w:sz w:val="28"/>
          <w:szCs w:val="28"/>
        </w:rPr>
        <w:t>_</w:t>
      </w:r>
      <w:r w:rsidRPr="00A629C8">
        <w:rPr>
          <w:rFonts w:ascii="Times New Roman" w:hAnsi="Times New Roman"/>
          <w:sz w:val="28"/>
          <w:szCs w:val="28"/>
          <w:lang w:val="en-US"/>
        </w:rPr>
        <w:t>doc</w:t>
      </w:r>
      <w:r w:rsidRPr="00A629C8">
        <w:rPr>
          <w:rFonts w:ascii="Times New Roman" w:hAnsi="Times New Roman"/>
          <w:sz w:val="28"/>
          <w:szCs w:val="28"/>
        </w:rPr>
        <w:t>/</w:t>
      </w:r>
      <w:r w:rsidRPr="00A629C8">
        <w:rPr>
          <w:rFonts w:ascii="Times New Roman" w:hAnsi="Times New Roman"/>
          <w:sz w:val="28"/>
          <w:szCs w:val="28"/>
          <w:lang w:val="en-US"/>
        </w:rPr>
        <w:t>new</w:t>
      </w:r>
      <w:r w:rsidRPr="00A629C8">
        <w:rPr>
          <w:rFonts w:ascii="Times New Roman" w:hAnsi="Times New Roman"/>
          <w:sz w:val="28"/>
          <w:szCs w:val="28"/>
        </w:rPr>
        <w:t>_</w:t>
      </w:r>
      <w:r w:rsidRPr="00A629C8">
        <w:rPr>
          <w:rFonts w:ascii="Times New Roman" w:hAnsi="Times New Roman"/>
          <w:sz w:val="28"/>
          <w:szCs w:val="28"/>
          <w:lang w:val="en-US"/>
        </w:rPr>
        <w:t>site</w:t>
      </w:r>
      <w:r w:rsidRPr="00A629C8">
        <w:rPr>
          <w:rFonts w:ascii="Times New Roman" w:hAnsi="Times New Roman"/>
          <w:sz w:val="28"/>
          <w:szCs w:val="28"/>
        </w:rPr>
        <w:t>/</w:t>
      </w:r>
      <w:r w:rsidRPr="00A629C8">
        <w:rPr>
          <w:rFonts w:ascii="Times New Roman" w:hAnsi="Times New Roman"/>
          <w:sz w:val="28"/>
          <w:szCs w:val="28"/>
          <w:lang w:val="en-US"/>
        </w:rPr>
        <w:t>finans</w:t>
      </w:r>
      <w:r w:rsidRPr="00A629C8">
        <w:rPr>
          <w:rFonts w:ascii="Times New Roman" w:hAnsi="Times New Roman"/>
          <w:sz w:val="28"/>
          <w:szCs w:val="28"/>
        </w:rPr>
        <w:t>/</w:t>
      </w:r>
      <w:r w:rsidRPr="00A629C8">
        <w:rPr>
          <w:rFonts w:ascii="Times New Roman" w:hAnsi="Times New Roman"/>
          <w:sz w:val="28"/>
          <w:szCs w:val="28"/>
          <w:lang w:val="en-US"/>
        </w:rPr>
        <w:t>gfi</w:t>
      </w:r>
      <w:r w:rsidRPr="00A629C8">
        <w:rPr>
          <w:rFonts w:ascii="Times New Roman" w:hAnsi="Times New Roman"/>
          <w:sz w:val="28"/>
          <w:szCs w:val="28"/>
        </w:rPr>
        <w:t>25.</w:t>
      </w:r>
      <w:r w:rsidRPr="00A629C8">
        <w:rPr>
          <w:rFonts w:ascii="Times New Roman" w:hAnsi="Times New Roman"/>
          <w:sz w:val="28"/>
          <w:szCs w:val="28"/>
          <w:lang w:val="en-US"/>
        </w:rPr>
        <w:t>htm</w:t>
      </w:r>
    </w:p>
    <w:p w:rsidR="003F0316" w:rsidRPr="003F0316" w:rsidRDefault="003F0316" w:rsidP="00754CDF">
      <w:pPr>
        <w:suppressAutoHyphens/>
        <w:spacing w:after="0" w:line="360" w:lineRule="auto"/>
        <w:ind w:left="1276"/>
        <w:rPr>
          <w:rFonts w:ascii="Times New Roman" w:hAnsi="Times New Roman"/>
          <w:sz w:val="28"/>
          <w:szCs w:val="28"/>
        </w:rPr>
      </w:pPr>
    </w:p>
    <w:sectPr w:rsidR="003F0316" w:rsidRPr="003F0316" w:rsidSect="0041047B">
      <w:headerReference w:type="default" r:id="rId53"/>
      <w:footerReference w:type="even" r:id="rId54"/>
      <w:footerReference w:type="default" r:id="rId55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9CE" w:rsidRDefault="00A409CE">
      <w:r>
        <w:separator/>
      </w:r>
    </w:p>
  </w:endnote>
  <w:endnote w:type="continuationSeparator" w:id="1">
    <w:p w:rsidR="00A409CE" w:rsidRDefault="00A40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DF" w:rsidRDefault="003004DF" w:rsidP="00B77009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04DF" w:rsidRDefault="003004D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DF" w:rsidRDefault="003004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9CE" w:rsidRDefault="00A409CE">
      <w:r>
        <w:separator/>
      </w:r>
    </w:p>
  </w:footnote>
  <w:footnote w:type="continuationSeparator" w:id="1">
    <w:p w:rsidR="00A409CE" w:rsidRDefault="00A40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0199"/>
    </w:sdtPr>
    <w:sdtContent>
      <w:p w:rsidR="003004DF" w:rsidRDefault="003004DF">
        <w:pPr>
          <w:pStyle w:val="ae"/>
          <w:jc w:val="center"/>
        </w:pPr>
        <w:fldSimple w:instr=" PAGE   \* MERGEFORMAT ">
          <w:r w:rsidR="006B7E9F">
            <w:rPr>
              <w:noProof/>
            </w:rPr>
            <w:t>12</w:t>
          </w:r>
        </w:fldSimple>
      </w:p>
    </w:sdtContent>
  </w:sdt>
  <w:p w:rsidR="003004DF" w:rsidRDefault="003004D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A14C5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9041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9D89D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7EE0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7BA43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5889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4635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C67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4D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A6A9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40821"/>
    <w:multiLevelType w:val="hybridMultilevel"/>
    <w:tmpl w:val="2A2646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2E37BBF"/>
    <w:multiLevelType w:val="hybridMultilevel"/>
    <w:tmpl w:val="29DE7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5C5748"/>
    <w:multiLevelType w:val="hybridMultilevel"/>
    <w:tmpl w:val="3E7450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145C46C4"/>
    <w:multiLevelType w:val="multilevel"/>
    <w:tmpl w:val="44106EE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abstractNum w:abstractNumId="14">
    <w:nsid w:val="150510EB"/>
    <w:multiLevelType w:val="multilevel"/>
    <w:tmpl w:val="5DDC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0B44C0C"/>
    <w:multiLevelType w:val="multilevel"/>
    <w:tmpl w:val="73641E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1652C6"/>
    <w:multiLevelType w:val="hybridMultilevel"/>
    <w:tmpl w:val="691822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9D668AE"/>
    <w:multiLevelType w:val="hybridMultilevel"/>
    <w:tmpl w:val="062C0592"/>
    <w:lvl w:ilvl="0" w:tplc="856856FA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C202FC5"/>
    <w:multiLevelType w:val="hybridMultilevel"/>
    <w:tmpl w:val="A8D23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C6DEB"/>
    <w:multiLevelType w:val="hybridMultilevel"/>
    <w:tmpl w:val="53648E9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0">
    <w:nsid w:val="61D03962"/>
    <w:multiLevelType w:val="hybridMultilevel"/>
    <w:tmpl w:val="692E8548"/>
    <w:lvl w:ilvl="0" w:tplc="02FCCDF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1FB37C0"/>
    <w:multiLevelType w:val="hybridMultilevel"/>
    <w:tmpl w:val="1F7C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3029E6"/>
    <w:multiLevelType w:val="multilevel"/>
    <w:tmpl w:val="A0B4B9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4903CFA"/>
    <w:multiLevelType w:val="hybridMultilevel"/>
    <w:tmpl w:val="244CFE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2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4"/>
  </w:num>
  <w:num w:numId="16">
    <w:abstractNumId w:val="23"/>
  </w:num>
  <w:num w:numId="17">
    <w:abstractNumId w:val="16"/>
  </w:num>
  <w:num w:numId="18">
    <w:abstractNumId w:val="11"/>
  </w:num>
  <w:num w:numId="19">
    <w:abstractNumId w:val="12"/>
  </w:num>
  <w:num w:numId="20">
    <w:abstractNumId w:val="13"/>
  </w:num>
  <w:num w:numId="21">
    <w:abstractNumId w:val="19"/>
  </w:num>
  <w:num w:numId="22">
    <w:abstractNumId w:val="17"/>
  </w:num>
  <w:num w:numId="23">
    <w:abstractNumId w:val="1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120"/>
    <w:rsid w:val="000130EF"/>
    <w:rsid w:val="000B27B7"/>
    <w:rsid w:val="000D2FB4"/>
    <w:rsid w:val="00161ACC"/>
    <w:rsid w:val="00171958"/>
    <w:rsid w:val="00181FDE"/>
    <w:rsid w:val="001C46B3"/>
    <w:rsid w:val="001D2590"/>
    <w:rsid w:val="001F031B"/>
    <w:rsid w:val="00226D52"/>
    <w:rsid w:val="00232224"/>
    <w:rsid w:val="00286590"/>
    <w:rsid w:val="002A2009"/>
    <w:rsid w:val="002A760A"/>
    <w:rsid w:val="002E3AAA"/>
    <w:rsid w:val="002E6705"/>
    <w:rsid w:val="003004DF"/>
    <w:rsid w:val="0031292D"/>
    <w:rsid w:val="0032354D"/>
    <w:rsid w:val="00331A14"/>
    <w:rsid w:val="00362DC1"/>
    <w:rsid w:val="00367120"/>
    <w:rsid w:val="003D44C4"/>
    <w:rsid w:val="003F0316"/>
    <w:rsid w:val="00407DF9"/>
    <w:rsid w:val="0041047B"/>
    <w:rsid w:val="004914DC"/>
    <w:rsid w:val="00506BA2"/>
    <w:rsid w:val="00586AA8"/>
    <w:rsid w:val="00597F2C"/>
    <w:rsid w:val="005D5CF3"/>
    <w:rsid w:val="005D7C18"/>
    <w:rsid w:val="005E319B"/>
    <w:rsid w:val="005F0D18"/>
    <w:rsid w:val="00657739"/>
    <w:rsid w:val="006747BC"/>
    <w:rsid w:val="006B7E9F"/>
    <w:rsid w:val="006F75FC"/>
    <w:rsid w:val="00744A10"/>
    <w:rsid w:val="00754CDF"/>
    <w:rsid w:val="007E7E50"/>
    <w:rsid w:val="0080312A"/>
    <w:rsid w:val="008162ED"/>
    <w:rsid w:val="008266FC"/>
    <w:rsid w:val="008766EB"/>
    <w:rsid w:val="008913B9"/>
    <w:rsid w:val="008A3C79"/>
    <w:rsid w:val="009462E0"/>
    <w:rsid w:val="009569D5"/>
    <w:rsid w:val="00984369"/>
    <w:rsid w:val="0099079F"/>
    <w:rsid w:val="009E609F"/>
    <w:rsid w:val="00A409CE"/>
    <w:rsid w:val="00A629C8"/>
    <w:rsid w:val="00B60B26"/>
    <w:rsid w:val="00B624C0"/>
    <w:rsid w:val="00B77009"/>
    <w:rsid w:val="00B82C7A"/>
    <w:rsid w:val="00BB67B9"/>
    <w:rsid w:val="00C27DE2"/>
    <w:rsid w:val="00C66212"/>
    <w:rsid w:val="00C7662F"/>
    <w:rsid w:val="00C833FA"/>
    <w:rsid w:val="00CC6A9A"/>
    <w:rsid w:val="00CE3401"/>
    <w:rsid w:val="00D06F0F"/>
    <w:rsid w:val="00D709BC"/>
    <w:rsid w:val="00D77C9C"/>
    <w:rsid w:val="00D86565"/>
    <w:rsid w:val="00D87049"/>
    <w:rsid w:val="00DB1C58"/>
    <w:rsid w:val="00DC097B"/>
    <w:rsid w:val="00DC4CED"/>
    <w:rsid w:val="00DD4C64"/>
    <w:rsid w:val="00E42BA9"/>
    <w:rsid w:val="00E55402"/>
    <w:rsid w:val="00E773DC"/>
    <w:rsid w:val="00EA452D"/>
    <w:rsid w:val="00EA4EDE"/>
    <w:rsid w:val="00F044C3"/>
    <w:rsid w:val="00F24616"/>
    <w:rsid w:val="00F25CDD"/>
    <w:rsid w:val="00F330D6"/>
    <w:rsid w:val="00F55EAD"/>
    <w:rsid w:val="00F84F81"/>
    <w:rsid w:val="00FC2BD9"/>
    <w:rsid w:val="00FD050B"/>
    <w:rsid w:val="00FD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21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F03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DB1C58"/>
    <w:pPr>
      <w:keepNext/>
      <w:spacing w:before="240" w:after="60"/>
      <w:outlineLvl w:val="1"/>
    </w:pPr>
    <w:rPr>
      <w:rFonts w:ascii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1F031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120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locked/>
    <w:rsid w:val="0036712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6712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367120"/>
    <w:pPr>
      <w:ind w:left="720"/>
      <w:contextualSpacing/>
    </w:pPr>
  </w:style>
  <w:style w:type="paragraph" w:styleId="20">
    <w:name w:val="Body Text Indent 2"/>
    <w:basedOn w:val="a"/>
    <w:rsid w:val="00EA4EDE"/>
    <w:pPr>
      <w:spacing w:after="120" w:line="480" w:lineRule="auto"/>
      <w:ind w:left="283"/>
    </w:pPr>
  </w:style>
  <w:style w:type="paragraph" w:styleId="a5">
    <w:name w:val="Normal (Web)"/>
    <w:basedOn w:val="a"/>
    <w:uiPriority w:val="99"/>
    <w:rsid w:val="00EA4E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EA4EDE"/>
    <w:rPr>
      <w:color w:val="0000FF"/>
      <w:u w:val="single"/>
    </w:rPr>
  </w:style>
  <w:style w:type="character" w:customStyle="1" w:styleId="apple-converted-space">
    <w:name w:val="apple-converted-space"/>
    <w:basedOn w:val="a0"/>
    <w:rsid w:val="00EA4EDE"/>
  </w:style>
  <w:style w:type="paragraph" w:styleId="a7">
    <w:name w:val="Body Text"/>
    <w:basedOn w:val="a"/>
    <w:rsid w:val="00EA4EDE"/>
    <w:pPr>
      <w:spacing w:after="120"/>
    </w:pPr>
  </w:style>
  <w:style w:type="character" w:styleId="a8">
    <w:name w:val="page number"/>
    <w:rsid w:val="00EA4EDE"/>
    <w:rPr>
      <w:rFonts w:cs="Times New Roman"/>
    </w:rPr>
  </w:style>
  <w:style w:type="paragraph" w:customStyle="1" w:styleId="ConsNonformat">
    <w:name w:val="ConsNonformat"/>
    <w:rsid w:val="00EA4E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12">
    <w:name w:val="toc 1"/>
    <w:basedOn w:val="a"/>
    <w:next w:val="a"/>
    <w:autoRedefine/>
    <w:semiHidden/>
    <w:locked/>
    <w:rsid w:val="00EA4EDE"/>
    <w:pPr>
      <w:spacing w:before="360" w:after="0"/>
    </w:pPr>
    <w:rPr>
      <w:rFonts w:ascii="Arial" w:hAnsi="Arial" w:cs="Arial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EA4EDE"/>
    <w:pPr>
      <w:spacing w:before="240" w:after="0"/>
    </w:pPr>
    <w:rPr>
      <w:rFonts w:ascii="Times New Roman" w:hAnsi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semiHidden/>
    <w:locked/>
    <w:rsid w:val="00EA4ED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4">
    <w:name w:val="toc 4"/>
    <w:basedOn w:val="a"/>
    <w:next w:val="a"/>
    <w:autoRedefine/>
    <w:semiHidden/>
    <w:locked/>
    <w:rsid w:val="00EA4EDE"/>
    <w:pPr>
      <w:spacing w:after="0"/>
      <w:ind w:left="440"/>
    </w:pPr>
    <w:rPr>
      <w:rFonts w:ascii="Times New Roman" w:hAnsi="Times New Roman"/>
      <w:sz w:val="20"/>
      <w:szCs w:val="20"/>
    </w:rPr>
  </w:style>
  <w:style w:type="paragraph" w:styleId="5">
    <w:name w:val="toc 5"/>
    <w:basedOn w:val="a"/>
    <w:next w:val="a"/>
    <w:autoRedefine/>
    <w:semiHidden/>
    <w:locked/>
    <w:rsid w:val="00EA4EDE"/>
    <w:pPr>
      <w:spacing w:after="0"/>
      <w:ind w:left="660"/>
    </w:pPr>
    <w:rPr>
      <w:rFonts w:ascii="Times New Roman" w:hAnsi="Times New Roman"/>
      <w:sz w:val="20"/>
      <w:szCs w:val="20"/>
    </w:rPr>
  </w:style>
  <w:style w:type="paragraph" w:styleId="6">
    <w:name w:val="toc 6"/>
    <w:basedOn w:val="a"/>
    <w:next w:val="a"/>
    <w:autoRedefine/>
    <w:semiHidden/>
    <w:locked/>
    <w:rsid w:val="00EA4EDE"/>
    <w:pPr>
      <w:spacing w:after="0"/>
      <w:ind w:left="880"/>
    </w:pPr>
    <w:rPr>
      <w:rFonts w:ascii="Times New Roman" w:hAnsi="Times New Roman"/>
      <w:sz w:val="20"/>
      <w:szCs w:val="20"/>
    </w:rPr>
  </w:style>
  <w:style w:type="paragraph" w:styleId="7">
    <w:name w:val="toc 7"/>
    <w:basedOn w:val="a"/>
    <w:next w:val="a"/>
    <w:autoRedefine/>
    <w:semiHidden/>
    <w:locked/>
    <w:rsid w:val="00EA4EDE"/>
    <w:pPr>
      <w:spacing w:after="0"/>
      <w:ind w:left="1100"/>
    </w:pPr>
    <w:rPr>
      <w:rFonts w:ascii="Times New Roman" w:hAnsi="Times New Roman"/>
      <w:sz w:val="20"/>
      <w:szCs w:val="20"/>
    </w:rPr>
  </w:style>
  <w:style w:type="paragraph" w:styleId="8">
    <w:name w:val="toc 8"/>
    <w:basedOn w:val="a"/>
    <w:next w:val="a"/>
    <w:autoRedefine/>
    <w:semiHidden/>
    <w:locked/>
    <w:rsid w:val="00EA4EDE"/>
    <w:pPr>
      <w:spacing w:after="0"/>
      <w:ind w:left="1320"/>
    </w:pPr>
    <w:rPr>
      <w:rFonts w:ascii="Times New Roman" w:hAnsi="Times New Roman"/>
      <w:sz w:val="20"/>
      <w:szCs w:val="20"/>
    </w:rPr>
  </w:style>
  <w:style w:type="paragraph" w:styleId="9">
    <w:name w:val="toc 9"/>
    <w:basedOn w:val="a"/>
    <w:next w:val="a"/>
    <w:autoRedefine/>
    <w:semiHidden/>
    <w:locked/>
    <w:rsid w:val="00EA4EDE"/>
    <w:pPr>
      <w:spacing w:after="0"/>
      <w:ind w:left="1540"/>
    </w:pPr>
    <w:rPr>
      <w:rFonts w:ascii="Times New Roman" w:hAnsi="Times New Roman"/>
      <w:sz w:val="20"/>
      <w:szCs w:val="20"/>
    </w:rPr>
  </w:style>
  <w:style w:type="paragraph" w:styleId="a9">
    <w:name w:val="footer"/>
    <w:basedOn w:val="a"/>
    <w:rsid w:val="00EA4ED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5D7C18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locked/>
    <w:rsid w:val="00D87049"/>
    <w:rPr>
      <w:b/>
      <w:bCs/>
    </w:rPr>
  </w:style>
  <w:style w:type="character" w:customStyle="1" w:styleId="udar">
    <w:name w:val="udar"/>
    <w:basedOn w:val="a0"/>
    <w:rsid w:val="00D87049"/>
  </w:style>
  <w:style w:type="character" w:customStyle="1" w:styleId="10">
    <w:name w:val="Заголовок 1 Знак"/>
    <w:basedOn w:val="a0"/>
    <w:link w:val="1"/>
    <w:rsid w:val="001F03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rsid w:val="001F031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c">
    <w:name w:val="List Paragraph"/>
    <w:basedOn w:val="a"/>
    <w:uiPriority w:val="34"/>
    <w:qFormat/>
    <w:rsid w:val="001D2590"/>
    <w:pPr>
      <w:ind w:left="720"/>
      <w:contextualSpacing/>
    </w:pPr>
  </w:style>
  <w:style w:type="character" w:styleId="ad">
    <w:name w:val="FollowedHyperlink"/>
    <w:basedOn w:val="a0"/>
    <w:rsid w:val="00E773DC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rsid w:val="0050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6BA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046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7549">
              <w:marLeft w:val="0"/>
              <w:marRight w:val="0"/>
              <w:marTop w:val="0"/>
              <w:marBottom w:val="31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1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hyperlink" Target="http://elite.bz/product_info.php?ref=15&amp;products_id=53914&amp;affiliate_banner_id=1" TargetMode="External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hyperlink" Target="http://kniga.biz.ua/book/bank/-1/699/partner=banks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hyperlink" Target="http://kniga.biz.ua/book/bank/-1/395/partner=banks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hyperlink" Target="http://shop.bambook.com/scripts/partner_link.bamboo_item?login=ukrbanks&amp;v=2&amp;iid=8867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6E675-6F7D-40FC-B895-14B8851F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4515</Words>
  <Characters>25739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/>
  <LinksUpToDate>false</LinksUpToDate>
  <CharactersWithSpaces>30194</CharactersWithSpaces>
  <SharedDoc>false</SharedDoc>
  <HLinks>
    <vt:vector size="66" baseType="variant">
      <vt:variant>
        <vt:i4>8061043</vt:i4>
      </vt:variant>
      <vt:variant>
        <vt:i4>105</vt:i4>
      </vt:variant>
      <vt:variant>
        <vt:i4>0</vt:i4>
      </vt:variant>
      <vt:variant>
        <vt:i4>5</vt:i4>
      </vt:variant>
      <vt:variant>
        <vt:lpwstr>http://kniga.biz.ua/book/bank/-1/395/partner=banks</vt:lpwstr>
      </vt:variant>
      <vt:variant>
        <vt:lpwstr/>
      </vt:variant>
      <vt:variant>
        <vt:i4>5177363</vt:i4>
      </vt:variant>
      <vt:variant>
        <vt:i4>102</vt:i4>
      </vt:variant>
      <vt:variant>
        <vt:i4>0</vt:i4>
      </vt:variant>
      <vt:variant>
        <vt:i4>5</vt:i4>
      </vt:variant>
      <vt:variant>
        <vt:lpwstr>http://shop.bambook.com/scripts/partner_link.bamboo_item?login=ukrbanks&amp;v=2&amp;iid=88676</vt:lpwstr>
      </vt:variant>
      <vt:variant>
        <vt:lpwstr/>
      </vt:variant>
      <vt:variant>
        <vt:i4>3473504</vt:i4>
      </vt:variant>
      <vt:variant>
        <vt:i4>99</vt:i4>
      </vt:variant>
      <vt:variant>
        <vt:i4>0</vt:i4>
      </vt:variant>
      <vt:variant>
        <vt:i4>5</vt:i4>
      </vt:variant>
      <vt:variant>
        <vt:lpwstr>http://elite.bz/product_info.php?ref=15&amp;products_id=53914&amp;affiliate_banner_id=1</vt:lpwstr>
      </vt:variant>
      <vt:variant>
        <vt:lpwstr/>
      </vt:variant>
      <vt:variant>
        <vt:i4>7471219</vt:i4>
      </vt:variant>
      <vt:variant>
        <vt:i4>96</vt:i4>
      </vt:variant>
      <vt:variant>
        <vt:i4>0</vt:i4>
      </vt:variant>
      <vt:variant>
        <vt:i4>5</vt:i4>
      </vt:variant>
      <vt:variant>
        <vt:lpwstr>http://kniga.biz.ua/book/bank/-1/699/partner=banks</vt:lpwstr>
      </vt:variant>
      <vt:variant>
        <vt:lpwstr/>
      </vt:variant>
      <vt:variant>
        <vt:i4>1835026</vt:i4>
      </vt:variant>
      <vt:variant>
        <vt:i4>36</vt:i4>
      </vt:variant>
      <vt:variant>
        <vt:i4>0</vt:i4>
      </vt:variant>
      <vt:variant>
        <vt:i4>5</vt:i4>
      </vt:variant>
      <vt:variant>
        <vt:lpwstr>http://slovari.yandex.ru/~%D0%BA%D0%BD%D0%B8%D0%B3%D0%B8/%D0%91%D0%A1%D0%AD/</vt:lpwstr>
      </vt:variant>
      <vt:variant>
        <vt:lpwstr/>
      </vt:variant>
      <vt:variant>
        <vt:i4>4522110</vt:i4>
      </vt:variant>
      <vt:variant>
        <vt:i4>33</vt:i4>
      </vt:variant>
      <vt:variant>
        <vt:i4>0</vt:i4>
      </vt:variant>
      <vt:variant>
        <vt:i4>5</vt:i4>
      </vt:variant>
      <vt:variant>
        <vt:lpwstr>https://ru.wikipedia.org/wiki/%D0%9A%D1%80%D0%B5%D0%B4%D0%B8%D1%82%D0%BD%D1%8B%D0%B5_%D0%B4%D0%B5%D0%BD%D1%8C%D0%B3%D0%B8</vt:lpwstr>
      </vt:variant>
      <vt:variant>
        <vt:lpwstr/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_Toc401318495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_Toc401318494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_Toc401318493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_Toc401318492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_Toc401318491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Acer5520</dc:creator>
  <cp:keywords/>
  <cp:lastModifiedBy>Ксения</cp:lastModifiedBy>
  <cp:revision>19</cp:revision>
  <cp:lastPrinted>2014-12-12T12:46:00Z</cp:lastPrinted>
  <dcterms:created xsi:type="dcterms:W3CDTF">2014-10-17T14:51:00Z</dcterms:created>
  <dcterms:modified xsi:type="dcterms:W3CDTF">2014-12-12T12:54:00Z</dcterms:modified>
</cp:coreProperties>
</file>