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20A" w:rsidRDefault="0039020A" w:rsidP="0039020A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sdt>
      <w:sdtPr>
        <w:id w:val="13827331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39020A" w:rsidRDefault="0039020A" w:rsidP="0039020A">
          <w:pPr>
            <w:pStyle w:val="af1"/>
            <w:spacing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39020A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39020A" w:rsidRPr="0039020A" w:rsidRDefault="0039020A" w:rsidP="0039020A"/>
        <w:p w:rsidR="0039020A" w:rsidRPr="0039020A" w:rsidRDefault="0039020A" w:rsidP="0039020A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39020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9020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9020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35189530" w:history="1">
            <w:r w:rsidRPr="0039020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1. Теоретические аспекты</w: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_Toc435189530 \h </w:instrTex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020A" w:rsidRPr="0039020A" w:rsidRDefault="0039020A" w:rsidP="0039020A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5189531" w:history="1">
            <w:r w:rsidRPr="0039020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1.1. Сущность страхования жизни</w: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_Toc435189531 \h </w:instrTex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020A" w:rsidRPr="0039020A" w:rsidRDefault="0039020A" w:rsidP="0039020A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5189532" w:history="1">
            <w:r w:rsidRPr="0039020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2. Виды страхования жизни</w: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_Toc435189532 \h </w:instrTex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020A" w:rsidRPr="0039020A" w:rsidRDefault="0039020A" w:rsidP="0039020A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5189533" w:history="1">
            <w:r w:rsidRPr="0039020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2.1. Программа </w:t>
            </w:r>
            <w:r w:rsidRPr="0039020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ru-RU"/>
              </w:rPr>
              <w:t>Unit</w:t>
            </w:r>
            <w:r w:rsidRPr="0039020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-</w:t>
            </w:r>
            <w:r w:rsidRPr="0039020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ru-RU"/>
              </w:rPr>
              <w:t>linked</w:t>
            </w:r>
            <w:r w:rsidRPr="0039020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39020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 в России</w: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_Toc435189533 \h </w:instrTex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020A" w:rsidRPr="0039020A" w:rsidRDefault="0039020A" w:rsidP="0039020A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5189534" w:history="1">
            <w:r w:rsidRPr="0039020A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_Toc435189534 \h </w:instrTex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3902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020A" w:rsidRDefault="0039020A" w:rsidP="0039020A">
          <w:pPr>
            <w:spacing w:line="360" w:lineRule="auto"/>
            <w:jc w:val="both"/>
          </w:pPr>
          <w:r w:rsidRPr="0039020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39020A" w:rsidRDefault="0039020A" w:rsidP="0039020A">
      <w:pPr>
        <w:rPr>
          <w:rFonts w:eastAsiaTheme="majorEastAsia"/>
        </w:rPr>
      </w:pPr>
      <w:r>
        <w:t xml:space="preserve"> </w:t>
      </w:r>
      <w:r>
        <w:br w:type="page"/>
      </w:r>
    </w:p>
    <w:p w:rsidR="006C0180" w:rsidRPr="0039020A" w:rsidRDefault="0039020A" w:rsidP="0039020A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_Toc43518953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</w:t>
      </w:r>
      <w:r w:rsidR="006C0180" w:rsidRPr="0039020A">
        <w:rPr>
          <w:rFonts w:ascii="Times New Roman" w:hAnsi="Times New Roman" w:cs="Times New Roman"/>
          <w:b w:val="0"/>
          <w:color w:val="auto"/>
          <w:sz w:val="28"/>
          <w:szCs w:val="28"/>
        </w:rPr>
        <w:t>Теоретические аспекты</w:t>
      </w:r>
      <w:bookmarkEnd w:id="0"/>
    </w:p>
    <w:p w:rsidR="001E5FDF" w:rsidRDefault="001E5FDF" w:rsidP="0039020A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435189531"/>
      <w:r w:rsidRPr="0039020A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6C0180" w:rsidRPr="0039020A">
        <w:rPr>
          <w:rFonts w:ascii="Times New Roman" w:hAnsi="Times New Roman" w:cs="Times New Roman"/>
          <w:b w:val="0"/>
          <w:color w:val="auto"/>
          <w:sz w:val="28"/>
          <w:szCs w:val="28"/>
        </w:rPr>
        <w:t>.1.</w:t>
      </w:r>
      <w:r w:rsidRPr="0039020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Сущность страхования жизни</w:t>
      </w:r>
      <w:bookmarkEnd w:id="1"/>
    </w:p>
    <w:p w:rsidR="0039020A" w:rsidRPr="0039020A" w:rsidRDefault="0039020A" w:rsidP="0039020A">
      <w:pPr>
        <w:spacing w:after="0" w:line="360" w:lineRule="auto"/>
      </w:pPr>
    </w:p>
    <w:p w:rsidR="001E5FDF" w:rsidRPr="00A53D66" w:rsidRDefault="001E5FDF" w:rsidP="001E5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D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страхованием жизни принято понимать предоставление страховщиком в обмен на уплату страховых премий гарантии выплатить определенную сумму денег (</w:t>
      </w:r>
      <w:hyperlink r:id="rId8" w:tooltip="Страховая сумма" w:history="1">
        <w:r w:rsidRPr="00A53D6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страховую сумму</w:t>
        </w:r>
      </w:hyperlink>
      <w:r w:rsidRPr="00A53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страхователю или указанным им третьим лицам в случае </w:t>
      </w:r>
      <w:r w:rsidR="0039020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смерти застрахованного или его д</w:t>
      </w:r>
      <w:r w:rsidRPr="00A53D66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ожития до определенного срока</w:t>
      </w:r>
      <w:r w:rsidR="00390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020A" w:rsidRPr="0039020A">
        <w:rPr>
          <w:rFonts w:ascii="Times New Roman" w:eastAsia="Times New Roman" w:hAnsi="Times New Roman" w:cs="Times New Roman"/>
          <w:sz w:val="28"/>
          <w:szCs w:val="28"/>
          <w:lang w:eastAsia="ru-RU"/>
        </w:rPr>
        <w:t>[2</w:t>
      </w:r>
      <w:r w:rsidR="0039020A">
        <w:rPr>
          <w:rFonts w:ascii="Times New Roman" w:eastAsia="Times New Roman" w:hAnsi="Times New Roman" w:cs="Times New Roman"/>
          <w:sz w:val="28"/>
          <w:szCs w:val="28"/>
          <w:lang w:eastAsia="ru-RU"/>
        </w:rPr>
        <w:t>, с. 385</w:t>
      </w:r>
      <w:r w:rsidR="0039020A" w:rsidRPr="0039020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390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53D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практика, естественно привносит определенные изменения и усовершенствования в механизм осуществления такой страховой гарантии, особенно в части Развития накопительных или инвестиционных форм страхования жизни, однако не затрагивает общих методологических принципов страхования жизни.</w:t>
      </w:r>
    </w:p>
    <w:p w:rsidR="001E5FDF" w:rsidRPr="007A4D4F" w:rsidRDefault="001E5FDF" w:rsidP="001E5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D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Гражданском кодексе</w:t>
      </w:r>
      <w:r w:rsidR="007A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</w:t>
      </w:r>
      <w:r w:rsidRPr="00A53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определении говора личного страхования дается более широкое толкование всей отрасли личного страхования и страхования жизни, в частности, относительно страхуемых рисков: </w:t>
      </w:r>
      <w:proofErr w:type="gramStart"/>
      <w:r w:rsidRPr="00A53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53D6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договору личного страхования одна сторона (страховщик) обязуется за обусловленную договором плату (страховую премию), уплачиваемую другой стороной (страхователем), выплатить единовременно или выплачивать периодически обусловленную договором сумму (страховую сумму) в случае причинения вреда жизни или здоровью самого страхователя или другого названного в договоре гражданина (застрахованного лица), </w:t>
      </w:r>
      <w:r w:rsidRPr="00A53D6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достижения им определенного возраста или наступления в его жизни иного предусмотренного договором события (страхового случая</w:t>
      </w:r>
      <w:proofErr w:type="gramEnd"/>
      <w:r w:rsidRPr="00A53D6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7A4D4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A4D4F" w:rsidRPr="007A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proofErr w:type="gramStart"/>
      <w:r w:rsidR="007A4D4F" w:rsidRPr="007A4D4F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7A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гл.48, ст.</w:t>
      </w:r>
      <w:r w:rsidR="007A4D4F" w:rsidRPr="00A53D66">
        <w:rPr>
          <w:rFonts w:ascii="Times New Roman" w:eastAsia="Times New Roman" w:hAnsi="Times New Roman" w:cs="Times New Roman"/>
          <w:sz w:val="28"/>
          <w:szCs w:val="28"/>
          <w:lang w:eastAsia="ru-RU"/>
        </w:rPr>
        <w:t>934</w:t>
      </w:r>
      <w:r w:rsidR="007A4D4F" w:rsidRPr="007A4D4F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7A4D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72FC2" w:rsidRPr="007A4D4F" w:rsidRDefault="00F72FC2" w:rsidP="00B123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F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данный вид страхования на сегодня занимает 11% страхового рынка, но при этом демонстрирует самые высокие темпы роста среди сегменто</w:t>
      </w:r>
      <w:r w:rsidR="00B12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рынка в течение последних лет. </w:t>
      </w:r>
      <w:proofErr w:type="gramStart"/>
      <w:r w:rsidRPr="00F72FC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по итогам 2014 г. – 11%</w:t>
      </w:r>
      <w:r w:rsidR="00B12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2346" w:rsidRPr="00B12346">
        <w:rPr>
          <w:rFonts w:ascii="Times New Roman" w:eastAsia="Times New Roman" w:hAnsi="Times New Roman" w:cs="Times New Roman"/>
          <w:sz w:val="28"/>
          <w:szCs w:val="28"/>
          <w:lang w:eastAsia="ru-RU"/>
        </w:rPr>
        <w:t>(средние темпы боле</w:t>
      </w:r>
      <w:r w:rsidR="007A4D4F">
        <w:rPr>
          <w:rFonts w:ascii="Times New Roman" w:eastAsia="Times New Roman" w:hAnsi="Times New Roman" w:cs="Times New Roman"/>
          <w:sz w:val="28"/>
          <w:szCs w:val="28"/>
          <w:lang w:eastAsia="ru-RU"/>
        </w:rPr>
        <w:t>е 45% в год за последние 5 лет)</w:t>
      </w:r>
      <w:r w:rsidR="007A4D4F" w:rsidRPr="007A4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[3].</w:t>
      </w:r>
      <w:proofErr w:type="gramEnd"/>
    </w:p>
    <w:p w:rsidR="001E5FDF" w:rsidRDefault="001E5FDF" w:rsidP="001E5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D6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Страхуемый риск при страховании жизни — это продолжительность человеческой жизни. Риском является не сама смерть, а время ее наступления. Поэтому страхуемый риск имеет три аспекта:</w:t>
      </w:r>
    </w:p>
    <w:p w:rsidR="001E5FDF" w:rsidRDefault="001E5FDF" w:rsidP="001E5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53D6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вероятность умереть в молодом возрасте или ранее средней продолжительности жизни;</w:t>
      </w:r>
    </w:p>
    <w:p w:rsidR="001E5FDF" w:rsidRDefault="001E5FDF" w:rsidP="003902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53D6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вероятность умереть или выжить в течение определенного периода времени;</w:t>
      </w:r>
    </w:p>
    <w:p w:rsidR="001E5FDF" w:rsidRPr="00B12346" w:rsidRDefault="001E5FDF" w:rsidP="003902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53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вероятность жить в старости, имея большую продолжительность жизни, что требует получения регулярных доходов без продолжения </w:t>
      </w:r>
      <w:r w:rsidRPr="00B12346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деятельности.</w:t>
      </w:r>
    </w:p>
    <w:p w:rsidR="00B12346" w:rsidRPr="00B12346" w:rsidRDefault="00B12346" w:rsidP="0039020A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12346">
        <w:rPr>
          <w:color w:val="000000"/>
          <w:sz w:val="28"/>
          <w:szCs w:val="28"/>
        </w:rPr>
        <w:t xml:space="preserve">Ключевой проблемой рынка страхования жизни остается отсутствие долгосрочных источников роста – налоговые льготы до сих пор не введены, возможность реализации продуктов </w:t>
      </w:r>
      <w:proofErr w:type="spellStart"/>
      <w:r w:rsidRPr="00B12346">
        <w:rPr>
          <w:color w:val="000000"/>
          <w:sz w:val="28"/>
          <w:szCs w:val="28"/>
        </w:rPr>
        <w:t>unit-linked</w:t>
      </w:r>
      <w:proofErr w:type="spellEnd"/>
      <w:r w:rsidRPr="00B12346">
        <w:rPr>
          <w:color w:val="000000"/>
          <w:sz w:val="28"/>
          <w:szCs w:val="28"/>
        </w:rPr>
        <w:t xml:space="preserve"> законодательно не закреплена.</w:t>
      </w:r>
    </w:p>
    <w:p w:rsidR="00B12346" w:rsidRPr="00B12346" w:rsidRDefault="00B12346" w:rsidP="003902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протяжении последних трех лет взрывной ро</w:t>
      </w:r>
      <w:proofErr w:type="gramStart"/>
      <w:r w:rsidRPr="00B12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 стр</w:t>
      </w:r>
      <w:proofErr w:type="gramEnd"/>
      <w:r w:rsidRPr="00B12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ахования жизни происходил в основном за счет резкого увеличения страхования заемщиков в связи с бурным развитием кредитования.</w:t>
      </w:r>
    </w:p>
    <w:p w:rsidR="00B12346" w:rsidRPr="00B12346" w:rsidRDefault="00B12346" w:rsidP="0039020A">
      <w:pPr>
        <w:spacing w:after="125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34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4465182" cy="279885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1917" t="17498" r="42077" b="42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182" cy="2798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346" w:rsidRPr="00B12346" w:rsidRDefault="00B12346" w:rsidP="0039020A">
      <w:pPr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18. Полугодовая динамика взносов и выплат по страхованию: «Эксперт РА» по данным ЦБ, ФСФР, ФССН</w:t>
      </w:r>
    </w:p>
    <w:p w:rsidR="00B12346" w:rsidRPr="007A4D4F" w:rsidRDefault="00B12346" w:rsidP="003902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2014 году вслед за спадом темпов прироста объемов выдаваемых кредитов и активной деятельностью страховщиков по продвижению продуктов по страхованию жизни, не связанных с кредитованием, новым драйвером роста рынка стали программ</w:t>
      </w:r>
      <w:r w:rsidR="007A4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 инвестиционной составляющей</w:t>
      </w:r>
      <w:r w:rsidRPr="00B12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</w:t>
      </w:r>
      <w:r w:rsidR="007A4D4F" w:rsidRPr="007A4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4].</w:t>
      </w:r>
    </w:p>
    <w:p w:rsidR="006C0180" w:rsidRDefault="006C0180" w:rsidP="0039020A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32"/>
        </w:rPr>
      </w:pPr>
      <w:bookmarkStart w:id="2" w:name="_Toc435189532"/>
      <w:r w:rsidRPr="0039020A">
        <w:rPr>
          <w:rFonts w:ascii="Times New Roman" w:hAnsi="Times New Roman" w:cs="Times New Roman"/>
          <w:b w:val="0"/>
          <w:color w:val="auto"/>
          <w:sz w:val="28"/>
          <w:szCs w:val="32"/>
        </w:rPr>
        <w:t>2</w:t>
      </w:r>
      <w:r w:rsidR="0039020A">
        <w:rPr>
          <w:rFonts w:ascii="Times New Roman" w:hAnsi="Times New Roman" w:cs="Times New Roman"/>
          <w:b w:val="0"/>
          <w:color w:val="auto"/>
          <w:sz w:val="28"/>
          <w:szCs w:val="32"/>
        </w:rPr>
        <w:t>.</w:t>
      </w:r>
      <w:r w:rsidRPr="0039020A">
        <w:rPr>
          <w:rFonts w:ascii="Times New Roman" w:hAnsi="Times New Roman" w:cs="Times New Roman"/>
          <w:b w:val="0"/>
          <w:color w:val="auto"/>
          <w:sz w:val="28"/>
          <w:szCs w:val="32"/>
        </w:rPr>
        <w:t xml:space="preserve"> Виды страхования жизни</w:t>
      </w:r>
      <w:bookmarkEnd w:id="2"/>
    </w:p>
    <w:p w:rsidR="0039020A" w:rsidRPr="0039020A" w:rsidRDefault="0039020A" w:rsidP="0039020A"/>
    <w:p w:rsidR="00B12346" w:rsidRPr="0039020A" w:rsidRDefault="00B12346" w:rsidP="001A19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>Все многообразие программ страхования жизни, предлагаемых сегодня страховыми компаниями, можно разделить на несколько основных групп:</w:t>
      </w:r>
    </w:p>
    <w:p w:rsidR="00B12346" w:rsidRPr="0039020A" w:rsidRDefault="00B12346" w:rsidP="001A1958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 xml:space="preserve">Рисковое страхование жизни -  подразумевает под собой страховую защиту в случае наступления неблагоприятных событий, связанных с жизнью и здоровьем застрахованного лица. Разновидностью рискового страхования выступает </w:t>
      </w:r>
      <w:r w:rsidRPr="0039020A">
        <w:rPr>
          <w:rFonts w:ascii="Times New Roman" w:hAnsi="Times New Roman" w:cs="Times New Roman"/>
          <w:i/>
          <w:sz w:val="28"/>
          <w:szCs w:val="28"/>
        </w:rPr>
        <w:t>кредитное страхование жизни</w:t>
      </w:r>
      <w:r w:rsidRPr="0039020A">
        <w:rPr>
          <w:rFonts w:ascii="Times New Roman" w:hAnsi="Times New Roman" w:cs="Times New Roman"/>
          <w:sz w:val="28"/>
          <w:szCs w:val="28"/>
        </w:rPr>
        <w:t xml:space="preserve">, при котором </w:t>
      </w:r>
      <w:proofErr w:type="spellStart"/>
      <w:r w:rsidRPr="0039020A">
        <w:rPr>
          <w:rFonts w:ascii="Times New Roman" w:hAnsi="Times New Roman" w:cs="Times New Roman"/>
          <w:sz w:val="28"/>
          <w:szCs w:val="28"/>
        </w:rPr>
        <w:t>выгодоприобретателем</w:t>
      </w:r>
      <w:proofErr w:type="spellEnd"/>
      <w:r w:rsidRPr="0039020A">
        <w:rPr>
          <w:rFonts w:ascii="Times New Roman" w:hAnsi="Times New Roman" w:cs="Times New Roman"/>
          <w:sz w:val="28"/>
          <w:szCs w:val="28"/>
        </w:rPr>
        <w:t xml:space="preserve"> выступает банк, выдавший кредит. Оно нужно для того, чтобы при самом негативном сценарии бремя выплаты кредита не легло на плечи </w:t>
      </w:r>
      <w:proofErr w:type="gramStart"/>
      <w:r w:rsidRPr="0039020A">
        <w:rPr>
          <w:rFonts w:ascii="Times New Roman" w:hAnsi="Times New Roman" w:cs="Times New Roman"/>
          <w:sz w:val="28"/>
          <w:szCs w:val="28"/>
        </w:rPr>
        <w:t>близких</w:t>
      </w:r>
      <w:proofErr w:type="gramEnd"/>
      <w:r w:rsidRPr="0039020A">
        <w:rPr>
          <w:rFonts w:ascii="Times New Roman" w:hAnsi="Times New Roman" w:cs="Times New Roman"/>
          <w:sz w:val="28"/>
          <w:szCs w:val="28"/>
        </w:rPr>
        <w:t>.</w:t>
      </w:r>
    </w:p>
    <w:p w:rsidR="001A1958" w:rsidRPr="0039020A" w:rsidRDefault="001A1958" w:rsidP="001A19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 xml:space="preserve">Такие программы при сравнительно небольших взносах позволяют получить высокую страховую защиту. </w:t>
      </w:r>
      <w:proofErr w:type="gramStart"/>
      <w:r w:rsidRPr="0039020A">
        <w:rPr>
          <w:rFonts w:ascii="Times New Roman" w:hAnsi="Times New Roman" w:cs="Times New Roman"/>
          <w:sz w:val="28"/>
          <w:szCs w:val="28"/>
        </w:rPr>
        <w:t xml:space="preserve">Полис можно заключать на срок от </w:t>
      </w:r>
      <w:r w:rsidRPr="0039020A">
        <w:rPr>
          <w:rFonts w:ascii="Times New Roman" w:hAnsi="Times New Roman" w:cs="Times New Roman"/>
          <w:sz w:val="28"/>
          <w:szCs w:val="28"/>
        </w:rPr>
        <w:lastRenderedPageBreak/>
        <w:t>года до 20 и более лет, вплоть до пожизненного, с уплатой взносов единовременно или на регулярной основе.</w:t>
      </w:r>
      <w:proofErr w:type="gramEnd"/>
      <w:r w:rsidRPr="0039020A">
        <w:rPr>
          <w:rFonts w:ascii="Times New Roman" w:hAnsi="Times New Roman" w:cs="Times New Roman"/>
          <w:sz w:val="28"/>
          <w:szCs w:val="28"/>
        </w:rPr>
        <w:t xml:space="preserve"> При этом размер взноса и желаемый объем страховой защиты клиент может определить самостоятельно на основе своих потребностей. Рисковое страхование жизни часто включает в себя по желанию клиента дополнительные программы (опции), который предусматривают специальные выплаты при инвалидности, травмах, критических (смертельно опасных для жизни) заболеваниях и других неблагоприятных событиях.   </w:t>
      </w:r>
    </w:p>
    <w:p w:rsidR="00B5079B" w:rsidRPr="0039020A" w:rsidRDefault="00B5079B" w:rsidP="001A19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>Рисковое страхование жизни и страхование от несчастных случаев и болезней (доля премий страховщиков жизни 7,2%) направлено на формирование финансовой защиты на случай неблагоприятных событий,  таких как инвалидность, уход из жизни, потеря кормильца, серьезная травма</w:t>
      </w:r>
      <w:r w:rsidR="007A4D4F" w:rsidRPr="0039020A">
        <w:rPr>
          <w:rFonts w:ascii="Times New Roman" w:hAnsi="Times New Roman" w:cs="Times New Roman"/>
          <w:sz w:val="28"/>
          <w:szCs w:val="28"/>
        </w:rPr>
        <w:t xml:space="preserve"> [5].</w:t>
      </w:r>
    </w:p>
    <w:p w:rsidR="00B12346" w:rsidRPr="0039020A" w:rsidRDefault="00B12346" w:rsidP="001A1958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>Накопительное страхование жизни – это возможность создания накопления к определенной дате или событию, а также одновременная страховая защита жизни и здоровья.</w:t>
      </w:r>
    </w:p>
    <w:p w:rsidR="001A1958" w:rsidRPr="0039020A" w:rsidRDefault="001A1958" w:rsidP="001A1958">
      <w:pPr>
        <w:pStyle w:val="a8"/>
        <w:numPr>
          <w:ilvl w:val="0"/>
          <w:numId w:val="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>Механизм их работы следующий: начиная с первого взноса по договору, клиент получает страховую защиту:</w:t>
      </w:r>
    </w:p>
    <w:p w:rsidR="001A1958" w:rsidRPr="0039020A" w:rsidRDefault="001A1958" w:rsidP="001A1958">
      <w:pPr>
        <w:pStyle w:val="a8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>По риску «дожитие» - гарантированную выплату накоплений, которые вернутся клиенту в будущем по окончании срока страхования;</w:t>
      </w:r>
    </w:p>
    <w:p w:rsidR="004E7258" w:rsidRPr="0039020A" w:rsidRDefault="001A1958" w:rsidP="004E7258">
      <w:pPr>
        <w:pStyle w:val="a8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>По риску «уход из жизни», гарантированную выплату назначенным людям или наследникам по закону (</w:t>
      </w:r>
      <w:proofErr w:type="spellStart"/>
      <w:r w:rsidRPr="0039020A">
        <w:rPr>
          <w:rFonts w:ascii="Times New Roman" w:hAnsi="Times New Roman" w:cs="Times New Roman"/>
          <w:sz w:val="28"/>
          <w:szCs w:val="28"/>
        </w:rPr>
        <w:t>выгодоприобретателям</w:t>
      </w:r>
      <w:proofErr w:type="spellEnd"/>
      <w:r w:rsidRPr="0039020A">
        <w:rPr>
          <w:rFonts w:ascii="Times New Roman" w:hAnsi="Times New Roman" w:cs="Times New Roman"/>
          <w:sz w:val="28"/>
          <w:szCs w:val="28"/>
        </w:rPr>
        <w:t xml:space="preserve">) в случае ухода застрахованного человека из жизни. </w:t>
      </w:r>
    </w:p>
    <w:p w:rsidR="001A1958" w:rsidRPr="0039020A" w:rsidRDefault="004E7258" w:rsidP="00B5079B">
      <w:pPr>
        <w:pStyle w:val="a8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>Сегмент накопительного страхования жизни составляет 21% от всех собранных страховщиками жизни премий. Программы накопительного страхования жизни предусматривают финансовые гарантии при неблагоприятных событиях в жизни человека, а также направлены  на сохранение и приумножение сбережений населения и юридических лиц</w:t>
      </w:r>
      <w:r w:rsidR="007A4D4F" w:rsidRPr="0039020A">
        <w:rPr>
          <w:rFonts w:ascii="Times New Roman" w:hAnsi="Times New Roman" w:cs="Times New Roman"/>
          <w:sz w:val="28"/>
          <w:szCs w:val="28"/>
        </w:rPr>
        <w:t xml:space="preserve"> [5]. </w:t>
      </w:r>
      <w:r w:rsidR="00B5079B" w:rsidRPr="003902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958" w:rsidRPr="0039020A" w:rsidRDefault="001A1958" w:rsidP="001A1958">
      <w:pPr>
        <w:pStyle w:val="a8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 xml:space="preserve">Такие полисы заключаются на сроки от года до 20 и более лет. Страховые суммы по этим двум основным рискам могут быть равны или </w:t>
      </w:r>
      <w:r w:rsidRPr="0039020A">
        <w:rPr>
          <w:rFonts w:ascii="Times New Roman" w:hAnsi="Times New Roman" w:cs="Times New Roman"/>
          <w:sz w:val="28"/>
          <w:szCs w:val="28"/>
        </w:rPr>
        <w:lastRenderedPageBreak/>
        <w:t xml:space="preserve">отличаться, и будут тем выше, чем больше взнос. Так обеспечивается комплексная страховая защита: клиент копит деньги, и в то же время его жизнь застрахована.  Полисы адресованы, в первую очередь кормильцам семей, тем, от кого финансово зависят другие люди. </w:t>
      </w:r>
    </w:p>
    <w:p w:rsidR="00B12346" w:rsidRPr="0039020A" w:rsidRDefault="00B12346" w:rsidP="001A195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 xml:space="preserve">Пенсионное страхование жизни – вид страхования, который позволяет клиенту самостоятельно формировать свой пенсионный капитал и гарантирует выплаты дополнительной (к государственной) пенсии пожизненно или в течение определенного периода. </w:t>
      </w:r>
    </w:p>
    <w:p w:rsidR="00B5079B" w:rsidRPr="0039020A" w:rsidRDefault="001A1958" w:rsidP="00B5079B">
      <w:pPr>
        <w:pStyle w:val="a8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 xml:space="preserve">Во многом данный вид страхования повторяет накопительное страхование жизни – клиент определяет размер дополнительной (к государственной) пенсии, который он планирует получать, уплачивает взносы и к пенсионному возрасту или более позднему сроку получает сформированный пенсионный резерв. </w:t>
      </w:r>
    </w:p>
    <w:p w:rsidR="00B5079B" w:rsidRPr="0039020A" w:rsidRDefault="00B5079B" w:rsidP="00B5079B">
      <w:pPr>
        <w:pStyle w:val="a8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>Пенсионное страхование реализует важнейшую функцию, выраженную в формировании дополнительной пенсии и в снижении нагрузки на бюджет (1,2% премий страховщиков жизни в 2013 году</w:t>
      </w:r>
      <w:r w:rsidR="007A4D4F" w:rsidRPr="0039020A">
        <w:rPr>
          <w:rFonts w:ascii="Times New Roman" w:hAnsi="Times New Roman" w:cs="Times New Roman"/>
          <w:sz w:val="28"/>
          <w:szCs w:val="28"/>
        </w:rPr>
        <w:t>) [5].</w:t>
      </w:r>
    </w:p>
    <w:p w:rsidR="00B12346" w:rsidRPr="0039020A" w:rsidRDefault="00B12346" w:rsidP="00B5079B">
      <w:pPr>
        <w:pStyle w:val="a8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>Инвестиционное страхование жизни – инструмент инвестирования с возможностью получить потенциально высокий доход, в случае реализации выбранной инвестиционной идеи, и гарантия возврата взноса, если рынок устремится вниз. При этом программа включает и страховую защиту на случай ухода из жизни.</w:t>
      </w:r>
    </w:p>
    <w:p w:rsidR="001A1958" w:rsidRPr="0039020A" w:rsidRDefault="001A1958" w:rsidP="001A1958">
      <w:pPr>
        <w:pStyle w:val="a8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 xml:space="preserve">В программах инвестиционного страхования жизни сумма денежных средств, вложенных клиентом, делится на два фонда: гарантийный и инвестиционный (рисковой). Цель гарантийного фонда </w:t>
      </w:r>
      <w:proofErr w:type="gramStart"/>
      <w:r w:rsidRPr="0039020A">
        <w:rPr>
          <w:rFonts w:ascii="Times New Roman" w:hAnsi="Times New Roman" w:cs="Times New Roman"/>
          <w:sz w:val="28"/>
          <w:szCs w:val="28"/>
        </w:rPr>
        <w:t>обеспечить гарантию</w:t>
      </w:r>
      <w:proofErr w:type="gramEnd"/>
      <w:r w:rsidRPr="0039020A">
        <w:rPr>
          <w:rFonts w:ascii="Times New Roman" w:hAnsi="Times New Roman" w:cs="Times New Roman"/>
          <w:sz w:val="28"/>
          <w:szCs w:val="28"/>
        </w:rPr>
        <w:t xml:space="preserve"> возврата внесенного капитала при любой ситуации на фондовом рынке. Инвестиционный фонд обеспечивает доходность по продукту за счет участия в динамике выбранного базового актива (их существует множество, например,</w:t>
      </w:r>
      <w:r w:rsidRPr="0039020A">
        <w:rPr>
          <w:rFonts w:ascii="Times New Roman" w:hAnsi="Times New Roman" w:cs="Times New Roman"/>
          <w:sz w:val="28"/>
          <w:szCs w:val="28"/>
        </w:rPr>
        <w:t xml:space="preserve"> «золото», «нефть» и </w:t>
      </w:r>
      <w:proofErr w:type="spellStart"/>
      <w:r w:rsidRPr="0039020A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39020A">
        <w:rPr>
          <w:rFonts w:ascii="Times New Roman" w:hAnsi="Times New Roman" w:cs="Times New Roman"/>
          <w:sz w:val="28"/>
          <w:szCs w:val="28"/>
        </w:rPr>
        <w:t>.)</w:t>
      </w:r>
    </w:p>
    <w:p w:rsidR="00B5079B" w:rsidRPr="001A1958" w:rsidRDefault="00B5079B" w:rsidP="001A1958">
      <w:pPr>
        <w:pStyle w:val="a8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9020A">
        <w:rPr>
          <w:rFonts w:ascii="Times New Roman" w:hAnsi="Times New Roman" w:cs="Times New Roman"/>
          <w:sz w:val="28"/>
          <w:szCs w:val="28"/>
        </w:rPr>
        <w:t xml:space="preserve">Функцию накопления с высоким доходом и сохранностью вложенных средств позволяет реализовывать инвестиционное страхование жизни, по </w:t>
      </w:r>
      <w:r w:rsidRPr="0039020A">
        <w:rPr>
          <w:rFonts w:ascii="Times New Roman" w:hAnsi="Times New Roman" w:cs="Times New Roman"/>
          <w:sz w:val="28"/>
          <w:szCs w:val="28"/>
        </w:rPr>
        <w:lastRenderedPageBreak/>
        <w:t>которому отмечается повышенный спрос со</w:t>
      </w:r>
      <w:r w:rsidRPr="00B5079B">
        <w:rPr>
          <w:rFonts w:ascii="Times New Roman" w:hAnsi="Times New Roman" w:cs="Times New Roman"/>
          <w:sz w:val="28"/>
          <w:szCs w:val="28"/>
        </w:rPr>
        <w:t xml:space="preserve"> стороны граждан, что привело к расширению доли премий по виду с 8% в 2012 году до 16,1% в 2013 году</w:t>
      </w:r>
      <w:r w:rsidR="007A4D4F" w:rsidRPr="007A4D4F">
        <w:rPr>
          <w:rFonts w:ascii="Times New Roman" w:hAnsi="Times New Roman" w:cs="Times New Roman"/>
          <w:sz w:val="28"/>
          <w:szCs w:val="28"/>
        </w:rPr>
        <w:t xml:space="preserve"> [5]</w:t>
      </w:r>
      <w:r w:rsidRPr="00B507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346" w:rsidRPr="006C0180" w:rsidRDefault="00B12346" w:rsidP="006C0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180" w:rsidRDefault="0039020A" w:rsidP="0039020A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</w:rPr>
      </w:pPr>
      <w:bookmarkStart w:id="3" w:name="_Toc435189533"/>
      <w:r w:rsidRPr="0039020A">
        <w:rPr>
          <w:rFonts w:ascii="Times New Roman" w:hAnsi="Times New Roman" w:cs="Times New Roman"/>
          <w:b w:val="0"/>
          <w:color w:val="auto"/>
          <w:sz w:val="28"/>
        </w:rPr>
        <w:t>2.1</w:t>
      </w:r>
      <w:r w:rsidR="006C0180" w:rsidRPr="0039020A">
        <w:rPr>
          <w:rFonts w:ascii="Times New Roman" w:hAnsi="Times New Roman" w:cs="Times New Roman"/>
          <w:b w:val="0"/>
          <w:color w:val="auto"/>
          <w:sz w:val="28"/>
        </w:rPr>
        <w:t xml:space="preserve">. </w:t>
      </w:r>
      <w:r w:rsidR="001A1958" w:rsidRPr="0039020A">
        <w:rPr>
          <w:rFonts w:ascii="Times New Roman" w:hAnsi="Times New Roman" w:cs="Times New Roman"/>
          <w:b w:val="0"/>
          <w:color w:val="auto"/>
          <w:sz w:val="28"/>
        </w:rPr>
        <w:t xml:space="preserve">Программа </w:t>
      </w:r>
      <w:r w:rsidR="001A1958" w:rsidRPr="0039020A">
        <w:rPr>
          <w:rFonts w:ascii="Times New Roman" w:eastAsia="Times New Roman" w:hAnsi="Times New Roman" w:cs="Times New Roman"/>
          <w:b w:val="0"/>
          <w:color w:val="auto"/>
          <w:sz w:val="28"/>
          <w:lang w:val="en-US" w:eastAsia="ru-RU"/>
        </w:rPr>
        <w:t>Unit</w:t>
      </w:r>
      <w:r w:rsidR="001A1958" w:rsidRPr="0039020A">
        <w:rPr>
          <w:rFonts w:ascii="Times New Roman" w:eastAsia="Times New Roman" w:hAnsi="Times New Roman" w:cs="Times New Roman"/>
          <w:b w:val="0"/>
          <w:color w:val="auto"/>
          <w:sz w:val="28"/>
          <w:lang w:eastAsia="ru-RU"/>
        </w:rPr>
        <w:t>-</w:t>
      </w:r>
      <w:r w:rsidR="001A1958" w:rsidRPr="0039020A">
        <w:rPr>
          <w:rFonts w:ascii="Times New Roman" w:eastAsia="Times New Roman" w:hAnsi="Times New Roman" w:cs="Times New Roman"/>
          <w:b w:val="0"/>
          <w:color w:val="auto"/>
          <w:sz w:val="28"/>
          <w:lang w:val="en-US" w:eastAsia="ru-RU"/>
        </w:rPr>
        <w:t>linked</w:t>
      </w:r>
      <w:r w:rsidR="001A1958" w:rsidRPr="0039020A">
        <w:rPr>
          <w:rFonts w:ascii="Times New Roman" w:eastAsia="Times New Roman" w:hAnsi="Times New Roman" w:cs="Times New Roman"/>
          <w:b w:val="0"/>
          <w:color w:val="auto"/>
          <w:sz w:val="28"/>
          <w:lang w:eastAsia="ru-RU"/>
        </w:rPr>
        <w:t xml:space="preserve"> </w:t>
      </w:r>
      <w:r w:rsidR="006C0180" w:rsidRPr="0039020A">
        <w:rPr>
          <w:rFonts w:ascii="Times New Roman" w:hAnsi="Times New Roman" w:cs="Times New Roman"/>
          <w:b w:val="0"/>
          <w:color w:val="auto"/>
          <w:sz w:val="28"/>
        </w:rPr>
        <w:t xml:space="preserve"> в России</w:t>
      </w:r>
      <w:bookmarkEnd w:id="3"/>
    </w:p>
    <w:p w:rsidR="0039020A" w:rsidRPr="0039020A" w:rsidRDefault="0039020A" w:rsidP="0039020A"/>
    <w:p w:rsidR="006C0180" w:rsidRPr="004E7258" w:rsidRDefault="006C0180" w:rsidP="006C018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C0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Unit-linked</w:t>
      </w:r>
      <w:proofErr w:type="spellEnd"/>
      <w:r w:rsidRPr="006C0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0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Insurance</w:t>
      </w:r>
      <w:proofErr w:type="spellEnd"/>
      <w:r w:rsidRPr="006C0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инвестиционное страхование жизни было разработано западными страховыми компаниями больше 40 лет  назад. Этот вид финансовых инструментов получил своё развитие от классического накопительного страхования жизни. Так же как и в накопительном страховании, клиенту оформляется полис. При заключении договора определяются сроки страхования, размер и периодичность страховых взносов, а также основные риски, а именно дожитие и смерть, предусматривается освобождение от  уплаты взносов при наступлении инвалидности.  Оформляется программа в виде полиса накопительного страхования жизни.</w:t>
      </w:r>
      <w:r w:rsidR="004E7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C0180" w:rsidRPr="006C0180" w:rsidRDefault="006C0180" w:rsidP="006C018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 как и в любых других накопительных программах, клиент может выбирать периодичность оплаты страховых взносов: ежемесячно, ежеквартально, раз в полгода или раз в год. Существуют программы с единовременным взносом.</w:t>
      </w:r>
    </w:p>
    <w:p w:rsidR="00437B20" w:rsidRDefault="006C0180" w:rsidP="00437B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взносы клиента учитываются на его индивидуальном счёте. При этом, как и в других инвестиционных продуктах, владелец полиса может выбирать, в какие именно финансовые инструменты будут инвестироваться его взносы.  Обычно это взаимные фонды, отобранные страховой компанией, но могут быть самые различные инструменты. Все покупки активов осуществляются равномерно в течение года, на основе регулярных взносов с определенной периодичностью.</w:t>
      </w:r>
    </w:p>
    <w:p w:rsidR="00AF1BCD" w:rsidRPr="00AF1BCD" w:rsidRDefault="00AF1BCD" w:rsidP="00AF1B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своей сути данный инструмент представляет собой симбиоз двух продуктов – </w:t>
      </w:r>
      <w:hyperlink r:id="rId10" w:history="1">
        <w:r w:rsidRPr="00AF1BCD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рискового страхования жизни</w:t>
        </w:r>
      </w:hyperlink>
      <w:r w:rsidRPr="00AF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инвестирования.</w:t>
      </w:r>
    </w:p>
    <w:p w:rsidR="00437B20" w:rsidRPr="00437B20" w:rsidRDefault="00AF1BCD" w:rsidP="00B507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Отличие </w:t>
      </w:r>
      <w:proofErr w:type="spellStart"/>
      <w:r w:rsidRPr="00AF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Unit</w:t>
      </w:r>
      <w:proofErr w:type="spellEnd"/>
      <w:r w:rsidRPr="00AF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F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linked</w:t>
      </w:r>
      <w:proofErr w:type="spellEnd"/>
      <w:r w:rsidRPr="00AF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классического страхования в России – это возможность получения обратно своих средств по окончании периода </w:t>
      </w:r>
      <w:r w:rsidRPr="00AF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действия плана страхования в виде страховой выплаты (т. е. Вы не платите налог с данной суммы)</w:t>
      </w:r>
      <w:r w:rsidR="007A4D4F" w:rsidRPr="007A4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[6]</w:t>
      </w:r>
      <w:r w:rsidRPr="00AF1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C0180" w:rsidRPr="00437B2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</w:t>
      </w:r>
    </w:p>
    <w:p w:rsidR="00437B20" w:rsidRPr="00B5079B" w:rsidRDefault="00437B20" w:rsidP="00B5079B">
      <w:pPr>
        <w:shd w:val="clear" w:color="auto" w:fill="FFFFFF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сегодняшний день продукты </w:t>
      </w:r>
      <w:proofErr w:type="spellStart"/>
      <w:r w:rsidRPr="00437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unit-linked</w:t>
      </w:r>
      <w:proofErr w:type="spellEnd"/>
      <w:r w:rsidRPr="00437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стали завоёвывать все большую популярность в самых разных странах. В большинстве европейских стран развитие страхования жизни происходит, прежде всего, за счёт таких программ. Основным отличием накопительного страхования жизни  </w:t>
      </w:r>
      <w:proofErr w:type="spellStart"/>
      <w:r w:rsidRPr="00437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437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инвестиционной составляющей является возможность страхователей участвовать в инвестиционном доходе страховщиков, при этом принимая на себя часть рисков от вложения средств.</w:t>
      </w:r>
    </w:p>
    <w:p w:rsidR="00437B20" w:rsidRPr="0039020A" w:rsidRDefault="00437B20" w:rsidP="00437B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настоящее время страховые компании Украины и России не предлагают такого рода программы. Это связано с законодательством в области страхования. Дело в том, что в полисах </w:t>
      </w:r>
      <w:proofErr w:type="spellStart"/>
      <w:r w:rsidRPr="00437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unit-linked</w:t>
      </w:r>
      <w:proofErr w:type="spellEnd"/>
      <w:r w:rsidRPr="00437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риску дожитие не прописывается  страховая сумма, и нет гарантированной доходности. Также по закону страховая компания не может перекладывать риски инвестирования на своих клиентов. Некоторые страховые компании продают полисы с инвестиционной составляющей, но эти программы далеки от тех, что принято называть </w:t>
      </w:r>
      <w:proofErr w:type="spellStart"/>
      <w:r w:rsidRPr="00437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unit-linked</w:t>
      </w:r>
      <w:proofErr w:type="spellEnd"/>
      <w:r w:rsidRPr="00437B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таких программах обычно предлагается привязка доходности полиса к котировкам  тех или иных активов. Причём выбор обычно ограничен двумя-тремя их видами. Так что пока приобрести настоящий полис инвестиционного страхования жизни можно только за рубежом</w:t>
      </w:r>
      <w:r w:rsidR="007A4D4F" w:rsidRPr="007A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[6].</w:t>
      </w:r>
    </w:p>
    <w:p w:rsidR="001A1958" w:rsidRPr="0039020A" w:rsidRDefault="001A1958" w:rsidP="00437B2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020A">
        <w:rPr>
          <w:rFonts w:ascii="Times New Roman" w:hAnsi="Times New Roman" w:cs="Times New Roman"/>
          <w:sz w:val="28"/>
          <w:szCs w:val="28"/>
        </w:rPr>
        <w:t>Unit</w:t>
      </w:r>
      <w:proofErr w:type="spellEnd"/>
      <w:r w:rsidRPr="00390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20A">
        <w:rPr>
          <w:rFonts w:ascii="Times New Roman" w:hAnsi="Times New Roman" w:cs="Times New Roman"/>
          <w:sz w:val="28"/>
          <w:szCs w:val="28"/>
        </w:rPr>
        <w:t>linked</w:t>
      </w:r>
      <w:proofErr w:type="spellEnd"/>
      <w:r w:rsidRPr="0039020A">
        <w:rPr>
          <w:rFonts w:ascii="Times New Roman" w:hAnsi="Times New Roman" w:cs="Times New Roman"/>
          <w:sz w:val="28"/>
          <w:szCs w:val="28"/>
        </w:rPr>
        <w:t xml:space="preserve"> в России появился еще в начале 2000-х годов. Но, несмотря на это, на сегодняшний день в России, в отличие от развитых стран, основными классами продуктов страхования жизни до сих пор являются страхование заемщика и классическое</w:t>
      </w:r>
      <w:r w:rsidRPr="0039020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1" w:history="1">
        <w:r w:rsidRPr="0039020A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страхование жизни</w:t>
        </w:r>
      </w:hyperlink>
      <w:r w:rsidRPr="0039020A">
        <w:rPr>
          <w:rFonts w:ascii="Times New Roman" w:hAnsi="Times New Roman" w:cs="Times New Roman"/>
          <w:sz w:val="28"/>
          <w:szCs w:val="28"/>
        </w:rPr>
        <w:t>.</w:t>
      </w:r>
    </w:p>
    <w:p w:rsidR="001A1958" w:rsidRPr="007A4D4F" w:rsidRDefault="001A1958" w:rsidP="00437B20">
      <w:pPr>
        <w:pStyle w:val="a7"/>
        <w:spacing w:before="0" w:beforeAutospacing="0" w:after="0" w:afterAutospacing="0" w:line="360" w:lineRule="auto"/>
        <w:ind w:firstLine="709"/>
        <w:jc w:val="both"/>
        <w:rPr>
          <w:b/>
          <w:color w:val="222222"/>
          <w:sz w:val="28"/>
          <w:szCs w:val="28"/>
        </w:rPr>
      </w:pPr>
      <w:r w:rsidRPr="0039020A">
        <w:rPr>
          <w:sz w:val="28"/>
          <w:szCs w:val="28"/>
        </w:rPr>
        <w:t xml:space="preserve">А так как российское законодательство до сих пор не позволяет российским страховым компаниям создавать полноценные продукты в их классическом понимании, </w:t>
      </w:r>
      <w:proofErr w:type="spellStart"/>
      <w:r w:rsidRPr="0039020A">
        <w:rPr>
          <w:sz w:val="28"/>
          <w:szCs w:val="28"/>
        </w:rPr>
        <w:t>Unit</w:t>
      </w:r>
      <w:proofErr w:type="spellEnd"/>
      <w:r w:rsidRPr="0039020A">
        <w:rPr>
          <w:sz w:val="28"/>
          <w:szCs w:val="28"/>
        </w:rPr>
        <w:t xml:space="preserve"> </w:t>
      </w:r>
      <w:proofErr w:type="spellStart"/>
      <w:r w:rsidRPr="0039020A">
        <w:rPr>
          <w:sz w:val="28"/>
          <w:szCs w:val="28"/>
        </w:rPr>
        <w:t>linked</w:t>
      </w:r>
      <w:proofErr w:type="spellEnd"/>
      <w:r w:rsidRPr="0039020A">
        <w:rPr>
          <w:sz w:val="28"/>
          <w:szCs w:val="28"/>
        </w:rPr>
        <w:t xml:space="preserve"> в</w:t>
      </w:r>
      <w:r w:rsidRPr="00437B20">
        <w:rPr>
          <w:color w:val="222222"/>
          <w:sz w:val="28"/>
          <w:szCs w:val="28"/>
        </w:rPr>
        <w:t xml:space="preserve"> России </w:t>
      </w:r>
      <w:proofErr w:type="gramStart"/>
      <w:r w:rsidRPr="00437B20">
        <w:rPr>
          <w:color w:val="222222"/>
          <w:sz w:val="28"/>
          <w:szCs w:val="28"/>
        </w:rPr>
        <w:t>представлен</w:t>
      </w:r>
      <w:proofErr w:type="gramEnd"/>
      <w:r w:rsidRPr="00437B20">
        <w:rPr>
          <w:color w:val="222222"/>
          <w:sz w:val="28"/>
          <w:szCs w:val="28"/>
        </w:rPr>
        <w:t xml:space="preserve"> только зарубежными компаниями</w:t>
      </w:r>
      <w:r w:rsidR="007A4D4F">
        <w:rPr>
          <w:color w:val="222222"/>
          <w:sz w:val="28"/>
          <w:szCs w:val="28"/>
        </w:rPr>
        <w:t xml:space="preserve"> </w:t>
      </w:r>
      <w:r w:rsidR="007A4D4F" w:rsidRPr="007A4D4F">
        <w:rPr>
          <w:color w:val="222222"/>
          <w:sz w:val="28"/>
          <w:szCs w:val="28"/>
        </w:rPr>
        <w:t>[7].</w:t>
      </w:r>
    </w:p>
    <w:p w:rsidR="00437B20" w:rsidRPr="00437B20" w:rsidRDefault="00437B20" w:rsidP="00437B2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444444"/>
          <w:sz w:val="28"/>
          <w:szCs w:val="28"/>
        </w:rPr>
      </w:pPr>
      <w:r w:rsidRPr="00437B20">
        <w:rPr>
          <w:color w:val="444444"/>
          <w:sz w:val="28"/>
          <w:szCs w:val="28"/>
        </w:rPr>
        <w:lastRenderedPageBreak/>
        <w:t>В России данные продукты стали доступны лишь узкому кругу граждан, которые начали сотрудничать с филиалами иностранных брокеров с 2006 года. А первые западные страховые компании стали обращать свое внимание на развивающийся рынок лишь в 2010 году, открывая свои представительства и налаживая каналы привлечения клиентов.</w:t>
      </w:r>
    </w:p>
    <w:p w:rsidR="00437B20" w:rsidRPr="00437B20" w:rsidRDefault="00437B20" w:rsidP="00437B20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444444"/>
          <w:sz w:val="28"/>
          <w:szCs w:val="28"/>
        </w:rPr>
      </w:pPr>
      <w:r w:rsidRPr="00437B20">
        <w:rPr>
          <w:color w:val="444444"/>
          <w:sz w:val="28"/>
          <w:szCs w:val="28"/>
        </w:rPr>
        <w:t xml:space="preserve">К сожалению, на текущий момент, данного рода инвестиции, пока могут предложить лишь столичные компании и единичные финансовые консультанты в ряде городов России. Более того, специалистов, готовых работать с данным видом продукта можно пересчитать буквально по пальцам – их </w:t>
      </w:r>
      <w:proofErr w:type="gramStart"/>
      <w:r w:rsidRPr="00437B20">
        <w:rPr>
          <w:color w:val="444444"/>
          <w:sz w:val="28"/>
          <w:szCs w:val="28"/>
        </w:rPr>
        <w:t>очень мало</w:t>
      </w:r>
      <w:proofErr w:type="gramEnd"/>
      <w:r w:rsidRPr="00437B20">
        <w:rPr>
          <w:color w:val="444444"/>
          <w:sz w:val="28"/>
          <w:szCs w:val="28"/>
        </w:rPr>
        <w:t>.</w:t>
      </w:r>
    </w:p>
    <w:p w:rsidR="00437B20" w:rsidRDefault="00437B20" w:rsidP="001A1958">
      <w:pPr>
        <w:pStyle w:val="a7"/>
        <w:spacing w:before="0" w:beforeAutospacing="0" w:after="125" w:afterAutospacing="0" w:line="215" w:lineRule="atLeast"/>
        <w:rPr>
          <w:rFonts w:ascii="Arial" w:hAnsi="Arial" w:cs="Arial"/>
          <w:b/>
          <w:color w:val="222222"/>
          <w:sz w:val="15"/>
          <w:szCs w:val="15"/>
        </w:rPr>
      </w:pPr>
    </w:p>
    <w:p w:rsidR="00437B20" w:rsidRDefault="00437B20" w:rsidP="001A1958">
      <w:pPr>
        <w:pStyle w:val="a7"/>
        <w:spacing w:before="0" w:beforeAutospacing="0" w:after="125" w:afterAutospacing="0" w:line="215" w:lineRule="atLeast"/>
        <w:rPr>
          <w:rFonts w:ascii="Arial" w:hAnsi="Arial" w:cs="Arial"/>
          <w:color w:val="222222"/>
          <w:sz w:val="15"/>
          <w:szCs w:val="15"/>
        </w:rPr>
      </w:pPr>
    </w:p>
    <w:p w:rsidR="001A1958" w:rsidRPr="008B05AF" w:rsidRDefault="001A1958" w:rsidP="008B05A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5FDF" w:rsidRDefault="001E5FDF"/>
    <w:p w:rsidR="001E5FDF" w:rsidRDefault="001E5FDF"/>
    <w:p w:rsidR="001E5FDF" w:rsidRPr="0039020A" w:rsidRDefault="0039020A" w:rsidP="0039020A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</w:rPr>
      </w:pPr>
      <w:bookmarkStart w:id="4" w:name="_Toc435189534"/>
      <w:r w:rsidRPr="0039020A">
        <w:rPr>
          <w:rFonts w:ascii="Times New Roman" w:hAnsi="Times New Roman" w:cs="Times New Roman"/>
          <w:b w:val="0"/>
          <w:color w:val="auto"/>
          <w:sz w:val="28"/>
        </w:rPr>
        <w:t>СПИСОК ЛИТЕРАТУРЫ</w:t>
      </w:r>
      <w:bookmarkEnd w:id="4"/>
    </w:p>
    <w:p w:rsidR="001E5FDF" w:rsidRPr="008A56FA" w:rsidRDefault="001E5FDF">
      <w:pPr>
        <w:rPr>
          <w:rFonts w:ascii="Times New Roman" w:hAnsi="Times New Roman" w:cs="Times New Roman"/>
          <w:sz w:val="28"/>
          <w:szCs w:val="28"/>
        </w:rPr>
      </w:pPr>
    </w:p>
    <w:p w:rsidR="001E5FDF" w:rsidRPr="008A56FA" w:rsidRDefault="004E7258" w:rsidP="00B5079B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Гражданский кодекс Российской Федерации (часть первая) от 30.11.1994 N 51-ФЗ (ред. </w:t>
      </w:r>
      <w:r w:rsidR="00B5079B"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13.07.2015) (с </w:t>
      </w:r>
      <w:proofErr w:type="spellStart"/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</w:t>
      </w:r>
      <w:proofErr w:type="spellEnd"/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5079B"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доп., вступ. </w:t>
      </w:r>
      <w:r w:rsidR="00B5079B"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с 01.10.2015)</w:t>
      </w:r>
      <w:proofErr w:type="gramEnd"/>
    </w:p>
    <w:p w:rsidR="008A56FA" w:rsidRPr="008A56FA" w:rsidRDefault="004E7258" w:rsidP="008A56FA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FA">
        <w:rPr>
          <w:rFonts w:ascii="Times New Roman" w:hAnsi="Times New Roman" w:cs="Times New Roman"/>
          <w:sz w:val="28"/>
          <w:szCs w:val="28"/>
        </w:rPr>
        <w:t>Ахвледиани, Ю.Т. Страхование</w:t>
      </w:r>
      <w:proofErr w:type="gramStart"/>
      <w:r w:rsidRPr="008A56F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A56FA">
        <w:rPr>
          <w:rFonts w:ascii="Times New Roman" w:hAnsi="Times New Roman" w:cs="Times New Roman"/>
          <w:sz w:val="28"/>
          <w:szCs w:val="28"/>
        </w:rPr>
        <w:t xml:space="preserve"> учебник / Ю.Т. Ахвледиани. - М.</w:t>
      </w:r>
      <w:proofErr w:type="gramStart"/>
      <w:r w:rsidRPr="008A56F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A56FA">
        <w:rPr>
          <w:rFonts w:ascii="Times New Roman" w:hAnsi="Times New Roman" w:cs="Times New Roman"/>
          <w:sz w:val="28"/>
          <w:szCs w:val="28"/>
        </w:rPr>
        <w:t xml:space="preserve"> ЮНИТИ-ДАНА, 2012. – 543 с.</w:t>
      </w:r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A56FA" w:rsidRPr="008A56FA" w:rsidRDefault="00B5079B" w:rsidP="008A56FA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Брошюра популяризирующая страхование жизни</w:t>
      </w:r>
      <w:r w:rsidR="008A56FA"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6FA" w:rsidRPr="008A56FA">
        <w:rPr>
          <w:rFonts w:ascii="Times New Roman" w:hAnsi="Times New Roman" w:cs="Times New Roman"/>
          <w:sz w:val="28"/>
          <w:szCs w:val="28"/>
        </w:rPr>
        <w:t>[Электрон</w:t>
      </w:r>
      <w:proofErr w:type="gramStart"/>
      <w:r w:rsidR="008A56FA" w:rsidRPr="008A56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A56FA" w:rsidRPr="008A56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56FA" w:rsidRPr="008A56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A56FA" w:rsidRPr="008A56FA">
        <w:rPr>
          <w:rFonts w:ascii="Times New Roman" w:hAnsi="Times New Roman" w:cs="Times New Roman"/>
          <w:sz w:val="28"/>
          <w:szCs w:val="28"/>
        </w:rPr>
        <w:t xml:space="preserve">есурс] / – URL: </w:t>
      </w:r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8A56FA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http://www.ins-union.ru/assets/files/Brohuri/Prezentlife.pdf</w:t>
        </w:r>
      </w:hyperlink>
      <w:r w:rsidR="008A56FA"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A56FA" w:rsidRPr="008A56FA">
        <w:rPr>
          <w:rFonts w:ascii="Times New Roman" w:hAnsi="Times New Roman" w:cs="Times New Roman"/>
          <w:sz w:val="28"/>
          <w:szCs w:val="28"/>
        </w:rPr>
        <w:t>– (дата обращения 13.11.2015).</w:t>
      </w:r>
    </w:p>
    <w:p w:rsidR="008A56FA" w:rsidRPr="007A4D4F" w:rsidRDefault="00B5079B" w:rsidP="007A4D4F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Pr="008A56FA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Будущее страхового рынка: временная передышка</w:t>
        </w:r>
      </w:hyperlink>
      <w:r w:rsidR="008A56FA"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Страхование жизни</w:t>
      </w:r>
      <w:r w:rsid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D4F" w:rsidRPr="008A56FA">
        <w:rPr>
          <w:rFonts w:ascii="Times New Roman" w:hAnsi="Times New Roman" w:cs="Times New Roman"/>
          <w:sz w:val="28"/>
          <w:szCs w:val="28"/>
        </w:rPr>
        <w:t>[Электрон</w:t>
      </w:r>
      <w:proofErr w:type="gramStart"/>
      <w:r w:rsidR="007A4D4F" w:rsidRPr="008A56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A4D4F" w:rsidRPr="008A56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4D4F" w:rsidRPr="008A56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A4D4F" w:rsidRPr="008A56FA">
        <w:rPr>
          <w:rFonts w:ascii="Times New Roman" w:hAnsi="Times New Roman" w:cs="Times New Roman"/>
          <w:sz w:val="28"/>
          <w:szCs w:val="28"/>
        </w:rPr>
        <w:t>есурс] / – URL:</w:t>
      </w:r>
      <w:r w:rsidR="008A56FA"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Pr="008A56FA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http://raexpert.ru/researches/insurance/bsr_2014/part3/</w:t>
        </w:r>
      </w:hyperlink>
      <w:r w:rsidR="008A56FA"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(дата обращения 13.11.2015)</w:t>
      </w:r>
      <w:r w:rsidR="007A4D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079B" w:rsidRPr="008A56FA" w:rsidRDefault="00B5079B" w:rsidP="008A56FA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F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Годовой Отчет по рынку страхования жизни по итогам 2013 года</w:t>
      </w:r>
      <w:r w:rsidR="008A56FA" w:rsidRPr="008A5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A56FA" w:rsidRPr="008A56FA">
        <w:rPr>
          <w:rFonts w:ascii="Times New Roman" w:hAnsi="Times New Roman" w:cs="Times New Roman"/>
          <w:sz w:val="28"/>
          <w:szCs w:val="28"/>
        </w:rPr>
        <w:t>[Электрон</w:t>
      </w:r>
      <w:proofErr w:type="gramStart"/>
      <w:r w:rsidR="008A56FA" w:rsidRPr="008A56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A56FA" w:rsidRPr="008A56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56FA" w:rsidRPr="008A56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A56FA" w:rsidRPr="008A56FA">
        <w:rPr>
          <w:rFonts w:ascii="Times New Roman" w:hAnsi="Times New Roman" w:cs="Times New Roman"/>
          <w:sz w:val="28"/>
          <w:szCs w:val="28"/>
        </w:rPr>
        <w:t xml:space="preserve">есурс] / – URL: </w:t>
      </w:r>
      <w:r w:rsidR="008A56FA"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5" w:history="1">
        <w:r w:rsidRPr="008A56FA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Http://autodiscover.ins-union.ru/rus/life-insur/1886/inslifepress/2763</w:t>
        </w:r>
      </w:hyperlink>
      <w:r w:rsidR="008A56FA" w:rsidRPr="008A5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(дата обращения </w:t>
      </w:r>
      <w:r w:rsidR="008A56FA"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>13.11.2015).</w:t>
      </w:r>
    </w:p>
    <w:p w:rsidR="008A56FA" w:rsidRPr="008A56FA" w:rsidRDefault="008A56FA" w:rsidP="008A56FA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6FA">
        <w:rPr>
          <w:rFonts w:ascii="Times New Roman" w:hAnsi="Times New Roman" w:cs="Times New Roman"/>
          <w:sz w:val="28"/>
          <w:szCs w:val="28"/>
        </w:rPr>
        <w:t xml:space="preserve">Хакимов Ш. </w:t>
      </w:r>
      <w:proofErr w:type="spellStart"/>
      <w:r w:rsidRPr="008A56FA">
        <w:rPr>
          <w:rFonts w:ascii="Times New Roman" w:hAnsi="Times New Roman" w:cs="Times New Roman"/>
          <w:sz w:val="28"/>
          <w:szCs w:val="28"/>
        </w:rPr>
        <w:t>Unit-linked</w:t>
      </w:r>
      <w:proofErr w:type="spellEnd"/>
      <w:r w:rsidRPr="008A56FA">
        <w:rPr>
          <w:rFonts w:ascii="Times New Roman" w:hAnsi="Times New Roman" w:cs="Times New Roman"/>
          <w:sz w:val="28"/>
          <w:szCs w:val="28"/>
        </w:rPr>
        <w:t xml:space="preserve">. инвестиционное страхование жизни. </w:t>
      </w:r>
      <w:hyperlink r:id="rId16" w:anchor="ixzz3rHSSY5Kp" w:history="1">
        <w:r w:rsidR="00B5079B" w:rsidRPr="008A56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Финансовый консультант – журнал для деловых людей с амбициями – </w:t>
        </w:r>
        <w:proofErr w:type="spellStart"/>
        <w:r w:rsidR="00B5079B" w:rsidRPr="008A56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Unit-linked</w:t>
        </w:r>
        <w:proofErr w:type="spellEnd"/>
        <w:r w:rsidR="00B5079B" w:rsidRPr="008A56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 Инвестиционное страхование жизни</w:t>
        </w:r>
      </w:hyperlink>
      <w:r w:rsidR="00B5079B"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 </w:t>
      </w:r>
      <w:r w:rsidRPr="008A56FA">
        <w:rPr>
          <w:rFonts w:ascii="Times New Roman" w:hAnsi="Times New Roman" w:cs="Times New Roman"/>
          <w:sz w:val="28"/>
          <w:szCs w:val="28"/>
        </w:rPr>
        <w:t>[Электрон</w:t>
      </w:r>
      <w:proofErr w:type="gramStart"/>
      <w:r w:rsidRPr="008A56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A56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56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A56FA">
        <w:rPr>
          <w:rFonts w:ascii="Times New Roman" w:hAnsi="Times New Roman" w:cs="Times New Roman"/>
          <w:sz w:val="28"/>
          <w:szCs w:val="28"/>
        </w:rPr>
        <w:t xml:space="preserve">есурс] / Ш. Хакимов. – URL: </w:t>
      </w:r>
      <w:hyperlink r:id="rId17" w:history="1">
        <w:r w:rsidRPr="008A56FA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http://www.fin-advice.com/unit-linked-investicionnoe-straxovanie-zhizni.html</w:t>
        </w:r>
      </w:hyperlink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8A5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(дата обращения </w:t>
      </w:r>
      <w:r w:rsidRPr="008A56FA">
        <w:rPr>
          <w:rFonts w:ascii="Times New Roman" w:eastAsia="Times New Roman" w:hAnsi="Times New Roman" w:cs="Times New Roman"/>
          <w:sz w:val="28"/>
          <w:szCs w:val="28"/>
          <w:lang w:eastAsia="ru-RU"/>
        </w:rPr>
        <w:t>13.11.2015).</w:t>
      </w:r>
    </w:p>
    <w:p w:rsidR="00B5079B" w:rsidRPr="008A56FA" w:rsidRDefault="00B5079B" w:rsidP="00B5079B">
      <w:pPr>
        <w:pStyle w:val="1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 w:val="0"/>
          <w:bCs w:val="0"/>
          <w:sz w:val="28"/>
          <w:szCs w:val="28"/>
        </w:rPr>
      </w:pPr>
      <w:bookmarkStart w:id="5" w:name="_Toc435189535"/>
      <w:r w:rsidRPr="008A56FA">
        <w:rPr>
          <w:b w:val="0"/>
          <w:bCs w:val="0"/>
          <w:sz w:val="28"/>
          <w:szCs w:val="28"/>
          <w:lang w:val="en-US"/>
        </w:rPr>
        <w:t>Unit</w:t>
      </w:r>
      <w:r w:rsidRPr="008A56FA">
        <w:rPr>
          <w:b w:val="0"/>
          <w:bCs w:val="0"/>
          <w:sz w:val="28"/>
          <w:szCs w:val="28"/>
        </w:rPr>
        <w:t xml:space="preserve"> </w:t>
      </w:r>
      <w:r w:rsidRPr="008A56FA">
        <w:rPr>
          <w:b w:val="0"/>
          <w:bCs w:val="0"/>
          <w:sz w:val="28"/>
          <w:szCs w:val="28"/>
          <w:lang w:val="en-US"/>
        </w:rPr>
        <w:t>linked</w:t>
      </w:r>
      <w:r w:rsidRPr="008A56FA">
        <w:rPr>
          <w:b w:val="0"/>
          <w:bCs w:val="0"/>
          <w:sz w:val="28"/>
          <w:szCs w:val="28"/>
        </w:rPr>
        <w:t xml:space="preserve"> в России </w:t>
      </w:r>
      <w:r w:rsidR="008A56FA" w:rsidRPr="008A56FA">
        <w:rPr>
          <w:b w:val="0"/>
          <w:sz w:val="28"/>
          <w:szCs w:val="28"/>
        </w:rPr>
        <w:t xml:space="preserve">[Электрон. ресурс] / – URL:  </w:t>
      </w:r>
      <w:r w:rsidR="008A56FA" w:rsidRPr="008A56FA">
        <w:rPr>
          <w:b w:val="0"/>
          <w:sz w:val="28"/>
          <w:szCs w:val="28"/>
          <w:shd w:val="clear" w:color="auto" w:fill="FFFFFF"/>
        </w:rPr>
        <w:t xml:space="preserve"> </w:t>
      </w:r>
      <w:hyperlink r:id="rId18" w:history="1">
        <w:r w:rsidR="008A56FA" w:rsidRPr="008A56FA">
          <w:rPr>
            <w:rStyle w:val="a6"/>
            <w:b w:val="0"/>
            <w:color w:val="auto"/>
            <w:sz w:val="28"/>
            <w:szCs w:val="28"/>
          </w:rPr>
          <w:t>http://www.avcadvisory.ru/unit-linked-v-rossii</w:t>
        </w:r>
      </w:hyperlink>
      <w:r w:rsidR="008A56FA" w:rsidRPr="008A56FA">
        <w:rPr>
          <w:b w:val="0"/>
          <w:sz w:val="28"/>
          <w:szCs w:val="28"/>
        </w:rPr>
        <w:t xml:space="preserve">. - </w:t>
      </w:r>
      <w:r w:rsidR="008A56FA" w:rsidRPr="008A56FA">
        <w:rPr>
          <w:b w:val="0"/>
          <w:sz w:val="28"/>
          <w:szCs w:val="28"/>
          <w:shd w:val="clear" w:color="auto" w:fill="FFFFFF"/>
        </w:rPr>
        <w:t xml:space="preserve">(дата обращения </w:t>
      </w:r>
      <w:r w:rsidR="008A56FA" w:rsidRPr="008A56FA">
        <w:rPr>
          <w:b w:val="0"/>
          <w:sz w:val="28"/>
          <w:szCs w:val="28"/>
        </w:rPr>
        <w:t>13.11.2015).</w:t>
      </w:r>
      <w:bookmarkEnd w:id="5"/>
    </w:p>
    <w:p w:rsidR="00B5079B" w:rsidRPr="008A56FA" w:rsidRDefault="00B5079B" w:rsidP="00B5079B">
      <w:pPr>
        <w:pStyle w:val="a8"/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5079B" w:rsidRPr="008A56FA" w:rsidSect="0039020A">
      <w:headerReference w:type="default" r:id="rId1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346" w:rsidRDefault="00B12346" w:rsidP="00B12346">
      <w:pPr>
        <w:spacing w:after="0" w:line="240" w:lineRule="auto"/>
      </w:pPr>
      <w:r>
        <w:separator/>
      </w:r>
    </w:p>
  </w:endnote>
  <w:endnote w:type="continuationSeparator" w:id="0">
    <w:p w:rsidR="00B12346" w:rsidRDefault="00B12346" w:rsidP="00B12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346" w:rsidRDefault="00B12346" w:rsidP="00B12346">
      <w:pPr>
        <w:spacing w:after="0" w:line="240" w:lineRule="auto"/>
      </w:pPr>
      <w:r>
        <w:separator/>
      </w:r>
    </w:p>
  </w:footnote>
  <w:footnote w:type="continuationSeparator" w:id="0">
    <w:p w:rsidR="00B12346" w:rsidRDefault="00B12346" w:rsidP="00B12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273313"/>
      <w:docPartObj>
        <w:docPartGallery w:val="Page Numbers (Top of Page)"/>
        <w:docPartUnique/>
      </w:docPartObj>
    </w:sdtPr>
    <w:sdtContent>
      <w:p w:rsidR="00B12346" w:rsidRDefault="00B12346">
        <w:pPr>
          <w:pStyle w:val="a9"/>
          <w:jc w:val="center"/>
        </w:pPr>
        <w:fldSimple w:instr=" PAGE   \* MERGEFORMAT ">
          <w:r w:rsidR="0039020A">
            <w:rPr>
              <w:noProof/>
            </w:rPr>
            <w:t>2</w:t>
          </w:r>
        </w:fldSimple>
      </w:p>
    </w:sdtContent>
  </w:sdt>
  <w:p w:rsidR="00B12346" w:rsidRDefault="00B1234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F26B3"/>
    <w:multiLevelType w:val="hybridMultilevel"/>
    <w:tmpl w:val="AC62A3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222FE2"/>
    <w:multiLevelType w:val="hybridMultilevel"/>
    <w:tmpl w:val="49743D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1D5FA5"/>
    <w:multiLevelType w:val="hybridMultilevel"/>
    <w:tmpl w:val="BAA4DAD0"/>
    <w:lvl w:ilvl="0" w:tplc="E2E4B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F3D9B"/>
    <w:multiLevelType w:val="hybridMultilevel"/>
    <w:tmpl w:val="1592F1CE"/>
    <w:lvl w:ilvl="0" w:tplc="04CA3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3672C8"/>
    <w:multiLevelType w:val="hybridMultilevel"/>
    <w:tmpl w:val="4D983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20794"/>
    <w:multiLevelType w:val="hybridMultilevel"/>
    <w:tmpl w:val="D264D0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F22275"/>
    <w:multiLevelType w:val="hybridMultilevel"/>
    <w:tmpl w:val="A71A1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61DB7"/>
    <w:multiLevelType w:val="hybridMultilevel"/>
    <w:tmpl w:val="5BC637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E5322F"/>
    <w:multiLevelType w:val="hybridMultilevel"/>
    <w:tmpl w:val="CAFA6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A4B"/>
    <w:rsid w:val="00133A70"/>
    <w:rsid w:val="001A1958"/>
    <w:rsid w:val="001E5FDF"/>
    <w:rsid w:val="0039020A"/>
    <w:rsid w:val="00437B20"/>
    <w:rsid w:val="004E7258"/>
    <w:rsid w:val="00605468"/>
    <w:rsid w:val="00662A4B"/>
    <w:rsid w:val="006C0180"/>
    <w:rsid w:val="007A4D4F"/>
    <w:rsid w:val="008A56FA"/>
    <w:rsid w:val="008B05AF"/>
    <w:rsid w:val="00AF1BCD"/>
    <w:rsid w:val="00B12346"/>
    <w:rsid w:val="00B30115"/>
    <w:rsid w:val="00B5079B"/>
    <w:rsid w:val="00C2037A"/>
    <w:rsid w:val="00C30713"/>
    <w:rsid w:val="00D33B57"/>
    <w:rsid w:val="00F72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468"/>
  </w:style>
  <w:style w:type="paragraph" w:styleId="1">
    <w:name w:val="heading 1"/>
    <w:basedOn w:val="a"/>
    <w:link w:val="10"/>
    <w:uiPriority w:val="9"/>
    <w:qFormat/>
    <w:rsid w:val="00B507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902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1E5FD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3">
    <w:name w:val="Table Grid"/>
    <w:basedOn w:val="a1"/>
    <w:uiPriority w:val="59"/>
    <w:rsid w:val="006C01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0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018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C0180"/>
    <w:rPr>
      <w:strike w:val="0"/>
      <w:dstrike w:val="0"/>
      <w:color w:val="666666"/>
      <w:sz w:val="24"/>
      <w:szCs w:val="24"/>
      <w:u w:val="none"/>
      <w:effect w:val="none"/>
      <w:shd w:val="clear" w:color="auto" w:fill="auto"/>
      <w:vertAlign w:val="baseline"/>
    </w:rPr>
  </w:style>
  <w:style w:type="paragraph" w:styleId="a7">
    <w:name w:val="Normal (Web)"/>
    <w:basedOn w:val="a"/>
    <w:uiPriority w:val="99"/>
    <w:semiHidden/>
    <w:unhideWhenUsed/>
    <w:rsid w:val="006C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C018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12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2346"/>
  </w:style>
  <w:style w:type="paragraph" w:styleId="ab">
    <w:name w:val="footer"/>
    <w:basedOn w:val="a"/>
    <w:link w:val="ac"/>
    <w:uiPriority w:val="99"/>
    <w:semiHidden/>
    <w:unhideWhenUsed/>
    <w:rsid w:val="00B12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2346"/>
  </w:style>
  <w:style w:type="paragraph" w:styleId="ad">
    <w:name w:val="footnote text"/>
    <w:basedOn w:val="a"/>
    <w:link w:val="ae"/>
    <w:uiPriority w:val="99"/>
    <w:semiHidden/>
    <w:rsid w:val="00B1234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B1234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B12346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rsid w:val="001A1958"/>
  </w:style>
  <w:style w:type="character" w:styleId="af0">
    <w:name w:val="FollowedHyperlink"/>
    <w:basedOn w:val="a0"/>
    <w:uiPriority w:val="99"/>
    <w:semiHidden/>
    <w:unhideWhenUsed/>
    <w:rsid w:val="004E725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507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02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TOC Heading"/>
    <w:basedOn w:val="1"/>
    <w:next w:val="a"/>
    <w:uiPriority w:val="39"/>
    <w:semiHidden/>
    <w:unhideWhenUsed/>
    <w:qFormat/>
    <w:rsid w:val="0039020A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39020A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39020A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4504">
          <w:marLeft w:val="0"/>
          <w:marRight w:val="0"/>
          <w:marTop w:val="0"/>
          <w:marBottom w:val="0"/>
          <w:divBdr>
            <w:top w:val="single" w:sz="4" w:space="0" w:color="EEEEEE"/>
            <w:left w:val="single" w:sz="4" w:space="0" w:color="EEEEEE"/>
            <w:bottom w:val="single" w:sz="4" w:space="0" w:color="EEEEEE"/>
            <w:right w:val="single" w:sz="4" w:space="0" w:color="EEEEEE"/>
          </w:divBdr>
        </w:div>
      </w:divsChild>
    </w:div>
    <w:div w:id="18394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raxconsult.ru/vidy-straxovaniya/imushhestvennoe-straxovanie/opredelenie-straxovoj-summy.html" TargetMode="External"/><Relationship Id="rId13" Type="http://schemas.openxmlformats.org/officeDocument/2006/relationships/hyperlink" Target="http://raexpert.ru/researches/insurance/bsr_2014" TargetMode="External"/><Relationship Id="rId18" Type="http://schemas.openxmlformats.org/officeDocument/2006/relationships/hyperlink" Target="http://www.avcadvisory.ru/unit-linked-v-rossi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ns-union.ru/assets/files/Brohuri/Prezentlife.pdf" TargetMode="External"/><Relationship Id="rId17" Type="http://schemas.openxmlformats.org/officeDocument/2006/relationships/hyperlink" Target="http://www.fin-advice.com/unit-linked-investicionnoe-straxovanie-zhizni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in-advice.com/unit-linked-investicionnoe-straxovanie-zhizni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vcadvisory.ru/strakhovanie-zhizn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utodiscover.ins-union.ru/rus/life-insur/1886/inslifepress/2763" TargetMode="External"/><Relationship Id="rId10" Type="http://schemas.openxmlformats.org/officeDocument/2006/relationships/hyperlink" Target="http://www.avcadvisory.ru/riskovoe-strakhovanie-zhizn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raexpert.ru/researches/insurance/bsr_2014/part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134D9-A65C-4F3F-BCD0-7F822440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2075</Words>
  <Characters>11832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5</cp:revision>
  <dcterms:created xsi:type="dcterms:W3CDTF">2015-11-09T13:11:00Z</dcterms:created>
  <dcterms:modified xsi:type="dcterms:W3CDTF">2015-11-13T11:51:00Z</dcterms:modified>
</cp:coreProperties>
</file>