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1835" w:rsidRDefault="00EB6CF4" w:rsidP="00EB6C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EB6CF4" w:rsidRDefault="00EB6CF4" w:rsidP="00EB6C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Введение</w:t>
      </w:r>
      <w:r w:rsidR="00994175">
        <w:rPr>
          <w:rFonts w:ascii="Times New Roman" w:hAnsi="Times New Roman" w:cs="Times New Roman"/>
          <w:sz w:val="28"/>
          <w:szCs w:val="28"/>
        </w:rPr>
        <w:t>…………………………………………………………….3</w:t>
      </w:r>
    </w:p>
    <w:p w:rsidR="00EB6CF4" w:rsidRDefault="00EB6CF4" w:rsidP="00EB6C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 Понятие наукоемкой организации</w:t>
      </w:r>
      <w:r w:rsidR="00994175">
        <w:rPr>
          <w:rFonts w:ascii="Times New Roman" w:hAnsi="Times New Roman" w:cs="Times New Roman"/>
          <w:sz w:val="28"/>
          <w:szCs w:val="28"/>
        </w:rPr>
        <w:t>……………………………5</w:t>
      </w:r>
    </w:p>
    <w:p w:rsidR="00EB6CF4" w:rsidRDefault="00EB6CF4" w:rsidP="00EB6C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Управление бизнес-процессами</w:t>
      </w:r>
      <w:r w:rsidR="00994175">
        <w:rPr>
          <w:rFonts w:ascii="Times New Roman" w:hAnsi="Times New Roman" w:cs="Times New Roman"/>
          <w:sz w:val="28"/>
          <w:szCs w:val="28"/>
        </w:rPr>
        <w:t>………………………………..7</w:t>
      </w:r>
    </w:p>
    <w:p w:rsidR="00EB6CF4" w:rsidRDefault="00EB6CF4" w:rsidP="00EB6C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Заключение</w:t>
      </w:r>
      <w:r w:rsidR="00994175">
        <w:rPr>
          <w:rFonts w:ascii="Times New Roman" w:hAnsi="Times New Roman" w:cs="Times New Roman"/>
          <w:sz w:val="28"/>
          <w:szCs w:val="28"/>
        </w:rPr>
        <w:t>…………………………………………………………</w:t>
      </w:r>
      <w:r w:rsidR="00351296">
        <w:rPr>
          <w:rFonts w:ascii="Times New Roman" w:hAnsi="Times New Roman" w:cs="Times New Roman"/>
          <w:sz w:val="28"/>
          <w:szCs w:val="28"/>
        </w:rPr>
        <w:t>9</w:t>
      </w:r>
    </w:p>
    <w:p w:rsidR="00EB6CF4" w:rsidRDefault="00EB6CF4" w:rsidP="00EB6CF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  <w:r w:rsidR="00994175">
        <w:rPr>
          <w:rFonts w:ascii="Times New Roman" w:hAnsi="Times New Roman" w:cs="Times New Roman"/>
          <w:sz w:val="28"/>
          <w:szCs w:val="28"/>
        </w:rPr>
        <w:t>………………………………………………..1</w:t>
      </w:r>
      <w:r w:rsidR="00351296">
        <w:rPr>
          <w:rFonts w:ascii="Times New Roman" w:hAnsi="Times New Roman" w:cs="Times New Roman"/>
          <w:sz w:val="28"/>
          <w:szCs w:val="28"/>
        </w:rPr>
        <w:t>0</w:t>
      </w: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Введение</w:t>
      </w:r>
    </w:p>
    <w:p w:rsidR="00EB6CF4" w:rsidRP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B6CF4">
        <w:rPr>
          <w:color w:val="000000" w:themeColor="text1"/>
          <w:sz w:val="28"/>
          <w:szCs w:val="28"/>
        </w:rPr>
        <w:t>Актуальность работы. В сфере анализа бизнес-процессов распространено мнение, что в последние годы появилось множество новых, более эффективных управленческих подходов. Корректнее было бы сказать - появляются технические инструменты, расширяющие границы применимости методов, открытых десятилетия назад, но имевших узкое применение из-за сложности их информационно-технологического сопровождения.</w:t>
      </w:r>
    </w:p>
    <w:p w:rsidR="00EB6CF4" w:rsidRP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B6CF4">
        <w:rPr>
          <w:color w:val="000000" w:themeColor="text1"/>
          <w:sz w:val="28"/>
          <w:szCs w:val="28"/>
        </w:rPr>
        <w:t xml:space="preserve">Управление процессами впервые было упомянуто Анри </w:t>
      </w:r>
      <w:proofErr w:type="spellStart"/>
      <w:r w:rsidRPr="00EB6CF4">
        <w:rPr>
          <w:color w:val="000000" w:themeColor="text1"/>
          <w:sz w:val="28"/>
          <w:szCs w:val="28"/>
        </w:rPr>
        <w:t>Файолем</w:t>
      </w:r>
      <w:proofErr w:type="spellEnd"/>
      <w:r w:rsidRPr="00EB6CF4">
        <w:rPr>
          <w:color w:val="000000" w:themeColor="text1"/>
          <w:sz w:val="28"/>
          <w:szCs w:val="28"/>
        </w:rPr>
        <w:t xml:space="preserve"> в книге "Общее и промышленное управление", изданной в 1916 году. В ней были систематизированы решения, позволившие превратить горно-металлургическую компанию в лидера отрасли, находившуюся, на момент его прихода в компанию, на грани банкротства. Были в тот период и исследователи, узко специализировавшиеся на операционном менеджменте, статистическом подходе и других аспектах управления.</w:t>
      </w:r>
    </w:p>
    <w:p w:rsidR="00EB6CF4" w:rsidRP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B6CF4">
        <w:rPr>
          <w:color w:val="000000" w:themeColor="text1"/>
          <w:sz w:val="28"/>
          <w:szCs w:val="28"/>
        </w:rPr>
        <w:t xml:space="preserve">Во второй половине ХХ века стал актуален уклон в агрессивный маркетинг. Фундаментальные научные труды дробились на </w:t>
      </w:r>
      <w:proofErr w:type="spellStart"/>
      <w:r w:rsidRPr="00EB6CF4">
        <w:rPr>
          <w:color w:val="000000" w:themeColor="text1"/>
          <w:sz w:val="28"/>
          <w:szCs w:val="28"/>
        </w:rPr>
        <w:t>несамодостаточные</w:t>
      </w:r>
      <w:proofErr w:type="spellEnd"/>
      <w:r w:rsidRPr="00EB6CF4">
        <w:rPr>
          <w:color w:val="000000" w:themeColor="text1"/>
          <w:sz w:val="28"/>
          <w:szCs w:val="28"/>
        </w:rPr>
        <w:t xml:space="preserve"> фрагменты, оборачивались в маркетинговую упаковку, объявлялись новейшими достижениями научной мысли и продавались, как коммерческий продукт. В итоге профессиональный уровень менеджмента стал ограничиваться знанием своей предметной области и личным опытом. Путь к использованию научно-экономических разработок был заблокирован информационным шумом. Для упрощения продажи продуктов, тем же шумом менеджмент был дезориентирован в выборе решений, предлагаемых консалтинговыми компаниями.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B6CF4">
        <w:rPr>
          <w:color w:val="000000" w:themeColor="text1"/>
          <w:sz w:val="28"/>
          <w:szCs w:val="28"/>
        </w:rPr>
        <w:t xml:space="preserve">После изучения множества книг, статей, разной степени информационной зашумленности, и наработки практики, была сформирована универсальная структура системы управления процессами. Она не противоречит ни практике бизнеса, ни теоретическим течениям. Это "скелет", в который вписывается любая операционная деятельность. В то же </w:t>
      </w:r>
      <w:r w:rsidRPr="00EB6CF4">
        <w:rPr>
          <w:color w:val="000000" w:themeColor="text1"/>
          <w:sz w:val="28"/>
          <w:szCs w:val="28"/>
        </w:rPr>
        <w:lastRenderedPageBreak/>
        <w:t>время, в его рамках можно задействовать те научно-экономические наработки, которые актуальны для конкретной специфики бизнеса.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Цель работы: рассмотреть основы управления бизнес-процессами наукоемкой организации.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Pr="00EB6CF4" w:rsidRDefault="00EB6CF4" w:rsidP="00EB6CF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CF4">
        <w:rPr>
          <w:rFonts w:ascii="Times New Roman" w:hAnsi="Times New Roman" w:cs="Times New Roman"/>
          <w:b/>
          <w:sz w:val="28"/>
          <w:szCs w:val="28"/>
        </w:rPr>
        <w:lastRenderedPageBreak/>
        <w:t>1.  Понятие наукоемкой организации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EB6CF4">
        <w:rPr>
          <w:color w:val="000000" w:themeColor="text1"/>
          <w:sz w:val="28"/>
          <w:szCs w:val="28"/>
        </w:rPr>
        <w:t>Новизна понятия «</w:t>
      </w:r>
      <w:proofErr w:type="spellStart"/>
      <w:r w:rsidRPr="00EB6CF4">
        <w:rPr>
          <w:color w:val="000000" w:themeColor="text1"/>
          <w:sz w:val="28"/>
          <w:szCs w:val="28"/>
        </w:rPr>
        <w:t>наукоемкость</w:t>
      </w:r>
      <w:proofErr w:type="spellEnd"/>
      <w:r w:rsidRPr="00EB6CF4">
        <w:rPr>
          <w:color w:val="000000" w:themeColor="text1"/>
          <w:sz w:val="28"/>
          <w:szCs w:val="28"/>
        </w:rPr>
        <w:t>» объясняется тем, что сам процесс интеграции науки с производством по историческим меркам не так уж давно начался, а проблема стоимости научно-технического прогресса стала актуальной лишь где-то в 70-х годах прошлого века, когда даже самым богатым странам денег на поддержание высокого темпа научно-технического развития, характерного для периода Второй Мировой войны и последовавших за нею двух десятилетий, стало не</w:t>
      </w:r>
      <w:proofErr w:type="gramEnd"/>
      <w:r w:rsidRPr="00EB6CF4">
        <w:rPr>
          <w:color w:val="000000" w:themeColor="text1"/>
          <w:sz w:val="28"/>
          <w:szCs w:val="28"/>
        </w:rPr>
        <w:t xml:space="preserve"> хватать. Научно-технический прогресс, а именно он обеспечивал в XX в. основную долю экономического роста (порядка 80%) в промышленно развитых странах, – дело очень дорогое</w:t>
      </w:r>
      <w:r w:rsidR="00994175">
        <w:rPr>
          <w:rStyle w:val="af0"/>
          <w:color w:val="000000" w:themeColor="text1"/>
          <w:sz w:val="28"/>
          <w:szCs w:val="28"/>
        </w:rPr>
        <w:footnoteReference w:id="1"/>
      </w:r>
      <w:r w:rsidRPr="00EB6CF4">
        <w:rPr>
          <w:color w:val="000000" w:themeColor="text1"/>
          <w:sz w:val="28"/>
          <w:szCs w:val="28"/>
        </w:rPr>
        <w:t xml:space="preserve">. 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B6CF4">
        <w:rPr>
          <w:color w:val="000000" w:themeColor="text1"/>
          <w:sz w:val="28"/>
          <w:szCs w:val="28"/>
        </w:rPr>
        <w:t xml:space="preserve">Согласно закону В. </w:t>
      </w:r>
      <w:proofErr w:type="spellStart"/>
      <w:r w:rsidRPr="00EB6CF4">
        <w:rPr>
          <w:color w:val="000000" w:themeColor="text1"/>
          <w:sz w:val="28"/>
          <w:szCs w:val="28"/>
        </w:rPr>
        <w:t>Решера</w:t>
      </w:r>
      <w:proofErr w:type="spellEnd"/>
      <w:r w:rsidRPr="00EB6CF4">
        <w:rPr>
          <w:color w:val="000000" w:themeColor="text1"/>
          <w:sz w:val="28"/>
          <w:szCs w:val="28"/>
        </w:rPr>
        <w:t xml:space="preserve"> (2) даже для того, чтобы темп появления крупных открытий и изобретений не замедлялся, был постоянным, нужно наращивать объем вовлекаемых в сферу науки и техники ресурсов по экспоненциальному закону. Но в течение длительного времени этого не может позволить себе ни одно предприятие или отрасль, ни одно государство, да и все международное сообщество. В каждой отрасли в соответствии с ее особенностями складывается свой баланс расходов, обеспечивающий устойчивое прибыльное хозяйствование, и нарушение его чревато неприятностями. 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B6CF4">
        <w:rPr>
          <w:color w:val="000000" w:themeColor="text1"/>
          <w:sz w:val="28"/>
          <w:szCs w:val="28"/>
        </w:rPr>
        <w:t xml:space="preserve">В составе указанного баланса есть статья расходов на ИР. Объем этих расходов зависит от объемов производства и, главное, от объемов сбыта продукции. 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EB6CF4">
        <w:rPr>
          <w:color w:val="000000" w:themeColor="text1"/>
          <w:sz w:val="28"/>
          <w:szCs w:val="28"/>
        </w:rPr>
        <w:t>Так, в середине 80-х годов ХХ в. в американской промышленности, выпускающей компьютерную технику, на науку тратили 8% от объема продаж, в станкостроении – 3%, в производстве полупроводниковых приборов и интегральных схем – 12%, в бумажной индустрии – 1%, в металлургии – 0,5%, а в фармацевтической промышленности – 8% (4, с.7).</w:t>
      </w:r>
      <w:proofErr w:type="gramEnd"/>
      <w:r w:rsidRPr="00EB6CF4">
        <w:rPr>
          <w:color w:val="000000" w:themeColor="text1"/>
          <w:sz w:val="28"/>
          <w:szCs w:val="28"/>
        </w:rPr>
        <w:t xml:space="preserve"> Чтобы нарастить объем средств, выделяемых на ИР, необходимо расширить </w:t>
      </w:r>
      <w:r w:rsidRPr="00EB6CF4">
        <w:rPr>
          <w:color w:val="000000" w:themeColor="text1"/>
          <w:sz w:val="28"/>
          <w:szCs w:val="28"/>
        </w:rPr>
        <w:lastRenderedPageBreak/>
        <w:t xml:space="preserve">рынок сбыта. Однако емкость рынка какого-либо вида товаров в каждый конкретный момент времени ограничена, идет ли речь о национальном или о международном рынке. Отрасль может получить дополнительные средства на ИР от государства, но и на этом уровне работает механизм балансирования расходов, на сей раз государственных, отражающийся в структуре бюджета страны. 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EB6CF4">
        <w:rPr>
          <w:color w:val="000000" w:themeColor="text1"/>
          <w:sz w:val="28"/>
          <w:szCs w:val="28"/>
        </w:rPr>
        <w:t xml:space="preserve">Государство выделяет на поддержку науки определенную долю своего ВВП. </w:t>
      </w:r>
      <w:proofErr w:type="gramStart"/>
      <w:r w:rsidRPr="00EB6CF4">
        <w:rPr>
          <w:color w:val="000000" w:themeColor="text1"/>
          <w:sz w:val="28"/>
          <w:szCs w:val="28"/>
        </w:rPr>
        <w:t xml:space="preserve">В развитых странах на протяжении последних десятилетий ХХ в. эта доля составляла от 1 до 3% в зависимости от страны. </w:t>
      </w:r>
      <w:proofErr w:type="gramEnd"/>
    </w:p>
    <w:p w:rsidR="00EB6CF4" w:rsidRP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EB6CF4">
        <w:rPr>
          <w:color w:val="000000" w:themeColor="text1"/>
          <w:sz w:val="28"/>
          <w:szCs w:val="28"/>
        </w:rPr>
        <w:t>Это означает, что для того чтобы увеличить финансирование на науку на 1 млрд. нужно, чтобы национальный ВВП вырос приблизительно на 40 млрд. Ни в отраслях, ни в масштабах государства выделяемая на ИР доля (ВВП или объема сбыта) не является юридически закрепленным нормативом, она устанавливается как конечный результат множества происходящих в обществе объективных процессов и отражает уровень его социально-экономического, технологического и</w:t>
      </w:r>
      <w:proofErr w:type="gramEnd"/>
      <w:r w:rsidRPr="00EB6CF4">
        <w:rPr>
          <w:color w:val="000000" w:themeColor="text1"/>
          <w:sz w:val="28"/>
          <w:szCs w:val="28"/>
        </w:rPr>
        <w:t xml:space="preserve"> культурного развития. Такого рода показатели меняются во времени очень медленно.</w:t>
      </w: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Pr="00EB6CF4" w:rsidRDefault="00EB6CF4" w:rsidP="00EB6CF4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</w:p>
    <w:p w:rsidR="00EB6CF4" w:rsidRPr="00EB6CF4" w:rsidRDefault="00EB6CF4" w:rsidP="00EB6CF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Default="00EB6CF4" w:rsidP="00EB6CF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B6CF4" w:rsidRPr="00EB6CF4" w:rsidRDefault="00EB6CF4" w:rsidP="00EB6CF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B6CF4">
        <w:rPr>
          <w:rFonts w:ascii="Times New Roman" w:hAnsi="Times New Roman" w:cs="Times New Roman"/>
          <w:b/>
          <w:sz w:val="28"/>
          <w:szCs w:val="28"/>
        </w:rPr>
        <w:lastRenderedPageBreak/>
        <w:t>2. Управление бизнес-процессами</w:t>
      </w:r>
    </w:p>
    <w:p w:rsidR="00351296" w:rsidRDefault="00632DF8" w:rsidP="003512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Бизнес-процесс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это логичный, последовательный, взаимосвязанный набор мероприятий, который потребляет ресурсы, создаёт ценность и выдаёт результат. </w:t>
      </w:r>
    </w:p>
    <w:p w:rsidR="00351296" w:rsidRDefault="00632DF8" w:rsidP="003512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В международном стандарте ISO 9000:2000 принят термин "процесс", однако в настоящее время эти термины можно считать синонимами.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Моделирование бизнес-процессов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– это эффективное средство поиска путей оптимизации деятельности компании, позволяющее определить, как компания работает в целом и как организована деятельность на каждом рабочем месте. </w:t>
      </w:r>
    </w:p>
    <w:p w:rsidR="00351296" w:rsidRDefault="00632DF8" w:rsidP="003512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Под методологией (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нотацией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) создания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модели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описания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) бизнес-процесса понимается совокупность способов, при помощи которых</w:t>
      </w:r>
      <w:r w:rsidR="003512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объекты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реального мира и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связи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между ними представляются в виде модели</w:t>
      </w:r>
      <w:r w:rsidR="00351296">
        <w:rPr>
          <w:rStyle w:val="af0"/>
          <w:rFonts w:ascii="Times New Roman" w:hAnsi="Times New Roman" w:cs="Times New Roman"/>
          <w:color w:val="000000" w:themeColor="text1"/>
          <w:sz w:val="28"/>
          <w:szCs w:val="28"/>
        </w:rPr>
        <w:footnoteReference w:id="2"/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</w:p>
    <w:p w:rsidR="00FF00A3" w:rsidRPr="00351296" w:rsidRDefault="00632DF8" w:rsidP="003512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Для каждого объекта и связей характерны ряд параметров, или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атрибутов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отражающих </w:t>
      </w:r>
      <w:proofErr w:type="spellStart"/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опредёленные</w:t>
      </w:r>
      <w:proofErr w:type="spellEnd"/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характеристики реального объекта (номер объекта, название, описание, длительность выполнения (для функций), стоимость и др.).</w:t>
      </w:r>
    </w:p>
    <w:p w:rsidR="00351296" w:rsidRDefault="00632DF8" w:rsidP="003512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Бизнес-процесс должен быть:</w:t>
      </w:r>
    </w:p>
    <w:p w:rsidR="00351296" w:rsidRDefault="00632DF8" w:rsidP="003512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а)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описанным</w:t>
      </w:r>
      <w:r w:rsid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51296" w:rsidRDefault="00632DF8" w:rsidP="003512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б)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оптимальным</w:t>
      </w:r>
      <w:r w:rsid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</w:p>
    <w:p w:rsidR="00351296" w:rsidRDefault="00632DF8" w:rsidP="003512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в) действительно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выполняться согласно описанию</w:t>
      </w:r>
      <w:r w:rsid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;</w:t>
      </w:r>
    </w:p>
    <w:p w:rsidR="00351296" w:rsidRDefault="00632DF8" w:rsidP="003512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г) совершенствоваться. </w:t>
      </w:r>
    </w:p>
    <w:p w:rsidR="00632DF8" w:rsidRPr="00632DF8" w:rsidRDefault="00632DF8" w:rsidP="003512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Именно от этого зависят результаты работы компании, в том числе и финансовые.</w:t>
      </w:r>
    </w:p>
    <w:p w:rsidR="00632DF8" w:rsidRPr="00632DF8" w:rsidRDefault="00351296" w:rsidP="00351296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Ф</w:t>
      </w:r>
      <w:r w:rsidR="00632DF8"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ормализаци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</w:t>
      </w:r>
      <w:r w:rsidR="00632DF8"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 отладк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а</w:t>
      </w:r>
      <w:r w:rsidR="00632DF8"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бизнес-</w:t>
      </w:r>
      <w:r w:rsidR="00632DF8"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процессов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включает</w:t>
      </w:r>
      <w:r w:rsidR="00632DF8"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</w:p>
    <w:p w:rsidR="00632DF8" w:rsidRPr="00632DF8" w:rsidRDefault="00632DF8" w:rsidP="0035129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Четкое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понимание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того, как работает компания (зачастую в процессе описания разгораются ожесточенные споры).</w:t>
      </w:r>
    </w:p>
    <w:p w:rsidR="00632DF8" w:rsidRPr="00632DF8" w:rsidRDefault="00632DF8" w:rsidP="0035129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Стандартизацию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процессов (когда они не описаны, каждый работник выполняет задачи в меру своего понимания и таланта).</w:t>
      </w:r>
    </w:p>
    <w:p w:rsidR="00632DF8" w:rsidRPr="00632DF8" w:rsidRDefault="00632DF8" w:rsidP="0035129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Повышение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качества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работ и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управляемости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бизнеса.</w:t>
      </w:r>
    </w:p>
    <w:p w:rsidR="00632DF8" w:rsidRPr="00632DF8" w:rsidRDefault="00632DF8" w:rsidP="0035129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Возможность осознанно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улучшать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деятельность компании, в </w:t>
      </w:r>
      <w:proofErr w:type="spellStart"/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т.ч</w:t>
      </w:r>
      <w:proofErr w:type="spellEnd"/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взаимодействие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подразделений.</w:t>
      </w:r>
    </w:p>
    <w:p w:rsidR="00632DF8" w:rsidRPr="00632DF8" w:rsidRDefault="00632DF8" w:rsidP="0035129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Уменьшение зависимости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бизнеса от человеческого фактора сотрудников,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снижение требований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 компетенции сотрудников и уровню их IQ, возможность найма более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дешевого персонала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решение проблемы "кадрового голода".</w:t>
      </w:r>
    </w:p>
    <w:p w:rsidR="00632DF8" w:rsidRPr="00632DF8" w:rsidRDefault="00632DF8" w:rsidP="00351296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И, как следствие,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повышение удовлетворенности клиентов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снижение издержек</w:t>
      </w:r>
      <w:r w:rsidRPr="00351296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</w:t>
      </w:r>
      <w:r w:rsidRPr="0035129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 </w:t>
      </w:r>
      <w:r w:rsidRPr="00632DF8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рост прибыли</w:t>
      </w:r>
      <w:r w:rsidRPr="00632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632DF8" w:rsidRPr="00351296" w:rsidRDefault="00351296" w:rsidP="00351296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Формализация процессов – ядро работы по</w:t>
      </w:r>
      <w:r w:rsidRPr="00351296">
        <w:rPr>
          <w:rStyle w:val="apple-converted-space"/>
          <w:rFonts w:ascii="Times New Roman" w:hAnsi="Times New Roman" w:cs="Times New Roman"/>
          <w:bCs/>
          <w:color w:val="000000" w:themeColor="text1"/>
          <w:sz w:val="28"/>
          <w:szCs w:val="28"/>
        </w:rPr>
        <w:t> </w:t>
      </w:r>
      <w:hyperlink r:id="rId9" w:history="1">
        <w:r w:rsidRPr="00351296">
          <w:rPr>
            <w:rStyle w:val="a6"/>
            <w:rFonts w:ascii="Times New Roman" w:hAnsi="Times New Roman" w:cs="Times New Roman"/>
            <w:bCs/>
            <w:color w:val="000000" w:themeColor="text1"/>
            <w:sz w:val="28"/>
            <w:szCs w:val="28"/>
            <w:u w:val="none"/>
          </w:rPr>
          <w:t>наведению порядка в бизнесе</w:t>
        </w:r>
      </w:hyperlink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.</w:t>
      </w:r>
    </w:p>
    <w:p w:rsidR="00351296" w:rsidRDefault="00351296" w:rsidP="003512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Для описания бизнес-процессов на сегодняшний день разработаны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десятки методологий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такие как ARIS, IDEF0, IDEF3, DFD и многие другие. Они сложны: изучение занимает порой несколько недель. </w:t>
      </w:r>
    </w:p>
    <w:p w:rsidR="00351296" w:rsidRDefault="00351296" w:rsidP="003512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Зачастую их применение в практической работе неоправданно, т.к. подобно выстрелам из пушки по воробьям.</w:t>
      </w:r>
    </w:p>
    <w:p w:rsidR="00351296" w:rsidRPr="00351296" w:rsidRDefault="00351296" w:rsidP="0035129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Естественно, это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удлиняет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удорожает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проект. А получаемые схемы потом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слабо применимы</w:t>
      </w:r>
      <w:r w:rsidRPr="0035129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</w:rPr>
        <w:t> </w:t>
      </w:r>
      <w:r w:rsidRPr="00351296">
        <w:rPr>
          <w:rFonts w:ascii="Times New Roman" w:hAnsi="Times New Roman" w:cs="Times New Roman"/>
          <w:color w:val="000000" w:themeColor="text1"/>
          <w:sz w:val="28"/>
          <w:szCs w:val="28"/>
        </w:rPr>
        <w:t>на практике руководителями и сотрудниками.</w:t>
      </w: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Заключение</w:t>
      </w:r>
    </w:p>
    <w:p w:rsidR="00FF00A3" w:rsidRPr="00FF00A3" w:rsidRDefault="00FF00A3" w:rsidP="00FF00A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F00A3">
        <w:rPr>
          <w:color w:val="000000" w:themeColor="text1"/>
          <w:sz w:val="28"/>
          <w:szCs w:val="28"/>
        </w:rPr>
        <w:t>В крупных организациях, с множеством филиалов, целесообразно заменить личный опрос организацией сбора статистики. Дальнейший анализ позволит выявить не только факторы, требующие устранения, но и исполнителей, нашедших способ сгладить их в своей работе. Выявление таких исполнителей, наработанных ими решений, и тиражирование решений на все филиалы может положительно сказаться на работе организации в целом.</w:t>
      </w:r>
    </w:p>
    <w:p w:rsidR="00FF00A3" w:rsidRPr="00FF00A3" w:rsidRDefault="00FF00A3" w:rsidP="00FF00A3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8"/>
          <w:szCs w:val="28"/>
        </w:rPr>
      </w:pPr>
      <w:r w:rsidRPr="00FF00A3">
        <w:rPr>
          <w:color w:val="000000" w:themeColor="text1"/>
          <w:sz w:val="28"/>
          <w:szCs w:val="28"/>
        </w:rPr>
        <w:t>Использование для сбора статистики периодических отчетов может плохо повлиять на качество данных. Исполнителю сложно удерживать в памяти информацию, до наступления даты отчета. Система BPMS позволяет добавить необходимое поле в интерфейс пользовательской задачи и сделать обязательным его заполнение, в случае негативного исхода. Исполнителю придется вносить в систему результат сразу по завершении общения с клиентом.</w:t>
      </w:r>
    </w:p>
    <w:p w:rsidR="00FF00A3" w:rsidRPr="00FF00A3" w:rsidRDefault="00FF00A3" w:rsidP="00FF00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Список литературы</w:t>
      </w:r>
    </w:p>
    <w:p w:rsidR="00D03CDD" w:rsidRDefault="00D03CDD" w:rsidP="00D03CD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>Гродских</w:t>
      </w:r>
      <w:proofErr w:type="spellEnd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В.С. Экономическая теория. – СПб</w:t>
      </w:r>
      <w:proofErr w:type="gramStart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.: </w:t>
      </w:r>
      <w:proofErr w:type="gramEnd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>Питер, 2013. – 208 с.</w:t>
      </w:r>
    </w:p>
    <w:p w:rsidR="00D03CDD" w:rsidRDefault="00D03CDD" w:rsidP="00D03CD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>2. Микроэкономика</w:t>
      </w:r>
      <w:proofErr w:type="gramStart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/ П</w:t>
      </w:r>
      <w:proofErr w:type="gramEnd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>од ред. М.И. Ноздрина-Плотницкого. – Минск: Современная школа, 2011. – 384 с.</w:t>
      </w:r>
    </w:p>
    <w:p w:rsidR="00D03CDD" w:rsidRDefault="00D03CDD" w:rsidP="00D03CD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>3. Николаева И.П. Экономическая теория. – М.: Дашков и Ко, 2012. – 328 с.</w:t>
      </w:r>
    </w:p>
    <w:p w:rsidR="00D03CDD" w:rsidRDefault="00D03CDD" w:rsidP="00D03CD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Носова С.С. Экономическая теория. – М.: </w:t>
      </w:r>
      <w:proofErr w:type="spellStart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>Кнорус</w:t>
      </w:r>
      <w:proofErr w:type="spellEnd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>, 2011. – 792 с.</w:t>
      </w:r>
    </w:p>
    <w:p w:rsidR="00FF00A3" w:rsidRPr="00D03CDD" w:rsidRDefault="00D03CDD" w:rsidP="00D03CD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</w:t>
      </w:r>
      <w:proofErr w:type="spellStart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>Тарануха</w:t>
      </w:r>
      <w:proofErr w:type="spellEnd"/>
      <w:r w:rsidRPr="00D03CD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Ю.В. Микроэкономика. – М.: Дело и сервис, 2009. – 608 с.</w:t>
      </w: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FF00A3" w:rsidRPr="00FF00A3" w:rsidRDefault="00FF00A3" w:rsidP="00FF00A3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FF00A3" w:rsidRPr="00FF00A3" w:rsidSect="00994175">
      <w:footerReference w:type="default" r:id="rId10"/>
      <w:pgSz w:w="11906" w:h="16838"/>
      <w:pgMar w:top="1134" w:right="850" w:bottom="1134" w:left="1701" w:header="708" w:footer="708" w:gutter="0"/>
      <w:pgNumType w:start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0221" w:rsidRDefault="00810221" w:rsidP="00994175">
      <w:pPr>
        <w:spacing w:after="0" w:line="240" w:lineRule="auto"/>
      </w:pPr>
      <w:r>
        <w:separator/>
      </w:r>
    </w:p>
  </w:endnote>
  <w:endnote w:type="continuationSeparator" w:id="0">
    <w:p w:rsidR="00810221" w:rsidRDefault="00810221" w:rsidP="00994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83168177"/>
      <w:docPartObj>
        <w:docPartGallery w:val="Page Numbers (Bottom of Page)"/>
        <w:docPartUnique/>
      </w:docPartObj>
    </w:sdtPr>
    <w:sdtEndPr/>
    <w:sdtContent>
      <w:p w:rsidR="00994175" w:rsidRDefault="00994175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1296">
          <w:rPr>
            <w:noProof/>
          </w:rPr>
          <w:t>7</w:t>
        </w:r>
        <w:r>
          <w:fldChar w:fldCharType="end"/>
        </w:r>
      </w:p>
    </w:sdtContent>
  </w:sdt>
  <w:p w:rsidR="00994175" w:rsidRDefault="00994175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0221" w:rsidRDefault="00810221" w:rsidP="00994175">
      <w:pPr>
        <w:spacing w:after="0" w:line="240" w:lineRule="auto"/>
      </w:pPr>
      <w:r>
        <w:separator/>
      </w:r>
    </w:p>
  </w:footnote>
  <w:footnote w:type="continuationSeparator" w:id="0">
    <w:p w:rsidR="00810221" w:rsidRDefault="00810221" w:rsidP="00994175">
      <w:pPr>
        <w:spacing w:after="0" w:line="240" w:lineRule="auto"/>
      </w:pPr>
      <w:r>
        <w:continuationSeparator/>
      </w:r>
    </w:p>
  </w:footnote>
  <w:footnote w:id="1">
    <w:p w:rsidR="00994175" w:rsidRDefault="00994175">
      <w:pPr>
        <w:pStyle w:val="ae"/>
      </w:pPr>
      <w:r>
        <w:rPr>
          <w:rStyle w:val="af0"/>
        </w:rPr>
        <w:footnoteRef/>
      </w:r>
      <w:r>
        <w:t xml:space="preserve"> </w:t>
      </w:r>
      <w:proofErr w:type="spellStart"/>
      <w:r w:rsidRPr="001614FC">
        <w:rPr>
          <w:rFonts w:ascii="Times New Roman" w:hAnsi="Times New Roman" w:cs="Times New Roman"/>
          <w:color w:val="000000" w:themeColor="text1"/>
          <w:sz w:val="24"/>
          <w:szCs w:val="24"/>
        </w:rPr>
        <w:t>Гродских</w:t>
      </w:r>
      <w:proofErr w:type="spellEnd"/>
      <w:r w:rsidRPr="001614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В.С. Экономическая теория. – СПб</w:t>
      </w:r>
      <w:proofErr w:type="gramStart"/>
      <w:r w:rsidRPr="001614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.: </w:t>
      </w:r>
      <w:proofErr w:type="gramEnd"/>
      <w:r w:rsidRPr="001614FC">
        <w:rPr>
          <w:rFonts w:ascii="Times New Roman" w:hAnsi="Times New Roman" w:cs="Times New Roman"/>
          <w:color w:val="000000" w:themeColor="text1"/>
          <w:sz w:val="24"/>
          <w:szCs w:val="24"/>
        </w:rPr>
        <w:t>Питер, 2013. – 208 с.</w:t>
      </w:r>
    </w:p>
  </w:footnote>
  <w:footnote w:id="2">
    <w:p w:rsidR="00351296" w:rsidRDefault="00351296">
      <w:pPr>
        <w:pStyle w:val="ae"/>
      </w:pPr>
      <w:r>
        <w:rPr>
          <w:rStyle w:val="af0"/>
        </w:rPr>
        <w:footnoteRef/>
      </w:r>
      <w:r>
        <w:t xml:space="preserve"> </w:t>
      </w:r>
      <w:proofErr w:type="spellStart"/>
      <w:r w:rsidRPr="001614FC">
        <w:rPr>
          <w:rFonts w:ascii="Times New Roman" w:hAnsi="Times New Roman" w:cs="Times New Roman"/>
          <w:color w:val="000000" w:themeColor="text1"/>
          <w:sz w:val="24"/>
          <w:szCs w:val="24"/>
        </w:rPr>
        <w:t>Гродских</w:t>
      </w:r>
      <w:proofErr w:type="spellEnd"/>
      <w:r w:rsidRPr="001614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В.С. Экономическая теория. – СПб</w:t>
      </w:r>
      <w:proofErr w:type="gramStart"/>
      <w:r w:rsidRPr="001614F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.: </w:t>
      </w:r>
      <w:proofErr w:type="gramEnd"/>
      <w:r w:rsidRPr="001614FC">
        <w:rPr>
          <w:rFonts w:ascii="Times New Roman" w:hAnsi="Times New Roman" w:cs="Times New Roman"/>
          <w:color w:val="000000" w:themeColor="text1"/>
          <w:sz w:val="24"/>
          <w:szCs w:val="24"/>
        </w:rPr>
        <w:t>Питер, 2013. – 208 с.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A8157D"/>
    <w:multiLevelType w:val="multilevel"/>
    <w:tmpl w:val="47505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29B5"/>
    <w:rsid w:val="000329B5"/>
    <w:rsid w:val="00145BE0"/>
    <w:rsid w:val="00351296"/>
    <w:rsid w:val="00604C80"/>
    <w:rsid w:val="00632DF8"/>
    <w:rsid w:val="00647F44"/>
    <w:rsid w:val="00810221"/>
    <w:rsid w:val="00994175"/>
    <w:rsid w:val="009D0618"/>
    <w:rsid w:val="00AB51C0"/>
    <w:rsid w:val="00D03CDD"/>
    <w:rsid w:val="00EB6CF4"/>
    <w:rsid w:val="00FF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00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F00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F00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CF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6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F00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00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F00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F00A3"/>
    <w:rPr>
      <w:b/>
      <w:bCs/>
    </w:rPr>
  </w:style>
  <w:style w:type="character" w:customStyle="1" w:styleId="apple-converted-space">
    <w:name w:val="apple-converted-space"/>
    <w:basedOn w:val="a0"/>
    <w:rsid w:val="00FF00A3"/>
  </w:style>
  <w:style w:type="character" w:styleId="a6">
    <w:name w:val="Hyperlink"/>
    <w:basedOn w:val="a0"/>
    <w:uiPriority w:val="99"/>
    <w:semiHidden/>
    <w:unhideWhenUsed/>
    <w:rsid w:val="00FF00A3"/>
    <w:rPr>
      <w:color w:val="0000FF"/>
      <w:u w:val="single"/>
    </w:rPr>
  </w:style>
  <w:style w:type="character" w:styleId="a7">
    <w:name w:val="Emphasis"/>
    <w:basedOn w:val="a0"/>
    <w:uiPriority w:val="20"/>
    <w:qFormat/>
    <w:rsid w:val="00FF00A3"/>
    <w:rPr>
      <w:i/>
      <w:iCs/>
    </w:rPr>
  </w:style>
  <w:style w:type="paragraph" w:customStyle="1" w:styleId="wp-caption-text">
    <w:name w:val="wp-caption-text"/>
    <w:basedOn w:val="a"/>
    <w:rsid w:val="00FF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F0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00A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994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94175"/>
  </w:style>
  <w:style w:type="paragraph" w:styleId="ac">
    <w:name w:val="footer"/>
    <w:basedOn w:val="a"/>
    <w:link w:val="ad"/>
    <w:uiPriority w:val="99"/>
    <w:unhideWhenUsed/>
    <w:rsid w:val="00994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94175"/>
  </w:style>
  <w:style w:type="paragraph" w:styleId="ae">
    <w:name w:val="footnote text"/>
    <w:basedOn w:val="a"/>
    <w:link w:val="af"/>
    <w:uiPriority w:val="99"/>
    <w:semiHidden/>
    <w:unhideWhenUsed/>
    <w:rsid w:val="00994175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994175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994175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F00A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F00A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FF00A3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6CF4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EB6C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F00A3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F00A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F00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F00A3"/>
    <w:rPr>
      <w:b/>
      <w:bCs/>
    </w:rPr>
  </w:style>
  <w:style w:type="character" w:customStyle="1" w:styleId="apple-converted-space">
    <w:name w:val="apple-converted-space"/>
    <w:basedOn w:val="a0"/>
    <w:rsid w:val="00FF00A3"/>
  </w:style>
  <w:style w:type="character" w:styleId="a6">
    <w:name w:val="Hyperlink"/>
    <w:basedOn w:val="a0"/>
    <w:uiPriority w:val="99"/>
    <w:semiHidden/>
    <w:unhideWhenUsed/>
    <w:rsid w:val="00FF00A3"/>
    <w:rPr>
      <w:color w:val="0000FF"/>
      <w:u w:val="single"/>
    </w:rPr>
  </w:style>
  <w:style w:type="character" w:styleId="a7">
    <w:name w:val="Emphasis"/>
    <w:basedOn w:val="a0"/>
    <w:uiPriority w:val="20"/>
    <w:qFormat/>
    <w:rsid w:val="00FF00A3"/>
    <w:rPr>
      <w:i/>
      <w:iCs/>
    </w:rPr>
  </w:style>
  <w:style w:type="paragraph" w:customStyle="1" w:styleId="wp-caption-text">
    <w:name w:val="wp-caption-text"/>
    <w:basedOn w:val="a"/>
    <w:rsid w:val="00FF00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F00A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F00A3"/>
    <w:rPr>
      <w:rFonts w:ascii="Tahoma" w:hAnsi="Tahoma" w:cs="Tahoma"/>
      <w:sz w:val="16"/>
      <w:szCs w:val="16"/>
    </w:rPr>
  </w:style>
  <w:style w:type="paragraph" w:styleId="aa">
    <w:name w:val="header"/>
    <w:basedOn w:val="a"/>
    <w:link w:val="ab"/>
    <w:uiPriority w:val="99"/>
    <w:unhideWhenUsed/>
    <w:rsid w:val="00994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994175"/>
  </w:style>
  <w:style w:type="paragraph" w:styleId="ac">
    <w:name w:val="footer"/>
    <w:basedOn w:val="a"/>
    <w:link w:val="ad"/>
    <w:uiPriority w:val="99"/>
    <w:unhideWhenUsed/>
    <w:rsid w:val="0099417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994175"/>
  </w:style>
  <w:style w:type="paragraph" w:styleId="ae">
    <w:name w:val="footnote text"/>
    <w:basedOn w:val="a"/>
    <w:link w:val="af"/>
    <w:uiPriority w:val="99"/>
    <w:semiHidden/>
    <w:unhideWhenUsed/>
    <w:rsid w:val="00994175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994175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99417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70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9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62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1419">
          <w:marLeft w:val="0"/>
          <w:marRight w:val="0"/>
          <w:marTop w:val="96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294604">
          <w:marLeft w:val="0"/>
          <w:marRight w:val="0"/>
          <w:marTop w:val="96"/>
          <w:marBottom w:val="3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mrybakov.ru/order/business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6DE3A4-E793-44DE-924B-AC41A93EC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9</Pages>
  <Words>1314</Words>
  <Characters>7495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4</cp:revision>
  <dcterms:created xsi:type="dcterms:W3CDTF">2015-05-15T11:04:00Z</dcterms:created>
  <dcterms:modified xsi:type="dcterms:W3CDTF">2015-05-15T11:20:00Z</dcterms:modified>
</cp:coreProperties>
</file>