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05D" w:rsidRPr="004F205D" w:rsidRDefault="004F205D" w:rsidP="004F205D">
      <w:pPr>
        <w:pStyle w:val="a7"/>
        <w:spacing w:line="360" w:lineRule="auto"/>
        <w:ind w:right="57" w:firstLine="708"/>
        <w:jc w:val="both"/>
        <w:rPr>
          <w:sz w:val="28"/>
          <w:szCs w:val="28"/>
        </w:rPr>
      </w:pPr>
      <w:r>
        <w:rPr>
          <w:sz w:val="28"/>
          <w:szCs w:val="28"/>
        </w:rPr>
        <w:t>Задача</w:t>
      </w:r>
    </w:p>
    <w:p w:rsidR="004F205D" w:rsidRPr="004F205D" w:rsidRDefault="004F205D" w:rsidP="004F205D">
      <w:pPr>
        <w:suppressAutoHyphens/>
        <w:spacing w:line="360" w:lineRule="auto"/>
        <w:ind w:left="708"/>
        <w:jc w:val="both"/>
        <w:rPr>
          <w:rFonts w:ascii="Times New Roman" w:hAnsi="Times New Roman" w:cs="Times New Roman"/>
          <w:sz w:val="28"/>
          <w:szCs w:val="28"/>
        </w:rPr>
      </w:pPr>
      <w:r w:rsidRPr="004F205D">
        <w:rPr>
          <w:rFonts w:ascii="Times New Roman" w:hAnsi="Times New Roman" w:cs="Times New Roman"/>
          <w:sz w:val="28"/>
          <w:szCs w:val="28"/>
        </w:rPr>
        <w:t>Рабочий документ аудитора «Правовая оценка договоров с поставщиками и подрядчиками»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2"/>
        <w:gridCol w:w="4759"/>
      </w:tblGrid>
      <w:tr w:rsidR="004F205D" w:rsidRPr="004F205D" w:rsidTr="008911AD">
        <w:trPr>
          <w:jc w:val="center"/>
        </w:trPr>
        <w:tc>
          <w:tcPr>
            <w:tcW w:w="4927" w:type="dxa"/>
          </w:tcPr>
          <w:p w:rsidR="004F205D" w:rsidRPr="004F205D" w:rsidRDefault="004F205D" w:rsidP="004F205D">
            <w:pPr>
              <w:suppressAutoHyphens/>
              <w:spacing w:line="360" w:lineRule="auto"/>
              <w:jc w:val="both"/>
              <w:rPr>
                <w:rFonts w:ascii="Times New Roman" w:hAnsi="Times New Roman" w:cs="Times New Roman"/>
                <w:sz w:val="28"/>
                <w:szCs w:val="28"/>
              </w:rPr>
            </w:pPr>
            <w:r w:rsidRPr="004F205D">
              <w:rPr>
                <w:rFonts w:ascii="Times New Roman" w:hAnsi="Times New Roman" w:cs="Times New Roman"/>
                <w:sz w:val="28"/>
                <w:szCs w:val="28"/>
              </w:rPr>
              <w:t>Направление аудита</w:t>
            </w:r>
          </w:p>
        </w:tc>
        <w:tc>
          <w:tcPr>
            <w:tcW w:w="4927" w:type="dxa"/>
          </w:tcPr>
          <w:p w:rsidR="004F205D" w:rsidRPr="004F205D" w:rsidRDefault="004F205D" w:rsidP="004F205D">
            <w:pPr>
              <w:suppressAutoHyphens/>
              <w:spacing w:line="360" w:lineRule="auto"/>
              <w:jc w:val="both"/>
              <w:rPr>
                <w:rFonts w:ascii="Times New Roman" w:hAnsi="Times New Roman" w:cs="Times New Roman"/>
                <w:sz w:val="28"/>
                <w:szCs w:val="28"/>
              </w:rPr>
            </w:pPr>
            <w:r w:rsidRPr="004F205D">
              <w:rPr>
                <w:rFonts w:ascii="Times New Roman" w:hAnsi="Times New Roman" w:cs="Times New Roman"/>
                <w:sz w:val="28"/>
                <w:szCs w:val="28"/>
              </w:rPr>
              <w:t>Выводы аудитора</w:t>
            </w:r>
          </w:p>
        </w:tc>
      </w:tr>
      <w:tr w:rsidR="004F205D" w:rsidRPr="004F205D" w:rsidTr="008911AD">
        <w:trPr>
          <w:jc w:val="center"/>
        </w:trPr>
        <w:tc>
          <w:tcPr>
            <w:tcW w:w="4927" w:type="dxa"/>
            <w:vAlign w:val="center"/>
          </w:tcPr>
          <w:p w:rsidR="004F205D" w:rsidRPr="004F205D" w:rsidRDefault="004F205D" w:rsidP="004F205D">
            <w:pPr>
              <w:pStyle w:val="aa"/>
              <w:numPr>
                <w:ilvl w:val="0"/>
                <w:numId w:val="1"/>
              </w:numPr>
              <w:suppressAutoHyphens/>
              <w:spacing w:after="0" w:line="360" w:lineRule="auto"/>
              <w:jc w:val="both"/>
              <w:rPr>
                <w:rFonts w:ascii="Times New Roman" w:hAnsi="Times New Roman"/>
                <w:sz w:val="28"/>
                <w:szCs w:val="28"/>
              </w:rPr>
            </w:pPr>
            <w:r w:rsidRPr="004F205D">
              <w:rPr>
                <w:rFonts w:ascii="Times New Roman" w:hAnsi="Times New Roman"/>
                <w:sz w:val="28"/>
                <w:szCs w:val="28"/>
              </w:rPr>
              <w:t>Наличие всех договоров с поставщиками и подрядчиками</w:t>
            </w:r>
          </w:p>
        </w:tc>
        <w:tc>
          <w:tcPr>
            <w:tcW w:w="4927" w:type="dxa"/>
            <w:vAlign w:val="center"/>
          </w:tcPr>
          <w:p w:rsidR="004F205D" w:rsidRPr="004F205D" w:rsidRDefault="004F205D" w:rsidP="004F205D">
            <w:pPr>
              <w:suppressAutoHyphens/>
              <w:spacing w:line="360" w:lineRule="auto"/>
              <w:jc w:val="both"/>
              <w:rPr>
                <w:rFonts w:ascii="Times New Roman" w:hAnsi="Times New Roman" w:cs="Times New Roman"/>
                <w:sz w:val="28"/>
                <w:szCs w:val="28"/>
              </w:rPr>
            </w:pPr>
          </w:p>
        </w:tc>
      </w:tr>
      <w:tr w:rsidR="004F205D" w:rsidRPr="004F205D" w:rsidTr="008911AD">
        <w:trPr>
          <w:jc w:val="center"/>
        </w:trPr>
        <w:tc>
          <w:tcPr>
            <w:tcW w:w="4927" w:type="dxa"/>
            <w:vAlign w:val="center"/>
          </w:tcPr>
          <w:p w:rsidR="004F205D" w:rsidRPr="004F205D" w:rsidRDefault="004F205D" w:rsidP="004F205D">
            <w:pPr>
              <w:pStyle w:val="aa"/>
              <w:numPr>
                <w:ilvl w:val="0"/>
                <w:numId w:val="1"/>
              </w:numPr>
              <w:suppressAutoHyphens/>
              <w:spacing w:after="0" w:line="360" w:lineRule="auto"/>
              <w:jc w:val="both"/>
              <w:rPr>
                <w:rFonts w:ascii="Times New Roman" w:hAnsi="Times New Roman"/>
                <w:sz w:val="28"/>
                <w:szCs w:val="28"/>
              </w:rPr>
            </w:pPr>
            <w:r w:rsidRPr="004F205D">
              <w:rPr>
                <w:rFonts w:ascii="Times New Roman" w:hAnsi="Times New Roman"/>
                <w:sz w:val="28"/>
                <w:szCs w:val="28"/>
              </w:rPr>
              <w:t>Контроль договоров в части обязательных реквизитов</w:t>
            </w:r>
          </w:p>
        </w:tc>
        <w:tc>
          <w:tcPr>
            <w:tcW w:w="4927" w:type="dxa"/>
            <w:vAlign w:val="center"/>
          </w:tcPr>
          <w:p w:rsidR="004F205D" w:rsidRPr="004F205D" w:rsidRDefault="004F205D" w:rsidP="004F205D">
            <w:pPr>
              <w:suppressAutoHyphens/>
              <w:spacing w:line="360" w:lineRule="auto"/>
              <w:jc w:val="both"/>
              <w:rPr>
                <w:rFonts w:ascii="Times New Roman" w:hAnsi="Times New Roman" w:cs="Times New Roman"/>
                <w:sz w:val="28"/>
                <w:szCs w:val="28"/>
              </w:rPr>
            </w:pPr>
          </w:p>
        </w:tc>
      </w:tr>
      <w:tr w:rsidR="004F205D" w:rsidRPr="004F205D" w:rsidTr="008911AD">
        <w:trPr>
          <w:jc w:val="center"/>
        </w:trPr>
        <w:tc>
          <w:tcPr>
            <w:tcW w:w="4927" w:type="dxa"/>
            <w:vAlign w:val="center"/>
          </w:tcPr>
          <w:p w:rsidR="004F205D" w:rsidRPr="004F205D" w:rsidRDefault="004F205D" w:rsidP="004F205D">
            <w:pPr>
              <w:pStyle w:val="aa"/>
              <w:numPr>
                <w:ilvl w:val="0"/>
                <w:numId w:val="1"/>
              </w:numPr>
              <w:suppressAutoHyphens/>
              <w:spacing w:after="0" w:line="360" w:lineRule="auto"/>
              <w:jc w:val="both"/>
              <w:rPr>
                <w:rFonts w:ascii="Times New Roman" w:hAnsi="Times New Roman"/>
                <w:sz w:val="28"/>
                <w:szCs w:val="28"/>
              </w:rPr>
            </w:pPr>
            <w:r w:rsidRPr="004F205D">
              <w:rPr>
                <w:rFonts w:ascii="Times New Roman" w:hAnsi="Times New Roman"/>
                <w:sz w:val="28"/>
                <w:szCs w:val="28"/>
              </w:rPr>
              <w:t>Анализ содержания каждого договора</w:t>
            </w:r>
          </w:p>
        </w:tc>
        <w:tc>
          <w:tcPr>
            <w:tcW w:w="4927" w:type="dxa"/>
            <w:vAlign w:val="center"/>
          </w:tcPr>
          <w:p w:rsidR="004F205D" w:rsidRPr="004F205D" w:rsidRDefault="004F205D" w:rsidP="004F205D">
            <w:pPr>
              <w:suppressAutoHyphens/>
              <w:spacing w:line="360" w:lineRule="auto"/>
              <w:jc w:val="both"/>
              <w:rPr>
                <w:rFonts w:ascii="Times New Roman" w:hAnsi="Times New Roman" w:cs="Times New Roman"/>
                <w:sz w:val="28"/>
                <w:szCs w:val="28"/>
              </w:rPr>
            </w:pPr>
          </w:p>
        </w:tc>
      </w:tr>
      <w:tr w:rsidR="004F205D" w:rsidRPr="004F205D" w:rsidTr="008911AD">
        <w:trPr>
          <w:jc w:val="center"/>
        </w:trPr>
        <w:tc>
          <w:tcPr>
            <w:tcW w:w="4927" w:type="dxa"/>
            <w:vAlign w:val="center"/>
          </w:tcPr>
          <w:p w:rsidR="004F205D" w:rsidRPr="004F205D" w:rsidRDefault="004F205D" w:rsidP="004F205D">
            <w:pPr>
              <w:pStyle w:val="aa"/>
              <w:numPr>
                <w:ilvl w:val="0"/>
                <w:numId w:val="1"/>
              </w:numPr>
              <w:suppressAutoHyphens/>
              <w:spacing w:after="0" w:line="360" w:lineRule="auto"/>
              <w:jc w:val="both"/>
              <w:rPr>
                <w:rFonts w:ascii="Times New Roman" w:hAnsi="Times New Roman"/>
                <w:sz w:val="28"/>
                <w:szCs w:val="28"/>
              </w:rPr>
            </w:pPr>
            <w:r w:rsidRPr="004F205D">
              <w:rPr>
                <w:rFonts w:ascii="Times New Roman" w:hAnsi="Times New Roman"/>
                <w:sz w:val="28"/>
                <w:szCs w:val="28"/>
              </w:rPr>
              <w:t>Проверка приложений к договорам</w:t>
            </w:r>
          </w:p>
        </w:tc>
        <w:tc>
          <w:tcPr>
            <w:tcW w:w="4927" w:type="dxa"/>
            <w:vAlign w:val="center"/>
          </w:tcPr>
          <w:p w:rsidR="004F205D" w:rsidRPr="004F205D" w:rsidRDefault="004F205D" w:rsidP="004F205D">
            <w:pPr>
              <w:suppressAutoHyphens/>
              <w:spacing w:line="360" w:lineRule="auto"/>
              <w:jc w:val="both"/>
              <w:rPr>
                <w:rFonts w:ascii="Times New Roman" w:hAnsi="Times New Roman" w:cs="Times New Roman"/>
                <w:sz w:val="28"/>
                <w:szCs w:val="28"/>
              </w:rPr>
            </w:pPr>
          </w:p>
        </w:tc>
      </w:tr>
    </w:tbl>
    <w:p w:rsidR="004F205D" w:rsidRPr="004F205D" w:rsidRDefault="004F205D" w:rsidP="004F205D">
      <w:pPr>
        <w:pStyle w:val="a7"/>
        <w:spacing w:line="360" w:lineRule="auto"/>
        <w:ind w:right="57"/>
        <w:jc w:val="both"/>
        <w:rPr>
          <w:b w:val="0"/>
          <w:sz w:val="28"/>
          <w:szCs w:val="28"/>
        </w:rPr>
      </w:pPr>
    </w:p>
    <w:p w:rsidR="004F205D" w:rsidRDefault="004F205D" w:rsidP="004F205D">
      <w:pPr>
        <w:pStyle w:val="a7"/>
        <w:spacing w:line="360" w:lineRule="auto"/>
        <w:ind w:right="57"/>
        <w:jc w:val="both"/>
        <w:rPr>
          <w:b w:val="0"/>
          <w:sz w:val="28"/>
          <w:szCs w:val="28"/>
        </w:rPr>
      </w:pPr>
      <w:r w:rsidRPr="004F205D">
        <w:rPr>
          <w:b w:val="0"/>
          <w:sz w:val="28"/>
          <w:szCs w:val="28"/>
        </w:rPr>
        <w:t>Требуется составить рабочий документ аудитора «Правовая оценка договоров с поставщиками и подрядчиками» (описать выводы аудитора). Какими внутренними стандартами будет руководствоваться аудитор? Какие аудиторские процедуры применяет аудитор?</w:t>
      </w:r>
    </w:p>
    <w:p w:rsidR="00340368" w:rsidRDefault="00340368" w:rsidP="004F205D">
      <w:pPr>
        <w:pStyle w:val="a7"/>
        <w:spacing w:line="360" w:lineRule="auto"/>
        <w:ind w:right="57"/>
        <w:jc w:val="both"/>
        <w:rPr>
          <w:b w:val="0"/>
          <w:sz w:val="28"/>
          <w:szCs w:val="28"/>
        </w:rPr>
      </w:pPr>
    </w:p>
    <w:p w:rsidR="00340368" w:rsidRPr="00AB1BC2" w:rsidRDefault="00340368" w:rsidP="00340368">
      <w:pPr>
        <w:spacing w:after="0" w:line="360" w:lineRule="auto"/>
        <w:ind w:firstLine="709"/>
        <w:jc w:val="both"/>
        <w:rPr>
          <w:rFonts w:ascii="Times New Roman" w:hAnsi="Times New Roman" w:cs="Times New Roman"/>
          <w:sz w:val="28"/>
          <w:szCs w:val="28"/>
        </w:rPr>
      </w:pPr>
      <w:r w:rsidRPr="00AB1BC2">
        <w:rPr>
          <w:rFonts w:ascii="Times New Roman" w:hAnsi="Times New Roman" w:cs="Times New Roman"/>
          <w:sz w:val="28"/>
          <w:szCs w:val="28"/>
        </w:rPr>
        <w:t>В соответствии с разработанным планом проверки аудитор должен дать правовую оценку договорам с поставщиками и подрядчиками. Договором признается соглашение двух или нескольких лиц об установлении, изменении или прекращении гражданских прав и обязанностей.</w:t>
      </w:r>
    </w:p>
    <w:p w:rsidR="00340368" w:rsidRPr="00AB1BC2" w:rsidRDefault="00340368" w:rsidP="00340368">
      <w:pPr>
        <w:spacing w:after="0" w:line="360" w:lineRule="auto"/>
        <w:ind w:firstLine="709"/>
        <w:jc w:val="both"/>
        <w:rPr>
          <w:rFonts w:ascii="Times New Roman" w:hAnsi="Times New Roman" w:cs="Times New Roman"/>
          <w:sz w:val="28"/>
          <w:szCs w:val="28"/>
        </w:rPr>
      </w:pPr>
      <w:r w:rsidRPr="00AB1BC2">
        <w:rPr>
          <w:rFonts w:ascii="Times New Roman" w:hAnsi="Times New Roman" w:cs="Times New Roman"/>
          <w:sz w:val="28"/>
          <w:szCs w:val="28"/>
        </w:rPr>
        <w:t>Основная цель проверки договоров - установить соответствие совершенных операций по расчетам с поставщиками  и подрядчиками действующему законодательству и достоверность отражения этих операций в бухгалтерской отчетности.</w:t>
      </w:r>
    </w:p>
    <w:p w:rsidR="00340368" w:rsidRPr="00AB1BC2" w:rsidRDefault="00340368" w:rsidP="00340368">
      <w:pPr>
        <w:spacing w:after="0" w:line="360" w:lineRule="auto"/>
        <w:ind w:firstLine="709"/>
        <w:jc w:val="both"/>
        <w:rPr>
          <w:rFonts w:ascii="Times New Roman" w:hAnsi="Times New Roman" w:cs="Times New Roman"/>
          <w:sz w:val="28"/>
          <w:szCs w:val="28"/>
        </w:rPr>
      </w:pPr>
      <w:r w:rsidRPr="00AB1BC2">
        <w:rPr>
          <w:rFonts w:ascii="Times New Roman" w:hAnsi="Times New Roman" w:cs="Times New Roman"/>
          <w:sz w:val="28"/>
          <w:szCs w:val="28"/>
        </w:rPr>
        <w:lastRenderedPageBreak/>
        <w:t xml:space="preserve">В соответствии  с  правилами  (стандартов)  аудиторской  деятельности  аудиторская организация самостоятельно  разрабатывает  методики  и  порядок  изучения и оценки договоров с поставщиками и подрядчиками,  а  также планируют процедуры аудиторской проверки в зависимости от результатов  такого  изучения  и  оценки. </w:t>
      </w:r>
    </w:p>
    <w:p w:rsidR="00340368" w:rsidRPr="00AB1BC2" w:rsidRDefault="00340368" w:rsidP="00340368">
      <w:pPr>
        <w:spacing w:after="0" w:line="360" w:lineRule="auto"/>
        <w:ind w:firstLine="709"/>
        <w:jc w:val="both"/>
        <w:rPr>
          <w:rFonts w:ascii="Times New Roman" w:hAnsi="Times New Roman" w:cs="Times New Roman"/>
          <w:sz w:val="28"/>
          <w:szCs w:val="28"/>
        </w:rPr>
      </w:pPr>
      <w:r w:rsidRPr="00AB1BC2">
        <w:rPr>
          <w:rFonts w:ascii="Times New Roman" w:hAnsi="Times New Roman" w:cs="Times New Roman"/>
          <w:sz w:val="28"/>
          <w:szCs w:val="28"/>
        </w:rPr>
        <w:t>При проведении аудита и документировании используются  следующие  типовые  формы:  специально   разработанные  тестовые  процедуры;  перечни   типовых  вопросов  для  выяснения  мнения  руководящего   персонала   и   работников  бухгалтерии (юридического отдела); специальные бланки и проверочные листы; блок-схемы и  графики;  перечни замечаний, протоколы или акты.</w:t>
      </w:r>
    </w:p>
    <w:p w:rsidR="00340368" w:rsidRPr="00AB1BC2" w:rsidRDefault="00340368" w:rsidP="00340368">
      <w:pPr>
        <w:spacing w:after="0" w:line="360" w:lineRule="auto"/>
        <w:ind w:firstLine="709"/>
        <w:jc w:val="both"/>
        <w:rPr>
          <w:rFonts w:ascii="Times New Roman" w:hAnsi="Times New Roman" w:cs="Times New Roman"/>
          <w:sz w:val="28"/>
          <w:szCs w:val="28"/>
        </w:rPr>
      </w:pPr>
      <w:r w:rsidRPr="00AB1BC2">
        <w:rPr>
          <w:rFonts w:ascii="Times New Roman" w:hAnsi="Times New Roman" w:cs="Times New Roman"/>
          <w:sz w:val="28"/>
          <w:szCs w:val="28"/>
        </w:rPr>
        <w:t>Различают две группы договоров: с поставщиками и с подрядчиками.</w:t>
      </w:r>
    </w:p>
    <w:p w:rsidR="00340368" w:rsidRPr="00AB1BC2" w:rsidRDefault="00340368" w:rsidP="00340368">
      <w:pPr>
        <w:spacing w:after="0" w:line="360" w:lineRule="auto"/>
        <w:ind w:firstLine="709"/>
        <w:jc w:val="both"/>
        <w:rPr>
          <w:rFonts w:ascii="Times New Roman" w:hAnsi="Times New Roman" w:cs="Times New Roman"/>
          <w:sz w:val="28"/>
          <w:szCs w:val="28"/>
        </w:rPr>
      </w:pPr>
      <w:r w:rsidRPr="00AB1BC2">
        <w:rPr>
          <w:rFonts w:ascii="Times New Roman" w:hAnsi="Times New Roman" w:cs="Times New Roman"/>
          <w:sz w:val="28"/>
          <w:szCs w:val="28"/>
        </w:rPr>
        <w:t>Первая группа - экспертиза договоров с поставщиками. Операции по поступлению на предприятие различных товарно-материальных ценностей и имущественных прав оформляются договорами этой группы. В ходе проведения аудита аудитор должен убедиться в том, что форма заключенного договора полностью соответствует экономическому смыслу совершенной предприятием сделки, а также в том, что договор содержит все существенные условия и риск признания договора недействительным отсутствует. Договора этой группы отличает то, что предметом этих договоров является приобретение вещи или вещественных прав, обладающих количественными и стоимостными характеристиками. Проверка соблюдения этих договоров происходит путем сверки данных количественного и стоимостного учета по приобретенным ценностям с условиями договора, что подтверждает факт сделки. Договора с поставщиками проверяют, используя репрезентативную выборку, так как они однотипны, и при проверке определенного количества отобранных договоров можно составить мнение о всей проверяемой совокупности.</w:t>
      </w:r>
    </w:p>
    <w:p w:rsidR="00340368" w:rsidRPr="00AB1BC2" w:rsidRDefault="00340368" w:rsidP="00340368">
      <w:pPr>
        <w:spacing w:after="0" w:line="360" w:lineRule="auto"/>
        <w:ind w:firstLine="709"/>
        <w:jc w:val="both"/>
        <w:rPr>
          <w:rFonts w:ascii="Times New Roman" w:hAnsi="Times New Roman" w:cs="Times New Roman"/>
          <w:sz w:val="28"/>
          <w:szCs w:val="28"/>
        </w:rPr>
      </w:pPr>
      <w:r w:rsidRPr="00AB1BC2">
        <w:rPr>
          <w:rFonts w:ascii="Times New Roman" w:hAnsi="Times New Roman" w:cs="Times New Roman"/>
          <w:sz w:val="28"/>
          <w:szCs w:val="28"/>
        </w:rPr>
        <w:lastRenderedPageBreak/>
        <w:t>Вторая группа - экспертиза договоров с подрядчиками. Довольно трудоемкая процедура по подтверждению факта выполнения работ, оказания услуг по договорам с подрядчиками. Предметом договоров с подрядчиками является выполнение определенной работы и сдача ее результатов заказчику. При этом некоторые виды работ не имеют вещного выражения, и определить их содержание и полноту не всегда просто. Наибольший риск при аудите в этой группе представляют договора возмездного оказания услуг: реклама, маркетинговые исследования, консультационные, нотариальные, пожарные, охранные и другие услуги подобного типа. Данные услуги довольно дорогие и риск, что подтверждающие их совершение первичные документы (аудиторские доказательства) некачественны - довольно высок. Помимо этого велика вероятность фиктивных договоров, которые обеспечивают фиктивные выплаты.</w:t>
      </w:r>
    </w:p>
    <w:p w:rsidR="00340368" w:rsidRPr="00AB1BC2" w:rsidRDefault="00340368" w:rsidP="00340368">
      <w:pPr>
        <w:spacing w:after="0" w:line="360" w:lineRule="auto"/>
        <w:ind w:firstLine="709"/>
        <w:jc w:val="both"/>
        <w:rPr>
          <w:rFonts w:ascii="Times New Roman" w:hAnsi="Times New Roman" w:cs="Times New Roman"/>
          <w:sz w:val="28"/>
          <w:szCs w:val="28"/>
        </w:rPr>
      </w:pPr>
      <w:r w:rsidRPr="00AB1BC2">
        <w:rPr>
          <w:rFonts w:ascii="Times New Roman" w:hAnsi="Times New Roman" w:cs="Times New Roman"/>
          <w:sz w:val="28"/>
          <w:szCs w:val="28"/>
        </w:rPr>
        <w:t>Исходя из всех перечисленных факторов, аудитору следует со всей ответственностью давать правовую оценку договоров второй группы, особенно договоров возмездного оказания услуг. При аудите следует применять либо сплошную проверку таких договоров, либо непредставительную выборку договоров с большой степенью риска, опираясь на личное суждение аудитора. При необходимости аудитору следует привлекать к правовой экспертизе договоров эксперта, компетентного в юридических вопросах.</w:t>
      </w:r>
    </w:p>
    <w:p w:rsidR="00340368" w:rsidRPr="00AB1BC2" w:rsidRDefault="00340368" w:rsidP="00340368">
      <w:pPr>
        <w:spacing w:after="0" w:line="360" w:lineRule="auto"/>
        <w:ind w:firstLine="709"/>
        <w:jc w:val="both"/>
        <w:rPr>
          <w:rFonts w:ascii="Times New Roman" w:hAnsi="Times New Roman" w:cs="Times New Roman"/>
          <w:sz w:val="28"/>
          <w:szCs w:val="28"/>
          <w:shd w:val="clear" w:color="auto" w:fill="FFFFFF"/>
        </w:rPr>
      </w:pPr>
      <w:r w:rsidRPr="00AB1BC2">
        <w:rPr>
          <w:rFonts w:ascii="Times New Roman" w:hAnsi="Times New Roman" w:cs="Times New Roman"/>
          <w:sz w:val="28"/>
          <w:szCs w:val="28"/>
          <w:shd w:val="clear" w:color="auto" w:fill="FFFFFF"/>
        </w:rPr>
        <w:t>Рабочий документ аудитора «Правовая оценка договоров с поставщиками и подрядчиками»</w:t>
      </w:r>
    </w:p>
    <w:tbl>
      <w:tblPr>
        <w:tblStyle w:val="a9"/>
        <w:tblW w:w="0" w:type="auto"/>
        <w:tblLook w:val="04A0"/>
      </w:tblPr>
      <w:tblGrid>
        <w:gridCol w:w="4785"/>
        <w:gridCol w:w="4786"/>
      </w:tblGrid>
      <w:tr w:rsidR="00340368" w:rsidRPr="00DD24FD" w:rsidTr="00BD1042">
        <w:tc>
          <w:tcPr>
            <w:tcW w:w="4785" w:type="dxa"/>
          </w:tcPr>
          <w:p w:rsidR="00340368" w:rsidRPr="00DD24FD" w:rsidRDefault="00340368" w:rsidP="00BD1042">
            <w:pPr>
              <w:jc w:val="both"/>
              <w:rPr>
                <w:rFonts w:ascii="Times New Roman" w:hAnsi="Times New Roman" w:cs="Times New Roman"/>
                <w:sz w:val="24"/>
                <w:szCs w:val="24"/>
                <w:shd w:val="clear" w:color="auto" w:fill="FFFFFF"/>
              </w:rPr>
            </w:pPr>
            <w:r w:rsidRPr="00DD24FD">
              <w:rPr>
                <w:rFonts w:ascii="Times New Roman" w:hAnsi="Times New Roman" w:cs="Times New Roman"/>
                <w:sz w:val="24"/>
                <w:szCs w:val="24"/>
                <w:shd w:val="clear" w:color="auto" w:fill="FFFFFF"/>
              </w:rPr>
              <w:t>Направление аудита</w:t>
            </w:r>
          </w:p>
        </w:tc>
        <w:tc>
          <w:tcPr>
            <w:tcW w:w="4786" w:type="dxa"/>
          </w:tcPr>
          <w:p w:rsidR="00340368" w:rsidRPr="00DD24FD" w:rsidRDefault="00340368" w:rsidP="00BD1042">
            <w:pPr>
              <w:jc w:val="both"/>
              <w:rPr>
                <w:rFonts w:ascii="Times New Roman" w:hAnsi="Times New Roman" w:cs="Times New Roman"/>
                <w:sz w:val="24"/>
                <w:szCs w:val="24"/>
                <w:shd w:val="clear" w:color="auto" w:fill="FFFFFF"/>
              </w:rPr>
            </w:pPr>
            <w:r w:rsidRPr="00DD24FD">
              <w:rPr>
                <w:rFonts w:ascii="Times New Roman" w:hAnsi="Times New Roman" w:cs="Times New Roman"/>
                <w:sz w:val="24"/>
                <w:szCs w:val="24"/>
                <w:shd w:val="clear" w:color="auto" w:fill="FFFFFF"/>
              </w:rPr>
              <w:t>Выводы аудитора</w:t>
            </w:r>
          </w:p>
        </w:tc>
      </w:tr>
      <w:tr w:rsidR="00340368" w:rsidRPr="00DD24FD" w:rsidTr="00BD1042">
        <w:tc>
          <w:tcPr>
            <w:tcW w:w="4785" w:type="dxa"/>
          </w:tcPr>
          <w:p w:rsidR="00340368" w:rsidRPr="00DD24FD" w:rsidRDefault="00340368" w:rsidP="00BD1042">
            <w:pPr>
              <w:jc w:val="both"/>
              <w:rPr>
                <w:rFonts w:ascii="Times New Roman" w:hAnsi="Times New Roman" w:cs="Times New Roman"/>
                <w:sz w:val="24"/>
                <w:szCs w:val="24"/>
                <w:shd w:val="clear" w:color="auto" w:fill="FFFFFF"/>
              </w:rPr>
            </w:pPr>
            <w:r w:rsidRPr="00DD24FD">
              <w:rPr>
                <w:rFonts w:ascii="Times New Roman" w:hAnsi="Times New Roman" w:cs="Times New Roman"/>
                <w:sz w:val="24"/>
                <w:szCs w:val="24"/>
                <w:shd w:val="clear" w:color="auto" w:fill="FFFFFF"/>
              </w:rPr>
              <w:t>1. Наличие всех договоров с поставщиками и подрядчиками</w:t>
            </w:r>
          </w:p>
        </w:tc>
        <w:tc>
          <w:tcPr>
            <w:tcW w:w="4786" w:type="dxa"/>
          </w:tcPr>
          <w:p w:rsidR="00340368" w:rsidRPr="00DD24FD" w:rsidRDefault="00340368" w:rsidP="00BD1042">
            <w:pPr>
              <w:rPr>
                <w:rFonts w:ascii="Times New Roman" w:hAnsi="Times New Roman" w:cs="Times New Roman"/>
                <w:sz w:val="24"/>
                <w:szCs w:val="24"/>
                <w:shd w:val="clear" w:color="auto" w:fill="FFFFFF"/>
              </w:rPr>
            </w:pPr>
            <w:r w:rsidRPr="00DD24FD">
              <w:rPr>
                <w:rFonts w:ascii="Times New Roman" w:hAnsi="Times New Roman" w:cs="Times New Roman"/>
                <w:sz w:val="24"/>
                <w:szCs w:val="24"/>
                <w:shd w:val="clear" w:color="auto" w:fill="FFFFFF"/>
              </w:rPr>
              <w:t>Да, в наличии</w:t>
            </w:r>
            <w:r>
              <w:rPr>
                <w:rFonts w:ascii="Times New Roman" w:hAnsi="Times New Roman" w:cs="Times New Roman"/>
                <w:sz w:val="24"/>
                <w:szCs w:val="24"/>
                <w:shd w:val="clear" w:color="auto" w:fill="FFFFFF"/>
              </w:rPr>
              <w:t xml:space="preserve"> есть</w:t>
            </w:r>
            <w:r w:rsidRPr="00DD24FD">
              <w:rPr>
                <w:rFonts w:ascii="Times New Roman" w:hAnsi="Times New Roman" w:cs="Times New Roman"/>
                <w:sz w:val="24"/>
                <w:szCs w:val="24"/>
                <w:shd w:val="clear" w:color="auto" w:fill="FFFFFF"/>
              </w:rPr>
              <w:t xml:space="preserve"> все договора с поставщиками и подрядчиками. Контроль удовлетворительный</w:t>
            </w:r>
          </w:p>
        </w:tc>
      </w:tr>
      <w:tr w:rsidR="00340368" w:rsidRPr="00DD24FD" w:rsidTr="00BD1042">
        <w:tc>
          <w:tcPr>
            <w:tcW w:w="4785" w:type="dxa"/>
          </w:tcPr>
          <w:p w:rsidR="00340368" w:rsidRPr="00DD24FD" w:rsidRDefault="00340368" w:rsidP="00BD1042">
            <w:pPr>
              <w:jc w:val="both"/>
              <w:rPr>
                <w:rFonts w:ascii="Times New Roman" w:hAnsi="Times New Roman" w:cs="Times New Roman"/>
                <w:sz w:val="24"/>
                <w:szCs w:val="24"/>
                <w:shd w:val="clear" w:color="auto" w:fill="FFFFFF"/>
              </w:rPr>
            </w:pPr>
            <w:r w:rsidRPr="00DD24FD">
              <w:rPr>
                <w:rFonts w:ascii="Times New Roman" w:hAnsi="Times New Roman" w:cs="Times New Roman"/>
                <w:sz w:val="24"/>
                <w:szCs w:val="24"/>
                <w:shd w:val="clear" w:color="auto" w:fill="FFFFFF"/>
              </w:rPr>
              <w:t>2. Контроль договоров в части обязательных реквизитов</w:t>
            </w:r>
          </w:p>
        </w:tc>
        <w:tc>
          <w:tcPr>
            <w:tcW w:w="4786" w:type="dxa"/>
          </w:tcPr>
          <w:p w:rsidR="00340368" w:rsidRPr="00DD24FD" w:rsidRDefault="00340368" w:rsidP="00BD1042">
            <w:pPr>
              <w:jc w:val="both"/>
              <w:rPr>
                <w:rFonts w:ascii="Times New Roman" w:hAnsi="Times New Roman" w:cs="Times New Roman"/>
                <w:sz w:val="24"/>
                <w:szCs w:val="24"/>
                <w:shd w:val="clear" w:color="auto" w:fill="FFFFFF"/>
              </w:rPr>
            </w:pPr>
            <w:r w:rsidRPr="00DD24FD">
              <w:rPr>
                <w:rFonts w:ascii="Times New Roman" w:hAnsi="Times New Roman" w:cs="Times New Roman"/>
                <w:sz w:val="24"/>
                <w:szCs w:val="24"/>
                <w:shd w:val="clear" w:color="auto" w:fill="FFFFFF"/>
              </w:rPr>
              <w:t>Все реквизиты заполнены верно. Контроль удовлетворительный</w:t>
            </w:r>
          </w:p>
        </w:tc>
      </w:tr>
      <w:tr w:rsidR="00340368" w:rsidRPr="00DD24FD" w:rsidTr="00BD1042">
        <w:tc>
          <w:tcPr>
            <w:tcW w:w="4785" w:type="dxa"/>
          </w:tcPr>
          <w:p w:rsidR="00340368" w:rsidRPr="00DD24FD" w:rsidRDefault="00340368" w:rsidP="00BD1042">
            <w:pPr>
              <w:jc w:val="both"/>
              <w:rPr>
                <w:rFonts w:ascii="Times New Roman" w:hAnsi="Times New Roman" w:cs="Times New Roman"/>
                <w:sz w:val="24"/>
                <w:szCs w:val="24"/>
                <w:shd w:val="clear" w:color="auto" w:fill="FFFFFF"/>
              </w:rPr>
            </w:pPr>
            <w:r w:rsidRPr="00DD24FD">
              <w:rPr>
                <w:rFonts w:ascii="Times New Roman" w:hAnsi="Times New Roman" w:cs="Times New Roman"/>
                <w:sz w:val="24"/>
                <w:szCs w:val="24"/>
                <w:shd w:val="clear" w:color="auto" w:fill="FFFFFF"/>
              </w:rPr>
              <w:t>3. Анализ содержания каждого договора</w:t>
            </w:r>
          </w:p>
        </w:tc>
        <w:tc>
          <w:tcPr>
            <w:tcW w:w="4786" w:type="dxa"/>
          </w:tcPr>
          <w:p w:rsidR="00340368" w:rsidRPr="00DD24FD" w:rsidRDefault="00340368" w:rsidP="00BD1042">
            <w:pPr>
              <w:rPr>
                <w:rFonts w:ascii="Times New Roman" w:hAnsi="Times New Roman" w:cs="Times New Roman"/>
                <w:sz w:val="24"/>
                <w:szCs w:val="24"/>
              </w:rPr>
            </w:pPr>
            <w:r w:rsidRPr="00DD24FD">
              <w:rPr>
                <w:rFonts w:ascii="Times New Roman" w:hAnsi="Times New Roman" w:cs="Times New Roman"/>
                <w:sz w:val="24"/>
                <w:szCs w:val="24"/>
                <w:shd w:val="clear" w:color="auto" w:fill="FFFFFF"/>
              </w:rPr>
              <w:t xml:space="preserve">Договора содержат все необходимые разделы: преамбулу, </w:t>
            </w:r>
            <w:r w:rsidRPr="00DD24FD">
              <w:rPr>
                <w:rFonts w:ascii="Times New Roman" w:hAnsi="Times New Roman" w:cs="Times New Roman"/>
                <w:sz w:val="24"/>
                <w:szCs w:val="24"/>
              </w:rPr>
              <w:t xml:space="preserve">предмет, цену и порядок расчетов, права и обязанности сторон, сроки выполнения работ (поставки </w:t>
            </w:r>
            <w:r w:rsidRPr="00DD24FD">
              <w:rPr>
                <w:rFonts w:ascii="Times New Roman" w:hAnsi="Times New Roman" w:cs="Times New Roman"/>
                <w:sz w:val="24"/>
                <w:szCs w:val="24"/>
              </w:rPr>
              <w:lastRenderedPageBreak/>
              <w:t>продукции), порядок сдачи и приемки работ (условия поставки продукции), ответственность сторон, форс-мажорные обстоятельства, порядок разрешения споров, порядок расторжения договора, срок действия договора, прочие условия, адреса места нахождения, банковские реквизиты и подписи сторон</w:t>
            </w:r>
            <w:r>
              <w:rPr>
                <w:rFonts w:ascii="Times New Roman" w:hAnsi="Times New Roman" w:cs="Times New Roman"/>
                <w:sz w:val="24"/>
                <w:szCs w:val="24"/>
              </w:rPr>
              <w:t>.</w:t>
            </w:r>
          </w:p>
          <w:p w:rsidR="00340368" w:rsidRPr="00DD24FD" w:rsidRDefault="00340368" w:rsidP="00BD1042">
            <w:pPr>
              <w:jc w:val="both"/>
              <w:rPr>
                <w:rFonts w:ascii="Times New Roman" w:hAnsi="Times New Roman" w:cs="Times New Roman"/>
                <w:sz w:val="24"/>
                <w:szCs w:val="24"/>
                <w:shd w:val="clear" w:color="auto" w:fill="FFFFFF"/>
              </w:rPr>
            </w:pPr>
            <w:r w:rsidRPr="00DD24FD">
              <w:rPr>
                <w:rFonts w:ascii="Times New Roman" w:hAnsi="Times New Roman" w:cs="Times New Roman"/>
                <w:sz w:val="24"/>
                <w:szCs w:val="24"/>
                <w:shd w:val="clear" w:color="auto" w:fill="FFFFFF"/>
              </w:rPr>
              <w:t>Контроль удовлетворительный</w:t>
            </w:r>
          </w:p>
        </w:tc>
      </w:tr>
      <w:tr w:rsidR="00340368" w:rsidRPr="00DD24FD" w:rsidTr="00BD1042">
        <w:tc>
          <w:tcPr>
            <w:tcW w:w="4785" w:type="dxa"/>
          </w:tcPr>
          <w:p w:rsidR="00340368" w:rsidRPr="00DD24FD" w:rsidRDefault="00340368" w:rsidP="00BD1042">
            <w:pPr>
              <w:jc w:val="both"/>
              <w:rPr>
                <w:rFonts w:ascii="Times New Roman" w:hAnsi="Times New Roman" w:cs="Times New Roman"/>
                <w:sz w:val="24"/>
                <w:szCs w:val="24"/>
                <w:shd w:val="clear" w:color="auto" w:fill="FFFFFF"/>
              </w:rPr>
            </w:pPr>
            <w:r w:rsidRPr="00DD24FD">
              <w:rPr>
                <w:rFonts w:ascii="Times New Roman" w:hAnsi="Times New Roman" w:cs="Times New Roman"/>
                <w:sz w:val="24"/>
                <w:szCs w:val="24"/>
                <w:shd w:val="clear" w:color="auto" w:fill="FFFFFF"/>
              </w:rPr>
              <w:lastRenderedPageBreak/>
              <w:t>4. Проверка приложений к договорам</w:t>
            </w:r>
          </w:p>
        </w:tc>
        <w:tc>
          <w:tcPr>
            <w:tcW w:w="4786" w:type="dxa"/>
          </w:tcPr>
          <w:p w:rsidR="00340368" w:rsidRPr="00DD24FD" w:rsidRDefault="00340368" w:rsidP="00BD1042">
            <w:pPr>
              <w:rPr>
                <w:rFonts w:ascii="Times New Roman" w:hAnsi="Times New Roman" w:cs="Times New Roman"/>
                <w:sz w:val="24"/>
                <w:szCs w:val="24"/>
                <w:shd w:val="clear" w:color="auto" w:fill="FFFFFF"/>
              </w:rPr>
            </w:pPr>
            <w:r w:rsidRPr="00DD24FD">
              <w:rPr>
                <w:rFonts w:ascii="Times New Roman" w:hAnsi="Times New Roman" w:cs="Times New Roman"/>
                <w:sz w:val="24"/>
                <w:szCs w:val="24"/>
                <w:shd w:val="clear" w:color="auto" w:fill="FFFFFF"/>
              </w:rPr>
              <w:t>Да, ко всем договорам есть необходимые приложе</w:t>
            </w:r>
            <w:r>
              <w:rPr>
                <w:rFonts w:ascii="Times New Roman" w:hAnsi="Times New Roman" w:cs="Times New Roman"/>
                <w:sz w:val="24"/>
                <w:szCs w:val="24"/>
                <w:shd w:val="clear" w:color="auto" w:fill="FFFFFF"/>
              </w:rPr>
              <w:t>ния</w:t>
            </w:r>
            <w:r w:rsidRPr="00DD24FD">
              <w:rPr>
                <w:rFonts w:ascii="Times New Roman" w:hAnsi="Times New Roman" w:cs="Times New Roman"/>
                <w:sz w:val="24"/>
                <w:szCs w:val="24"/>
                <w:shd w:val="clear" w:color="auto" w:fill="FFFFFF"/>
              </w:rPr>
              <w:t>. Контроль удовлетворительный</w:t>
            </w:r>
          </w:p>
        </w:tc>
      </w:tr>
    </w:tbl>
    <w:p w:rsidR="00340368" w:rsidRPr="00AB1BC2" w:rsidRDefault="00340368" w:rsidP="00340368">
      <w:pPr>
        <w:spacing w:after="0" w:line="360" w:lineRule="auto"/>
        <w:ind w:firstLine="709"/>
        <w:jc w:val="both"/>
        <w:rPr>
          <w:rFonts w:ascii="Times New Roman" w:hAnsi="Times New Roman" w:cs="Times New Roman"/>
          <w:sz w:val="28"/>
          <w:szCs w:val="28"/>
          <w:shd w:val="clear" w:color="auto" w:fill="FFFFFF"/>
        </w:rPr>
      </w:pPr>
    </w:p>
    <w:p w:rsidR="00340368" w:rsidRPr="00AB1BC2" w:rsidRDefault="00340368" w:rsidP="00340368">
      <w:pPr>
        <w:spacing w:after="0" w:line="360" w:lineRule="auto"/>
        <w:ind w:firstLine="709"/>
        <w:jc w:val="both"/>
        <w:rPr>
          <w:rFonts w:ascii="Times New Roman" w:hAnsi="Times New Roman" w:cs="Times New Roman"/>
          <w:sz w:val="27"/>
          <w:szCs w:val="27"/>
          <w:shd w:val="clear" w:color="auto" w:fill="FFFFFF"/>
        </w:rPr>
      </w:pPr>
      <w:r w:rsidRPr="00AB1BC2">
        <w:rPr>
          <w:rFonts w:ascii="Times New Roman" w:hAnsi="Times New Roman" w:cs="Times New Roman"/>
          <w:sz w:val="28"/>
          <w:szCs w:val="28"/>
        </w:rPr>
        <w:t>Вывод: на</w:t>
      </w:r>
      <w:r>
        <w:rPr>
          <w:rFonts w:ascii="Times New Roman" w:hAnsi="Times New Roman" w:cs="Times New Roman"/>
          <w:sz w:val="28"/>
          <w:szCs w:val="28"/>
        </w:rPr>
        <w:t xml:space="preserve"> </w:t>
      </w:r>
      <w:r w:rsidRPr="00AB1BC2">
        <w:rPr>
          <w:rFonts w:ascii="Times New Roman" w:hAnsi="Times New Roman" w:cs="Times New Roman"/>
          <w:sz w:val="28"/>
          <w:szCs w:val="28"/>
        </w:rPr>
        <w:t>этапе</w:t>
      </w:r>
      <w:r>
        <w:rPr>
          <w:rFonts w:ascii="Times New Roman" w:hAnsi="Times New Roman" w:cs="Times New Roman"/>
          <w:sz w:val="28"/>
          <w:szCs w:val="28"/>
        </w:rPr>
        <w:t xml:space="preserve"> </w:t>
      </w:r>
      <w:r w:rsidRPr="00AB1BC2">
        <w:rPr>
          <w:rFonts w:ascii="Times New Roman" w:hAnsi="Times New Roman" w:cs="Times New Roman"/>
          <w:bCs/>
          <w:sz w:val="28"/>
          <w:szCs w:val="28"/>
        </w:rPr>
        <w:t>правовой</w:t>
      </w:r>
      <w:r>
        <w:rPr>
          <w:rFonts w:ascii="Times New Roman" w:hAnsi="Times New Roman" w:cs="Times New Roman"/>
          <w:bCs/>
          <w:sz w:val="28"/>
          <w:szCs w:val="28"/>
        </w:rPr>
        <w:t xml:space="preserve"> </w:t>
      </w:r>
      <w:r w:rsidRPr="00AB1BC2">
        <w:rPr>
          <w:rFonts w:ascii="Times New Roman" w:hAnsi="Times New Roman" w:cs="Times New Roman"/>
          <w:bCs/>
          <w:sz w:val="28"/>
          <w:szCs w:val="28"/>
        </w:rPr>
        <w:t>оценки</w:t>
      </w:r>
      <w:r>
        <w:rPr>
          <w:rFonts w:ascii="Times New Roman" w:hAnsi="Times New Roman" w:cs="Times New Roman"/>
          <w:bCs/>
          <w:sz w:val="28"/>
          <w:szCs w:val="28"/>
        </w:rPr>
        <w:t xml:space="preserve"> </w:t>
      </w:r>
      <w:r w:rsidRPr="00AB1BC2">
        <w:rPr>
          <w:rFonts w:ascii="Times New Roman" w:hAnsi="Times New Roman" w:cs="Times New Roman"/>
          <w:bCs/>
          <w:sz w:val="28"/>
          <w:szCs w:val="28"/>
        </w:rPr>
        <w:t>договоров</w:t>
      </w:r>
      <w:r>
        <w:rPr>
          <w:rFonts w:ascii="Times New Roman" w:hAnsi="Times New Roman" w:cs="Times New Roman"/>
          <w:bCs/>
          <w:sz w:val="28"/>
          <w:szCs w:val="28"/>
        </w:rPr>
        <w:t xml:space="preserve"> </w:t>
      </w:r>
      <w:r w:rsidRPr="00AB1BC2">
        <w:rPr>
          <w:rFonts w:ascii="Times New Roman" w:hAnsi="Times New Roman" w:cs="Times New Roman"/>
          <w:bCs/>
          <w:sz w:val="28"/>
          <w:szCs w:val="28"/>
        </w:rPr>
        <w:t>с</w:t>
      </w:r>
      <w:r>
        <w:rPr>
          <w:rFonts w:ascii="Times New Roman" w:hAnsi="Times New Roman" w:cs="Times New Roman"/>
          <w:bCs/>
          <w:sz w:val="28"/>
          <w:szCs w:val="28"/>
        </w:rPr>
        <w:t xml:space="preserve"> </w:t>
      </w:r>
      <w:r w:rsidRPr="00AB1BC2">
        <w:rPr>
          <w:rFonts w:ascii="Times New Roman" w:hAnsi="Times New Roman" w:cs="Times New Roman"/>
          <w:bCs/>
          <w:sz w:val="28"/>
          <w:szCs w:val="28"/>
        </w:rPr>
        <w:t>поставщиками</w:t>
      </w:r>
      <w:r>
        <w:rPr>
          <w:rFonts w:ascii="Times New Roman" w:hAnsi="Times New Roman" w:cs="Times New Roman"/>
          <w:bCs/>
          <w:sz w:val="28"/>
          <w:szCs w:val="28"/>
        </w:rPr>
        <w:t xml:space="preserve"> </w:t>
      </w:r>
      <w:r w:rsidRPr="00AB1BC2">
        <w:rPr>
          <w:rFonts w:ascii="Times New Roman" w:hAnsi="Times New Roman" w:cs="Times New Roman"/>
          <w:bCs/>
          <w:sz w:val="28"/>
          <w:szCs w:val="28"/>
        </w:rPr>
        <w:t>и</w:t>
      </w:r>
      <w:r>
        <w:rPr>
          <w:rFonts w:ascii="Times New Roman" w:hAnsi="Times New Roman" w:cs="Times New Roman"/>
          <w:bCs/>
          <w:sz w:val="28"/>
          <w:szCs w:val="28"/>
        </w:rPr>
        <w:t xml:space="preserve"> </w:t>
      </w:r>
      <w:r w:rsidRPr="00AB1BC2">
        <w:rPr>
          <w:rFonts w:ascii="Times New Roman" w:hAnsi="Times New Roman" w:cs="Times New Roman"/>
          <w:bCs/>
          <w:sz w:val="28"/>
          <w:szCs w:val="28"/>
        </w:rPr>
        <w:t>подрядчиками</w:t>
      </w:r>
      <w:r>
        <w:rPr>
          <w:rFonts w:ascii="Times New Roman" w:hAnsi="Times New Roman" w:cs="Times New Roman"/>
          <w:bCs/>
          <w:sz w:val="28"/>
          <w:szCs w:val="28"/>
        </w:rPr>
        <w:t xml:space="preserve"> </w:t>
      </w:r>
      <w:r w:rsidRPr="00AB1BC2">
        <w:rPr>
          <w:rFonts w:ascii="Times New Roman" w:hAnsi="Times New Roman" w:cs="Times New Roman"/>
          <w:sz w:val="28"/>
          <w:szCs w:val="28"/>
        </w:rPr>
        <w:t>существенных</w:t>
      </w:r>
      <w:r>
        <w:rPr>
          <w:rFonts w:ascii="Times New Roman" w:hAnsi="Times New Roman" w:cs="Times New Roman"/>
          <w:sz w:val="28"/>
          <w:szCs w:val="28"/>
        </w:rPr>
        <w:t xml:space="preserve"> </w:t>
      </w:r>
      <w:r w:rsidRPr="00AB1BC2">
        <w:rPr>
          <w:rFonts w:ascii="Times New Roman" w:hAnsi="Times New Roman" w:cs="Times New Roman"/>
          <w:sz w:val="28"/>
          <w:szCs w:val="28"/>
        </w:rPr>
        <w:t>замечаний</w:t>
      </w:r>
      <w:r>
        <w:rPr>
          <w:rFonts w:ascii="Times New Roman" w:hAnsi="Times New Roman" w:cs="Times New Roman"/>
          <w:sz w:val="28"/>
          <w:szCs w:val="28"/>
        </w:rPr>
        <w:t xml:space="preserve"> </w:t>
      </w:r>
      <w:r w:rsidRPr="00AB1BC2">
        <w:rPr>
          <w:rFonts w:ascii="Times New Roman" w:hAnsi="Times New Roman" w:cs="Times New Roman"/>
          <w:sz w:val="28"/>
          <w:szCs w:val="28"/>
        </w:rPr>
        <w:t>нет,</w:t>
      </w:r>
      <w:r>
        <w:rPr>
          <w:rFonts w:ascii="Times New Roman" w:hAnsi="Times New Roman" w:cs="Times New Roman"/>
          <w:sz w:val="28"/>
          <w:szCs w:val="28"/>
        </w:rPr>
        <w:t xml:space="preserve"> </w:t>
      </w:r>
      <w:r w:rsidRPr="00AB1BC2">
        <w:rPr>
          <w:rFonts w:ascii="Times New Roman" w:hAnsi="Times New Roman" w:cs="Times New Roman"/>
          <w:sz w:val="28"/>
          <w:szCs w:val="28"/>
        </w:rPr>
        <w:t>каждый</w:t>
      </w:r>
      <w:r>
        <w:rPr>
          <w:rFonts w:ascii="Times New Roman" w:hAnsi="Times New Roman" w:cs="Times New Roman"/>
          <w:sz w:val="28"/>
          <w:szCs w:val="28"/>
        </w:rPr>
        <w:t xml:space="preserve"> </w:t>
      </w:r>
      <w:r w:rsidRPr="00AB1BC2">
        <w:rPr>
          <w:rFonts w:ascii="Times New Roman" w:hAnsi="Times New Roman" w:cs="Times New Roman"/>
          <w:bCs/>
          <w:sz w:val="28"/>
          <w:szCs w:val="28"/>
        </w:rPr>
        <w:t>договор</w:t>
      </w:r>
      <w:r>
        <w:rPr>
          <w:rFonts w:ascii="Times New Roman" w:hAnsi="Times New Roman" w:cs="Times New Roman"/>
          <w:bCs/>
          <w:sz w:val="28"/>
          <w:szCs w:val="28"/>
        </w:rPr>
        <w:t xml:space="preserve"> </w:t>
      </w:r>
      <w:r w:rsidRPr="00AB1BC2">
        <w:rPr>
          <w:rFonts w:ascii="Times New Roman" w:hAnsi="Times New Roman" w:cs="Times New Roman"/>
          <w:sz w:val="28"/>
          <w:szCs w:val="28"/>
        </w:rPr>
        <w:t>заключен</w:t>
      </w:r>
      <w:r>
        <w:rPr>
          <w:rFonts w:ascii="Times New Roman" w:hAnsi="Times New Roman" w:cs="Times New Roman"/>
          <w:sz w:val="28"/>
          <w:szCs w:val="28"/>
        </w:rPr>
        <w:t xml:space="preserve"> </w:t>
      </w:r>
      <w:r w:rsidRPr="00AB1BC2">
        <w:rPr>
          <w:rFonts w:ascii="Times New Roman" w:hAnsi="Times New Roman" w:cs="Times New Roman"/>
          <w:sz w:val="28"/>
          <w:szCs w:val="28"/>
        </w:rPr>
        <w:t>на</w:t>
      </w:r>
      <w:r>
        <w:rPr>
          <w:rFonts w:ascii="Times New Roman" w:hAnsi="Times New Roman" w:cs="Times New Roman"/>
          <w:sz w:val="28"/>
          <w:szCs w:val="28"/>
        </w:rPr>
        <w:t xml:space="preserve"> </w:t>
      </w:r>
      <w:r w:rsidRPr="00AB1BC2">
        <w:rPr>
          <w:rFonts w:ascii="Times New Roman" w:hAnsi="Times New Roman" w:cs="Times New Roman"/>
          <w:sz w:val="28"/>
          <w:szCs w:val="28"/>
        </w:rPr>
        <w:t>определенную</w:t>
      </w:r>
      <w:r>
        <w:rPr>
          <w:rFonts w:ascii="Times New Roman" w:hAnsi="Times New Roman" w:cs="Times New Roman"/>
          <w:sz w:val="28"/>
          <w:szCs w:val="28"/>
        </w:rPr>
        <w:t xml:space="preserve"> </w:t>
      </w:r>
      <w:r w:rsidRPr="00AB1BC2">
        <w:rPr>
          <w:rFonts w:ascii="Times New Roman" w:hAnsi="Times New Roman" w:cs="Times New Roman"/>
          <w:bCs/>
          <w:sz w:val="28"/>
          <w:szCs w:val="28"/>
        </w:rPr>
        <w:t>поставку</w:t>
      </w:r>
      <w:r>
        <w:rPr>
          <w:rFonts w:ascii="Times New Roman" w:hAnsi="Times New Roman" w:cs="Times New Roman"/>
          <w:bCs/>
          <w:sz w:val="28"/>
          <w:szCs w:val="28"/>
        </w:rPr>
        <w:t xml:space="preserve"> </w:t>
      </w:r>
      <w:r w:rsidRPr="00AB1BC2">
        <w:rPr>
          <w:rFonts w:ascii="Times New Roman" w:hAnsi="Times New Roman" w:cs="Times New Roman"/>
          <w:sz w:val="28"/>
          <w:szCs w:val="28"/>
        </w:rPr>
        <w:t>товаров(выполнение</w:t>
      </w:r>
      <w:r>
        <w:rPr>
          <w:rFonts w:ascii="Times New Roman" w:hAnsi="Times New Roman" w:cs="Times New Roman"/>
          <w:sz w:val="28"/>
          <w:szCs w:val="28"/>
        </w:rPr>
        <w:t xml:space="preserve"> </w:t>
      </w:r>
      <w:r w:rsidRPr="00AB1BC2">
        <w:rPr>
          <w:rFonts w:ascii="Times New Roman" w:hAnsi="Times New Roman" w:cs="Times New Roman"/>
          <w:sz w:val="28"/>
          <w:szCs w:val="28"/>
        </w:rPr>
        <w:t>работ),требования</w:t>
      </w:r>
      <w:r>
        <w:rPr>
          <w:rFonts w:ascii="Times New Roman" w:hAnsi="Times New Roman" w:cs="Times New Roman"/>
          <w:sz w:val="28"/>
          <w:szCs w:val="28"/>
        </w:rPr>
        <w:t xml:space="preserve"> </w:t>
      </w:r>
      <w:r w:rsidRPr="00AB1BC2">
        <w:rPr>
          <w:rFonts w:ascii="Times New Roman" w:hAnsi="Times New Roman" w:cs="Times New Roman"/>
          <w:sz w:val="28"/>
          <w:szCs w:val="28"/>
        </w:rPr>
        <w:t>к</w:t>
      </w:r>
      <w:r>
        <w:rPr>
          <w:rFonts w:ascii="Times New Roman" w:hAnsi="Times New Roman" w:cs="Times New Roman"/>
          <w:sz w:val="28"/>
          <w:szCs w:val="28"/>
        </w:rPr>
        <w:t xml:space="preserve"> </w:t>
      </w:r>
      <w:r w:rsidRPr="00AB1BC2">
        <w:rPr>
          <w:rFonts w:ascii="Times New Roman" w:hAnsi="Times New Roman" w:cs="Times New Roman"/>
          <w:sz w:val="28"/>
          <w:szCs w:val="28"/>
        </w:rPr>
        <w:t>оформлению</w:t>
      </w:r>
      <w:r>
        <w:rPr>
          <w:rFonts w:ascii="Times New Roman" w:hAnsi="Times New Roman" w:cs="Times New Roman"/>
          <w:sz w:val="28"/>
          <w:szCs w:val="28"/>
        </w:rPr>
        <w:t xml:space="preserve"> </w:t>
      </w:r>
      <w:r w:rsidRPr="00AB1BC2">
        <w:rPr>
          <w:rFonts w:ascii="Times New Roman" w:hAnsi="Times New Roman" w:cs="Times New Roman"/>
          <w:sz w:val="28"/>
          <w:szCs w:val="28"/>
        </w:rPr>
        <w:t>соблюдены.</w:t>
      </w:r>
    </w:p>
    <w:p w:rsidR="00340368" w:rsidRPr="00340368" w:rsidRDefault="00340368" w:rsidP="00340368">
      <w:pPr>
        <w:rPr>
          <w:rFonts w:ascii="Times New Roman" w:hAnsi="Times New Roman" w:cs="Times New Roman"/>
          <w:shd w:val="clear" w:color="auto" w:fill="FFFFFF"/>
        </w:rPr>
      </w:pPr>
      <w:r w:rsidRPr="00AB1BC2">
        <w:rPr>
          <w:rFonts w:ascii="Times New Roman" w:hAnsi="Times New Roman" w:cs="Times New Roman"/>
          <w:shd w:val="clear" w:color="auto" w:fill="FFFFFF"/>
        </w:rPr>
        <w:br w:type="page"/>
      </w:r>
    </w:p>
    <w:p w:rsidR="005F2BB5" w:rsidRPr="008877F2" w:rsidRDefault="00340368" w:rsidP="004F205D">
      <w:pPr>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1</w:t>
      </w:r>
      <w:r w:rsidR="005F2BB5" w:rsidRPr="008877F2">
        <w:rPr>
          <w:rFonts w:ascii="Times New Roman" w:hAnsi="Times New Roman" w:cs="Times New Roman"/>
          <w:b/>
          <w:sz w:val="28"/>
          <w:szCs w:val="28"/>
        </w:rPr>
        <w:t>. Принципы разработки внутренних стандартов</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b/>
          <w:sz w:val="28"/>
          <w:szCs w:val="28"/>
        </w:rPr>
        <w:t>Внутренний стандарт аудиторской организации</w:t>
      </w:r>
      <w:r w:rsidRPr="008877F2">
        <w:rPr>
          <w:rFonts w:ascii="Times New Roman" w:hAnsi="Times New Roman" w:cs="Times New Roman"/>
          <w:sz w:val="28"/>
          <w:szCs w:val="28"/>
        </w:rPr>
        <w:t xml:space="preserve"> – это документы, детализирующие и регламентирующие единые требования к осуществлению и оформлению аудита, принятые и утвержденные аудиторской организацией с целью обеспечения эффективности практической работы и ее адекватности требованиям правил (стандартов) аудиторской деятельности.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Аудиторская организация должна сформировать пакет внутренних стандартов, отражающий ее собственный подход к проводимым проверкам и составляемым заключениям, исходя из общеустановленных принципов организации и проведения аудита. Наличие системы внутренних стандартов и ее методологического сопровождения является необходимым показателем профессионализма деятельности аудиторской организации. Внутренние стандарты аудиторских организаций должны содержать конкретные рекомендации, позволяющие аудиторам на практике определить четкий порядок своих действий по выполнению требований правил (стандартов) и по повышению качества аудиторских проверок.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Внутренние стандарты регламентируют деятельность аудиторов в рамках данной аудиторской организации и обеспечивают дополнительные основы для урегулирования реальных и потенциальных конфликтов между сотрудниками и администрацией аудиторской организации, между аудиторской организацией и контролирующими органами, между аудиторской организацией и экономическим субъектом, между аудиторской организацией и организациями, защищающими общественные интересы, а также между самими аудиторами.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Внутренние стандарты формулируют единые базовые требования к порядку проведения аудита, к качеству и надежности аудита и создают при их соблюдении дополнительный уровень гарантии результатов аудиторской проверки. Внутренние стандарты определяют общий подход аудиторской </w:t>
      </w:r>
      <w:r w:rsidRPr="008877F2">
        <w:rPr>
          <w:rFonts w:ascii="Times New Roman" w:hAnsi="Times New Roman" w:cs="Times New Roman"/>
          <w:sz w:val="28"/>
          <w:szCs w:val="28"/>
        </w:rPr>
        <w:lastRenderedPageBreak/>
        <w:t xml:space="preserve">организации к проведению аудита независимо от условий, в которых проводится аудит. К внутренним стандартам аудиторской организации могут относиться принятые и утвержденные в установленном порядке стандарты, инструкции, методические разработки, пособия и другие документы, обязательные к применению в аудиторской организации, раскрывающие внутренние подходы к осуществлению аудиторской деятельности. Внутренние стандарты являются частью организационно-распорядительной документации и системы внутреннего контроля аудиторской организации.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Внутренние стандарты аудиторских организаций должны соответствовать следующим принципам :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целесообразности - иметь практическую пользу;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преемственности и непротиворечивости - каждый последующий внутренний стандарт должен опираться на ранее принятые, обеспечивать согласованность и взаимосвязь с остальными стандартами;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логической стройности - обеспечивать четкость формулировок, целостность и ясность изложения;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полноты и детализации - полностью охватывать значимые вопросы данного стандарта, логически развивать и дополнять излагаемые принципы и положения;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единства терминологической базы - содержать одинаковую трактовку терминов во всех стандартах и документах.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Все внутренние стандарты должны в совокупности представлять описание комплексного подхода аудиторской организации к организации и технологии проведения аудита.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При отсутствии правил (стандартов) аудиторской деятельности в определенной области аудита, детализированных методик и подходов к </w:t>
      </w:r>
      <w:r w:rsidRPr="008877F2">
        <w:rPr>
          <w:rFonts w:ascii="Times New Roman" w:hAnsi="Times New Roman" w:cs="Times New Roman"/>
          <w:sz w:val="28"/>
          <w:szCs w:val="28"/>
        </w:rPr>
        <w:lastRenderedPageBreak/>
        <w:t xml:space="preserve">проведению аудита аудиторские организации при разработке внутренних стандартов могут руководствоваться международными стандартами аудита с учетом специфических особенностей проведения аудита в Российской Федерации. Аудиторская организация самостоятельно устанавливает перечень, сроки, порядок разработки и внедрения в практику внутренних стандартов.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Внутренний стандарт аудиторской организации, как правило, имеет следующую структуру: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а) регламентирующие параметры - ссылка на российские или международные стандарты, использованные при разработке данного стандарта;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б) общие положения - необходимость внутреннего стандарта, определение его основных терминов и понятий, сферы применения, описание объекта стандартизации;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в) цель и задачи стандарта - назначение стандарта и конкретные проблемы, решение которых обеспечивается его применением;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г) взаимосвязь с другими стандартами - ссылки на соответствующие положения других стандартов;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д) определение основных принципов и методик - описание подходов аудиторской организации, принятых методик и технических приемов решения проблем, рассматриваемых стандартом;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е) оформление - перечень документов, которые аудитор должен составить согласно требованиям стандарта;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ж) перечень нормативных актов, которыми аудиторы должны руководствоваться при выполнении требований внутреннего стандарта (при необходимости). </w:t>
      </w:r>
    </w:p>
    <w:p w:rsidR="005F2BB5" w:rsidRPr="008877F2" w:rsidRDefault="005F2BB5" w:rsidP="008877F2">
      <w:pPr>
        <w:spacing w:line="360" w:lineRule="auto"/>
        <w:jc w:val="both"/>
        <w:rPr>
          <w:rFonts w:ascii="Times New Roman" w:hAnsi="Times New Roman" w:cs="Times New Roman"/>
          <w:sz w:val="28"/>
          <w:szCs w:val="28"/>
        </w:rPr>
      </w:pP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Реквизиты внутренних стандартов могут состоять из: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-номера - порядкового или серийного кода данного стандарта;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-даты ввода в действие;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-названия - краткого и четкого изложения того, что регламентирует стандарт;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-даты и указания лица, утвердившего стандарт;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-преемственности - ссылки на ранее принятые, распространенные или предписанные нормативными документами правила, которые связаны с данным стандартом; </w:t>
      </w:r>
    </w:p>
    <w:p w:rsidR="005F2BB5"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-сферы применения - перечня объектов, на которые распространяется (или не распространяется) действие данного стандарта. </w:t>
      </w:r>
    </w:p>
    <w:p w:rsidR="00C76992" w:rsidRPr="008877F2" w:rsidRDefault="005F2BB5"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В дополнение к внутренним стандартам могут разрабатываться приложения (инструкции, положения, методики, вопросники, компьютерные программы, рабочие таблицы и т.д.), играющие вспомогательную роль и обеспечивающие дополнительные разъяснения отдельных положений внутренних стандартов.</w:t>
      </w:r>
    </w:p>
    <w:p w:rsidR="005F2BB5" w:rsidRPr="008877F2" w:rsidRDefault="005F2BB5" w:rsidP="008877F2">
      <w:pPr>
        <w:spacing w:line="360" w:lineRule="auto"/>
        <w:jc w:val="both"/>
        <w:rPr>
          <w:rFonts w:ascii="Times New Roman" w:hAnsi="Times New Roman" w:cs="Times New Roman"/>
          <w:sz w:val="28"/>
          <w:szCs w:val="28"/>
        </w:rPr>
      </w:pPr>
    </w:p>
    <w:p w:rsidR="005F2BB5" w:rsidRPr="008877F2" w:rsidRDefault="005F2BB5" w:rsidP="008877F2">
      <w:pPr>
        <w:spacing w:line="360" w:lineRule="auto"/>
        <w:jc w:val="both"/>
        <w:rPr>
          <w:rFonts w:ascii="Times New Roman" w:hAnsi="Times New Roman" w:cs="Times New Roman"/>
          <w:sz w:val="28"/>
          <w:szCs w:val="28"/>
        </w:rPr>
      </w:pPr>
    </w:p>
    <w:p w:rsidR="005F2BB5" w:rsidRPr="008877F2" w:rsidRDefault="005F2BB5" w:rsidP="008877F2">
      <w:pPr>
        <w:spacing w:line="360" w:lineRule="auto"/>
        <w:jc w:val="both"/>
        <w:rPr>
          <w:rFonts w:ascii="Times New Roman" w:hAnsi="Times New Roman" w:cs="Times New Roman"/>
          <w:sz w:val="28"/>
          <w:szCs w:val="28"/>
        </w:rPr>
      </w:pPr>
    </w:p>
    <w:p w:rsidR="005F2BB5" w:rsidRPr="008877F2" w:rsidRDefault="005F2BB5" w:rsidP="008877F2">
      <w:pPr>
        <w:spacing w:line="360" w:lineRule="auto"/>
        <w:jc w:val="both"/>
        <w:rPr>
          <w:rFonts w:ascii="Times New Roman" w:hAnsi="Times New Roman" w:cs="Times New Roman"/>
          <w:sz w:val="28"/>
          <w:szCs w:val="28"/>
        </w:rPr>
      </w:pPr>
    </w:p>
    <w:p w:rsidR="005F2BB5" w:rsidRPr="008877F2" w:rsidRDefault="005F2BB5" w:rsidP="008877F2">
      <w:pPr>
        <w:spacing w:line="360" w:lineRule="auto"/>
        <w:jc w:val="both"/>
        <w:rPr>
          <w:rFonts w:ascii="Times New Roman" w:hAnsi="Times New Roman" w:cs="Times New Roman"/>
          <w:sz w:val="28"/>
          <w:szCs w:val="28"/>
        </w:rPr>
      </w:pPr>
    </w:p>
    <w:p w:rsidR="005F2BB5" w:rsidRPr="008877F2" w:rsidRDefault="005F2BB5" w:rsidP="008877F2">
      <w:pPr>
        <w:spacing w:line="360" w:lineRule="auto"/>
        <w:jc w:val="both"/>
        <w:rPr>
          <w:rFonts w:ascii="Times New Roman" w:hAnsi="Times New Roman" w:cs="Times New Roman"/>
          <w:sz w:val="28"/>
          <w:szCs w:val="28"/>
        </w:rPr>
      </w:pPr>
    </w:p>
    <w:p w:rsidR="005F2BB5" w:rsidRPr="008877F2" w:rsidRDefault="005F2BB5" w:rsidP="008877F2">
      <w:pPr>
        <w:spacing w:line="360" w:lineRule="auto"/>
        <w:jc w:val="both"/>
        <w:rPr>
          <w:rFonts w:ascii="Times New Roman" w:hAnsi="Times New Roman" w:cs="Times New Roman"/>
          <w:sz w:val="28"/>
          <w:szCs w:val="28"/>
        </w:rPr>
      </w:pPr>
    </w:p>
    <w:p w:rsidR="005F2BB5" w:rsidRPr="008877F2" w:rsidRDefault="005F2BB5" w:rsidP="008877F2">
      <w:pPr>
        <w:spacing w:line="360" w:lineRule="auto"/>
        <w:jc w:val="both"/>
        <w:rPr>
          <w:rFonts w:ascii="Times New Roman" w:hAnsi="Times New Roman" w:cs="Times New Roman"/>
          <w:sz w:val="28"/>
          <w:szCs w:val="28"/>
        </w:rPr>
      </w:pPr>
    </w:p>
    <w:p w:rsidR="005F2BB5" w:rsidRPr="008877F2" w:rsidRDefault="005F2BB5" w:rsidP="004F205D">
      <w:pPr>
        <w:pStyle w:val="a7"/>
        <w:spacing w:line="360" w:lineRule="auto"/>
        <w:ind w:right="57"/>
        <w:jc w:val="both"/>
        <w:rPr>
          <w:b w:val="0"/>
          <w:sz w:val="28"/>
          <w:szCs w:val="28"/>
        </w:rPr>
      </w:pPr>
      <w:r w:rsidRPr="008877F2">
        <w:rPr>
          <w:sz w:val="28"/>
          <w:szCs w:val="28"/>
        </w:rPr>
        <w:lastRenderedPageBreak/>
        <w:t>2. Стандарты, регламентирующие процессы сбора аудиторских доказательств</w:t>
      </w:r>
    </w:p>
    <w:p w:rsidR="008877F2" w:rsidRPr="008877F2" w:rsidRDefault="008877F2"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Международные рекомендации в отношении количества и качества аудиторских доказательств, которые необходимо получить при аудите финансовой отчетности, содержатся в стандарте аудита500 «Аудиторские доказательства». Данный стандарт включает следующие разделы: введение, достаточные и уместные доказательства, процедуры получ</w:t>
      </w:r>
      <w:r>
        <w:rPr>
          <w:rFonts w:ascii="Times New Roman" w:hAnsi="Times New Roman" w:cs="Times New Roman"/>
          <w:sz w:val="28"/>
          <w:szCs w:val="28"/>
        </w:rPr>
        <w:t>ения аудиторских доказательств.</w:t>
      </w:r>
      <w:r w:rsidRPr="008877F2">
        <w:rPr>
          <w:rFonts w:ascii="Times New Roman" w:hAnsi="Times New Roman" w:cs="Times New Roman"/>
          <w:sz w:val="28"/>
          <w:szCs w:val="28"/>
        </w:rPr>
        <w:t xml:space="preserve"> Под аудиторскими доказательствами понимается информация, полученная аудитором в процессе формулирования выводов, на которых основывается его мнение. К аудиторским доказательствам относятся первичные документы и бухгалтерские записи, лежащие в основе финансовой отчетности организации. Подтверждающая информация, полученная из других источников, также относится</w:t>
      </w:r>
      <w:r>
        <w:rPr>
          <w:rFonts w:ascii="Times New Roman" w:hAnsi="Times New Roman" w:cs="Times New Roman"/>
          <w:sz w:val="28"/>
          <w:szCs w:val="28"/>
        </w:rPr>
        <w:t xml:space="preserve"> к аудиторским доказательствам.</w:t>
      </w:r>
      <w:r w:rsidRPr="008877F2">
        <w:rPr>
          <w:rFonts w:ascii="Times New Roman" w:hAnsi="Times New Roman" w:cs="Times New Roman"/>
          <w:sz w:val="28"/>
          <w:szCs w:val="28"/>
        </w:rPr>
        <w:t xml:space="preserve"> МСА 500 «Аудиторские доказательства» позволяет классифицировать аудиторские доказательства на следующие виды (табл. 1). С целью формирования выводов и собственного мнения в процессе аудита аудитор должен получить достаточные и уместные аудиторские доказательства.</w:t>
      </w:r>
    </w:p>
    <w:p w:rsidR="008877F2" w:rsidRPr="008877F2" w:rsidRDefault="008877F2" w:rsidP="008877F2">
      <w:pPr>
        <w:spacing w:line="360" w:lineRule="auto"/>
        <w:jc w:val="both"/>
        <w:rPr>
          <w:rFonts w:ascii="Times New Roman" w:hAnsi="Times New Roman" w:cs="Times New Roman"/>
          <w:b/>
          <w:sz w:val="28"/>
          <w:szCs w:val="28"/>
        </w:rPr>
      </w:pPr>
      <w:r w:rsidRPr="008877F2">
        <w:rPr>
          <w:rFonts w:ascii="Times New Roman" w:hAnsi="Times New Roman" w:cs="Times New Roman"/>
          <w:b/>
          <w:sz w:val="28"/>
          <w:szCs w:val="28"/>
        </w:rPr>
        <w:t>Таблица 1. Виды аудиторских доказательств</w:t>
      </w:r>
    </w:p>
    <w:tbl>
      <w:tblPr>
        <w:tblStyle w:val="a9"/>
        <w:tblW w:w="0" w:type="auto"/>
        <w:tblLook w:val="04A0"/>
      </w:tblPr>
      <w:tblGrid>
        <w:gridCol w:w="4785"/>
        <w:gridCol w:w="4786"/>
      </w:tblGrid>
      <w:tr w:rsidR="008877F2" w:rsidRPr="008877F2" w:rsidTr="008877F2">
        <w:tc>
          <w:tcPr>
            <w:tcW w:w="4785" w:type="dxa"/>
          </w:tcPr>
          <w:p w:rsidR="008877F2" w:rsidRPr="008877F2" w:rsidRDefault="008877F2" w:rsidP="008877F2">
            <w:pPr>
              <w:spacing w:line="360" w:lineRule="auto"/>
              <w:jc w:val="both"/>
              <w:rPr>
                <w:rFonts w:ascii="Times New Roman" w:hAnsi="Times New Roman" w:cs="Times New Roman"/>
                <w:b/>
                <w:sz w:val="28"/>
                <w:szCs w:val="28"/>
              </w:rPr>
            </w:pPr>
            <w:r w:rsidRPr="008877F2">
              <w:rPr>
                <w:rFonts w:ascii="Times New Roman" w:hAnsi="Times New Roman" w:cs="Times New Roman"/>
                <w:b/>
                <w:sz w:val="28"/>
                <w:szCs w:val="28"/>
              </w:rPr>
              <w:t>Классификационный признак</w:t>
            </w:r>
          </w:p>
        </w:tc>
        <w:tc>
          <w:tcPr>
            <w:tcW w:w="4786" w:type="dxa"/>
          </w:tcPr>
          <w:p w:rsidR="008877F2" w:rsidRPr="008877F2" w:rsidRDefault="008877F2" w:rsidP="008877F2">
            <w:pPr>
              <w:spacing w:line="360" w:lineRule="auto"/>
              <w:jc w:val="both"/>
              <w:rPr>
                <w:rFonts w:ascii="Times New Roman" w:hAnsi="Times New Roman" w:cs="Times New Roman"/>
                <w:b/>
                <w:sz w:val="28"/>
                <w:szCs w:val="28"/>
              </w:rPr>
            </w:pPr>
            <w:r w:rsidRPr="008877F2">
              <w:rPr>
                <w:rFonts w:ascii="Times New Roman" w:hAnsi="Times New Roman" w:cs="Times New Roman"/>
                <w:b/>
                <w:sz w:val="28"/>
                <w:szCs w:val="28"/>
              </w:rPr>
              <w:t>Виды аудиторских доказательств</w:t>
            </w:r>
          </w:p>
        </w:tc>
      </w:tr>
      <w:tr w:rsidR="008877F2" w:rsidRPr="008877F2" w:rsidTr="008877F2">
        <w:tc>
          <w:tcPr>
            <w:tcW w:w="4785" w:type="dxa"/>
          </w:tcPr>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Обоснованность выводов аудитора по собранным им доказательствам</w:t>
            </w:r>
          </w:p>
        </w:tc>
        <w:tc>
          <w:tcPr>
            <w:tcW w:w="4786" w:type="dxa"/>
          </w:tcPr>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Достаточные аудиторские доказательства</w:t>
            </w:r>
          </w:p>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Уместные аудиторские доказательства</w:t>
            </w:r>
          </w:p>
        </w:tc>
      </w:tr>
      <w:tr w:rsidR="008877F2" w:rsidRPr="008877F2" w:rsidTr="008877F2">
        <w:tc>
          <w:tcPr>
            <w:tcW w:w="4785" w:type="dxa"/>
          </w:tcPr>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Источник получения аудиторских доказательств</w:t>
            </w:r>
          </w:p>
        </w:tc>
        <w:tc>
          <w:tcPr>
            <w:tcW w:w="4786" w:type="dxa"/>
          </w:tcPr>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Внутренние аудиторские доказательства</w:t>
            </w:r>
          </w:p>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Внешние аудиторские доказательства</w:t>
            </w:r>
          </w:p>
        </w:tc>
      </w:tr>
      <w:tr w:rsidR="008877F2" w:rsidRPr="008877F2" w:rsidTr="008877F2">
        <w:tc>
          <w:tcPr>
            <w:tcW w:w="4785" w:type="dxa"/>
          </w:tcPr>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Характер аудиторских доказательств</w:t>
            </w:r>
          </w:p>
        </w:tc>
        <w:tc>
          <w:tcPr>
            <w:tcW w:w="4786" w:type="dxa"/>
          </w:tcPr>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Визуальные аудиторские доказательства</w:t>
            </w:r>
          </w:p>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Документальные аудиторские доказательства</w:t>
            </w:r>
          </w:p>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Устные аудиторские доказательства</w:t>
            </w:r>
          </w:p>
        </w:tc>
      </w:tr>
    </w:tbl>
    <w:p w:rsidR="008877F2" w:rsidRPr="008877F2" w:rsidRDefault="008877F2" w:rsidP="008877F2">
      <w:pPr>
        <w:spacing w:line="360" w:lineRule="auto"/>
        <w:jc w:val="both"/>
        <w:rPr>
          <w:rFonts w:ascii="Times New Roman" w:hAnsi="Times New Roman" w:cs="Times New Roman"/>
          <w:sz w:val="28"/>
          <w:szCs w:val="28"/>
        </w:rPr>
      </w:pPr>
    </w:p>
    <w:p w:rsidR="008877F2" w:rsidRPr="008877F2" w:rsidRDefault="008877F2" w:rsidP="008877F2">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Д</w:t>
      </w:r>
      <w:r w:rsidRPr="008877F2">
        <w:rPr>
          <w:rFonts w:ascii="Times New Roman" w:hAnsi="Times New Roman" w:cs="Times New Roman"/>
          <w:sz w:val="28"/>
          <w:szCs w:val="28"/>
        </w:rPr>
        <w:t>остаточность представляет собой количественную меру аудиторских доказательств. Уместность является качественной характеристикой. Согласно международной практике аудитор самостоятельно подходит к оценке достаточных и уместных аудиторских доказательств. При этом он должен выполнять следующие правила. Для того чтобы подтвердить какое-либо утверждение, аудитор собирает аудиторские доказательства из различных источников или различного характера. Он вправе не проверять всю имеющуюся информацию. Это связано с тем, что проверка может носить выборочный характер и основывается на соблюдении правил МСА 530 «Аудиторская выборка и другие процедуры выборочной проверки».</w:t>
      </w:r>
    </w:p>
    <w:p w:rsidR="008877F2" w:rsidRDefault="008877F2"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Для получения аудиторских доказательств проводится комплекс тестирования. Тестирование осуществляется двумя способами - проведением тестов контроля и</w:t>
      </w:r>
      <w:r>
        <w:rPr>
          <w:rFonts w:ascii="Times New Roman" w:hAnsi="Times New Roman" w:cs="Times New Roman"/>
          <w:sz w:val="28"/>
          <w:szCs w:val="28"/>
        </w:rPr>
        <w:t xml:space="preserve"> процедур проверки по существу.</w:t>
      </w:r>
      <w:r w:rsidRPr="008877F2">
        <w:rPr>
          <w:rFonts w:ascii="Times New Roman" w:hAnsi="Times New Roman" w:cs="Times New Roman"/>
          <w:sz w:val="28"/>
          <w:szCs w:val="28"/>
        </w:rPr>
        <w:t xml:space="preserve"> </w:t>
      </w:r>
    </w:p>
    <w:p w:rsidR="008877F2" w:rsidRPr="008877F2" w:rsidRDefault="008877F2"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Тесты контроля и процедуры проверки по существу проводятся для того, чтобы подтвердить утверждения руководства, на основе которых составлена финансовая отчетность организации. Международные правила утверждают, что аудиторские доказательства должны быть надежными. Надежность аудиторских доказательств зависит от источника их получения и характера. По источникам получения аудиторские доказательства делятся на внутренние и внешние. Кроме того, аудиторские доказательства бывают визуального, документального и устного характера.</w:t>
      </w:r>
    </w:p>
    <w:p w:rsidR="008877F2" w:rsidRPr="008877F2" w:rsidRDefault="008877F2"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Аудиторская практика подтверждает требование названного стандарта относительно сбора различных аудиторских доказательств, а именно: аудиторские доказательства должны быть собраны из различных источников и иметь различный характер. При этом доказательства не должны противоречить друг другу, тогда они могут быть признаны убедительными и обеспечат более высокую степень уверенности в достоверности финансовой отчетности. Если аудитор не может получить достаточные и уместные </w:t>
      </w:r>
      <w:r w:rsidRPr="008877F2">
        <w:rPr>
          <w:rFonts w:ascii="Times New Roman" w:hAnsi="Times New Roman" w:cs="Times New Roman"/>
          <w:sz w:val="28"/>
          <w:szCs w:val="28"/>
        </w:rPr>
        <w:lastRenderedPageBreak/>
        <w:t>аудиторские доказательства, он должен выразить условно-положительное мнение или отказаться от выражения мнения.</w:t>
      </w:r>
    </w:p>
    <w:p w:rsidR="008877F2" w:rsidRPr="008877F2" w:rsidRDefault="008877F2"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МСА 500 «Аудиторские доказательства» включает перечень процедур получения аудиторских доказательств, содержание которых приводится в табл. </w:t>
      </w:r>
      <w:r>
        <w:rPr>
          <w:rFonts w:ascii="Times New Roman" w:hAnsi="Times New Roman" w:cs="Times New Roman"/>
          <w:sz w:val="28"/>
          <w:szCs w:val="28"/>
        </w:rPr>
        <w:t>2</w:t>
      </w:r>
      <w:r w:rsidRPr="008877F2">
        <w:rPr>
          <w:rFonts w:ascii="Times New Roman" w:hAnsi="Times New Roman" w:cs="Times New Roman"/>
          <w:sz w:val="28"/>
          <w:szCs w:val="28"/>
        </w:rPr>
        <w:t>.</w:t>
      </w:r>
    </w:p>
    <w:p w:rsidR="008877F2" w:rsidRPr="008877F2" w:rsidRDefault="008877F2"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В дополнение к стандарту 500 «Аудиторские доказательства» в международной аудиторской практике применяется стандарт 501</w:t>
      </w:r>
    </w:p>
    <w:p w:rsidR="008877F2" w:rsidRPr="004F205D" w:rsidRDefault="008877F2" w:rsidP="008877F2">
      <w:pPr>
        <w:spacing w:line="360" w:lineRule="auto"/>
        <w:jc w:val="both"/>
        <w:rPr>
          <w:rFonts w:ascii="Times New Roman" w:hAnsi="Times New Roman" w:cs="Times New Roman"/>
          <w:b/>
          <w:sz w:val="28"/>
          <w:szCs w:val="28"/>
        </w:rPr>
      </w:pPr>
      <w:r w:rsidRPr="004F205D">
        <w:rPr>
          <w:rFonts w:ascii="Times New Roman" w:hAnsi="Times New Roman" w:cs="Times New Roman"/>
          <w:b/>
          <w:sz w:val="28"/>
          <w:szCs w:val="28"/>
        </w:rPr>
        <w:t xml:space="preserve"> Таблица 2. Перечень процедур получения аудиторских доказательств</w:t>
      </w:r>
    </w:p>
    <w:tbl>
      <w:tblPr>
        <w:tblStyle w:val="a9"/>
        <w:tblW w:w="0" w:type="auto"/>
        <w:tblLook w:val="04A0"/>
      </w:tblPr>
      <w:tblGrid>
        <w:gridCol w:w="4785"/>
        <w:gridCol w:w="4786"/>
      </w:tblGrid>
      <w:tr w:rsidR="008877F2" w:rsidRPr="008877F2" w:rsidTr="008877F2">
        <w:tc>
          <w:tcPr>
            <w:tcW w:w="4785" w:type="dxa"/>
          </w:tcPr>
          <w:p w:rsidR="008877F2" w:rsidRPr="008877F2" w:rsidRDefault="008877F2" w:rsidP="008877F2">
            <w:pPr>
              <w:spacing w:line="360" w:lineRule="auto"/>
              <w:jc w:val="both"/>
              <w:rPr>
                <w:rFonts w:ascii="Times New Roman" w:hAnsi="Times New Roman" w:cs="Times New Roman"/>
                <w:b/>
                <w:sz w:val="24"/>
                <w:szCs w:val="24"/>
              </w:rPr>
            </w:pPr>
            <w:r w:rsidRPr="008877F2">
              <w:rPr>
                <w:rFonts w:ascii="Times New Roman" w:hAnsi="Times New Roman" w:cs="Times New Roman"/>
                <w:b/>
                <w:sz w:val="24"/>
                <w:szCs w:val="24"/>
              </w:rPr>
              <w:t>Аудиторская процедура</w:t>
            </w:r>
          </w:p>
        </w:tc>
        <w:tc>
          <w:tcPr>
            <w:tcW w:w="4786" w:type="dxa"/>
          </w:tcPr>
          <w:p w:rsidR="008877F2" w:rsidRPr="008877F2" w:rsidRDefault="008877F2" w:rsidP="008877F2">
            <w:pPr>
              <w:spacing w:line="360" w:lineRule="auto"/>
              <w:jc w:val="both"/>
              <w:rPr>
                <w:rFonts w:ascii="Times New Roman" w:hAnsi="Times New Roman" w:cs="Times New Roman"/>
                <w:b/>
                <w:sz w:val="24"/>
                <w:szCs w:val="24"/>
              </w:rPr>
            </w:pPr>
            <w:r w:rsidRPr="008877F2">
              <w:rPr>
                <w:rFonts w:ascii="Times New Roman" w:hAnsi="Times New Roman" w:cs="Times New Roman"/>
                <w:b/>
                <w:sz w:val="24"/>
                <w:szCs w:val="24"/>
              </w:rPr>
              <w:t>Содержание аудиторской процедуры</w:t>
            </w:r>
          </w:p>
        </w:tc>
      </w:tr>
      <w:tr w:rsidR="008877F2" w:rsidRPr="008877F2" w:rsidTr="008877F2">
        <w:tc>
          <w:tcPr>
            <w:tcW w:w="4785" w:type="dxa"/>
          </w:tcPr>
          <w:p w:rsidR="008877F2" w:rsidRPr="008877F2" w:rsidRDefault="008877F2" w:rsidP="008877F2">
            <w:pPr>
              <w:spacing w:line="360" w:lineRule="auto"/>
              <w:jc w:val="center"/>
              <w:rPr>
                <w:rFonts w:ascii="Times New Roman" w:hAnsi="Times New Roman" w:cs="Times New Roman"/>
                <w:b/>
                <w:sz w:val="24"/>
                <w:szCs w:val="24"/>
              </w:rPr>
            </w:pPr>
            <w:r w:rsidRPr="008877F2">
              <w:rPr>
                <w:rFonts w:ascii="Times New Roman" w:hAnsi="Times New Roman" w:cs="Times New Roman"/>
                <w:b/>
                <w:sz w:val="24"/>
                <w:szCs w:val="24"/>
              </w:rPr>
              <w:t>Инспектирование</w:t>
            </w:r>
          </w:p>
        </w:tc>
        <w:tc>
          <w:tcPr>
            <w:tcW w:w="4786" w:type="dxa"/>
          </w:tcPr>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Проверка записей, документов и материальных активов</w:t>
            </w:r>
          </w:p>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Инспектирование материальных активов позволяет подтвердить их существование, но не обязательно право собственности на них или стоимостную оценку</w:t>
            </w:r>
          </w:p>
        </w:tc>
      </w:tr>
      <w:tr w:rsidR="008877F2" w:rsidRPr="008877F2" w:rsidTr="008877F2">
        <w:tc>
          <w:tcPr>
            <w:tcW w:w="4785" w:type="dxa"/>
          </w:tcPr>
          <w:p w:rsidR="008877F2" w:rsidRPr="008877F2" w:rsidRDefault="008877F2" w:rsidP="008877F2">
            <w:pPr>
              <w:spacing w:line="360" w:lineRule="auto"/>
              <w:jc w:val="center"/>
              <w:rPr>
                <w:rFonts w:ascii="Times New Roman" w:hAnsi="Times New Roman" w:cs="Times New Roman"/>
                <w:b/>
                <w:sz w:val="24"/>
                <w:szCs w:val="24"/>
              </w:rPr>
            </w:pPr>
            <w:r w:rsidRPr="008877F2">
              <w:rPr>
                <w:rFonts w:ascii="Times New Roman" w:hAnsi="Times New Roman" w:cs="Times New Roman"/>
                <w:b/>
                <w:sz w:val="24"/>
                <w:szCs w:val="24"/>
              </w:rPr>
              <w:t>Наблюдение</w:t>
            </w:r>
          </w:p>
        </w:tc>
        <w:tc>
          <w:tcPr>
            <w:tcW w:w="4786" w:type="dxa"/>
          </w:tcPr>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Изучение процесса или процедур, выполняемых другими лицами (например наблюдение за подсчетом товарно-материальных запасов работниками организации)</w:t>
            </w:r>
          </w:p>
        </w:tc>
      </w:tr>
      <w:tr w:rsidR="008877F2" w:rsidRPr="008877F2" w:rsidTr="008877F2">
        <w:tc>
          <w:tcPr>
            <w:tcW w:w="4785" w:type="dxa"/>
          </w:tcPr>
          <w:p w:rsidR="008877F2" w:rsidRPr="008877F2" w:rsidRDefault="008877F2" w:rsidP="008877F2">
            <w:pPr>
              <w:spacing w:line="360" w:lineRule="auto"/>
              <w:jc w:val="center"/>
              <w:rPr>
                <w:rFonts w:ascii="Times New Roman" w:hAnsi="Times New Roman" w:cs="Times New Roman"/>
                <w:b/>
                <w:sz w:val="24"/>
                <w:szCs w:val="24"/>
              </w:rPr>
            </w:pPr>
            <w:r w:rsidRPr="008877F2">
              <w:rPr>
                <w:rFonts w:ascii="Times New Roman" w:hAnsi="Times New Roman" w:cs="Times New Roman"/>
                <w:b/>
                <w:sz w:val="24"/>
                <w:szCs w:val="24"/>
              </w:rPr>
              <w:t>Запрос</w:t>
            </w:r>
          </w:p>
        </w:tc>
        <w:tc>
          <w:tcPr>
            <w:tcW w:w="4786" w:type="dxa"/>
          </w:tcPr>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Поиск информации у осведомленных лиц в пределах или за пределами организации</w:t>
            </w:r>
          </w:p>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Запросы делятся на следующие виды:</w:t>
            </w:r>
          </w:p>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 официальные письменные запросы в адрес третьих лиц,</w:t>
            </w:r>
          </w:p>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 неофициальные устные запросы, адресованные работникам организации</w:t>
            </w:r>
          </w:p>
        </w:tc>
      </w:tr>
      <w:tr w:rsidR="008877F2" w:rsidRPr="008877F2" w:rsidTr="008877F2">
        <w:tc>
          <w:tcPr>
            <w:tcW w:w="4785" w:type="dxa"/>
          </w:tcPr>
          <w:p w:rsidR="008877F2" w:rsidRPr="008877F2" w:rsidRDefault="008877F2" w:rsidP="008877F2">
            <w:pPr>
              <w:spacing w:line="360" w:lineRule="auto"/>
              <w:jc w:val="center"/>
              <w:rPr>
                <w:rFonts w:ascii="Times New Roman" w:hAnsi="Times New Roman" w:cs="Times New Roman"/>
                <w:b/>
                <w:sz w:val="24"/>
                <w:szCs w:val="24"/>
              </w:rPr>
            </w:pPr>
            <w:r w:rsidRPr="008877F2">
              <w:rPr>
                <w:rFonts w:ascii="Times New Roman" w:hAnsi="Times New Roman" w:cs="Times New Roman"/>
                <w:b/>
                <w:sz w:val="24"/>
                <w:szCs w:val="24"/>
              </w:rPr>
              <w:t>Подтверждение</w:t>
            </w:r>
          </w:p>
        </w:tc>
        <w:tc>
          <w:tcPr>
            <w:tcW w:w="4786" w:type="dxa"/>
          </w:tcPr>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 xml:space="preserve">Ответ на запрос о подтверждении информации, содержащейся в бухгалтерских записях (например </w:t>
            </w:r>
            <w:r w:rsidRPr="008877F2">
              <w:rPr>
                <w:rFonts w:ascii="Times New Roman" w:hAnsi="Times New Roman" w:cs="Times New Roman"/>
                <w:sz w:val="24"/>
                <w:szCs w:val="24"/>
              </w:rPr>
              <w:lastRenderedPageBreak/>
              <w:t>подтверждение суммы дебиторской задолженности у дебиторов)</w:t>
            </w:r>
          </w:p>
        </w:tc>
      </w:tr>
      <w:tr w:rsidR="008877F2" w:rsidRPr="008877F2" w:rsidTr="008877F2">
        <w:tc>
          <w:tcPr>
            <w:tcW w:w="4785" w:type="dxa"/>
          </w:tcPr>
          <w:p w:rsidR="008877F2" w:rsidRPr="008877F2" w:rsidRDefault="008877F2" w:rsidP="008877F2">
            <w:pPr>
              <w:spacing w:line="360" w:lineRule="auto"/>
              <w:jc w:val="center"/>
              <w:rPr>
                <w:rFonts w:ascii="Times New Roman" w:hAnsi="Times New Roman" w:cs="Times New Roman"/>
                <w:b/>
                <w:sz w:val="24"/>
                <w:szCs w:val="24"/>
              </w:rPr>
            </w:pPr>
            <w:r w:rsidRPr="008877F2">
              <w:rPr>
                <w:rFonts w:ascii="Times New Roman" w:hAnsi="Times New Roman" w:cs="Times New Roman"/>
                <w:b/>
                <w:sz w:val="24"/>
                <w:szCs w:val="24"/>
              </w:rPr>
              <w:lastRenderedPageBreak/>
              <w:t>Подсчет</w:t>
            </w:r>
          </w:p>
        </w:tc>
        <w:tc>
          <w:tcPr>
            <w:tcW w:w="4786" w:type="dxa"/>
          </w:tcPr>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Проверка точности арифметических расчетов в первичных документах и бухгалтерских записях, выполнение самостоятельных расчетов</w:t>
            </w:r>
          </w:p>
        </w:tc>
      </w:tr>
      <w:tr w:rsidR="008877F2" w:rsidRPr="008877F2" w:rsidTr="008877F2">
        <w:tc>
          <w:tcPr>
            <w:tcW w:w="4785" w:type="dxa"/>
          </w:tcPr>
          <w:p w:rsidR="008877F2" w:rsidRPr="008877F2" w:rsidRDefault="008877F2" w:rsidP="008877F2">
            <w:pPr>
              <w:spacing w:line="360" w:lineRule="auto"/>
              <w:jc w:val="center"/>
              <w:rPr>
                <w:rFonts w:ascii="Times New Roman" w:hAnsi="Times New Roman" w:cs="Times New Roman"/>
                <w:b/>
                <w:sz w:val="24"/>
                <w:szCs w:val="24"/>
              </w:rPr>
            </w:pPr>
            <w:r w:rsidRPr="008877F2">
              <w:rPr>
                <w:rFonts w:ascii="Times New Roman" w:hAnsi="Times New Roman" w:cs="Times New Roman"/>
                <w:b/>
                <w:sz w:val="24"/>
                <w:szCs w:val="24"/>
              </w:rPr>
              <w:t>Аналитические процедуры</w:t>
            </w:r>
          </w:p>
        </w:tc>
        <w:tc>
          <w:tcPr>
            <w:tcW w:w="4786" w:type="dxa"/>
          </w:tcPr>
          <w:p w:rsidR="008877F2" w:rsidRPr="008877F2" w:rsidRDefault="008877F2" w:rsidP="008877F2">
            <w:pPr>
              <w:spacing w:line="360" w:lineRule="auto"/>
              <w:jc w:val="both"/>
              <w:rPr>
                <w:rFonts w:ascii="Times New Roman" w:hAnsi="Times New Roman" w:cs="Times New Roman"/>
                <w:sz w:val="24"/>
                <w:szCs w:val="24"/>
              </w:rPr>
            </w:pPr>
            <w:r w:rsidRPr="008877F2">
              <w:rPr>
                <w:rFonts w:ascii="Times New Roman" w:hAnsi="Times New Roman" w:cs="Times New Roman"/>
                <w:sz w:val="24"/>
                <w:szCs w:val="24"/>
              </w:rPr>
              <w:t>Анализ значимых показателей и тенденции, исследование колебаний, взаимосвязей и прогнозных значений</w:t>
            </w:r>
          </w:p>
        </w:tc>
      </w:tr>
    </w:tbl>
    <w:p w:rsidR="008877F2" w:rsidRDefault="008877F2" w:rsidP="008877F2">
      <w:pPr>
        <w:spacing w:line="360" w:lineRule="auto"/>
        <w:jc w:val="both"/>
        <w:rPr>
          <w:rFonts w:ascii="Times New Roman" w:hAnsi="Times New Roman" w:cs="Times New Roman"/>
          <w:sz w:val="28"/>
          <w:szCs w:val="28"/>
        </w:rPr>
      </w:pPr>
    </w:p>
    <w:p w:rsidR="008877F2" w:rsidRPr="008877F2" w:rsidRDefault="008877F2"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В международной практике применяются специальные способы получения аудиторских доказательств при проведении первоначальной аудиторской проверки деятельности субъекта. При этом руководствуются МСА 510 «Первоначальный аудит — начальное сальдо», который включает такие разделы, как введение, аудиторские процедуры и заключение.</w:t>
      </w:r>
    </w:p>
    <w:p w:rsidR="008877F2" w:rsidRPr="008877F2" w:rsidRDefault="008877F2"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При первой аудиторской проверке необходимо получить достаточные и уместные аудиторские доказательства того, что:</w:t>
      </w:r>
    </w:p>
    <w:p w:rsidR="008877F2" w:rsidRPr="008877F2" w:rsidRDefault="008877F2"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 начальные сальдо по счетам бухгалтерского учета не содержат существенных искажений;</w:t>
      </w:r>
    </w:p>
    <w:p w:rsidR="008877F2" w:rsidRPr="008877F2" w:rsidRDefault="008877F2"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 остатки по счетам на конец предыдущего отчетного периода были правильно перенесены на начало текущего периода;</w:t>
      </w:r>
    </w:p>
    <w:p w:rsidR="00A11196" w:rsidRDefault="008877F2"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 учетная политика организации применяется последовательно, все ее изменения учтены и раскрыты согласно требованиям законодательства.</w:t>
      </w:r>
      <w:r w:rsidR="00A11196">
        <w:rPr>
          <w:rFonts w:ascii="Times New Roman" w:hAnsi="Times New Roman" w:cs="Times New Roman"/>
          <w:sz w:val="28"/>
          <w:szCs w:val="28"/>
        </w:rPr>
        <w:t xml:space="preserve"> </w:t>
      </w:r>
    </w:p>
    <w:p w:rsidR="008877F2" w:rsidRPr="008877F2" w:rsidRDefault="008877F2"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Есл</w:t>
      </w:r>
      <w:r>
        <w:rPr>
          <w:rFonts w:ascii="Times New Roman" w:hAnsi="Times New Roman" w:cs="Times New Roman"/>
          <w:sz w:val="28"/>
          <w:szCs w:val="28"/>
        </w:rPr>
        <w:t>и</w:t>
      </w:r>
      <w:r w:rsidRPr="008877F2">
        <w:rPr>
          <w:rFonts w:ascii="Times New Roman" w:hAnsi="Times New Roman" w:cs="Times New Roman"/>
          <w:sz w:val="28"/>
          <w:szCs w:val="28"/>
        </w:rPr>
        <w:t xml:space="preserve"> аудиторская фирма впервые проводит аудит в данной организации-клиенте, ее аудитор может учесть выводы предыдущего аудитора, ознакомившись с его рабочими документами и аудиторским заключением.</w:t>
      </w:r>
    </w:p>
    <w:p w:rsidR="008877F2" w:rsidRPr="008877F2" w:rsidRDefault="008877F2"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Аудиторские выводы и заключение. Если аудитор не получил необходимых аудиторских доказательств относительно начальных сальдо по счетам </w:t>
      </w:r>
      <w:r w:rsidRPr="008877F2">
        <w:rPr>
          <w:rFonts w:ascii="Times New Roman" w:hAnsi="Times New Roman" w:cs="Times New Roman"/>
          <w:sz w:val="28"/>
          <w:szCs w:val="28"/>
        </w:rPr>
        <w:lastRenderedPageBreak/>
        <w:t>бухгалтерского учета, он может выразить условно-положительное мнение или отказаться от выражения мнения.</w:t>
      </w:r>
    </w:p>
    <w:p w:rsidR="005F2BB5" w:rsidRDefault="008877F2" w:rsidP="008877F2">
      <w:pPr>
        <w:spacing w:line="360" w:lineRule="auto"/>
        <w:jc w:val="both"/>
        <w:rPr>
          <w:rFonts w:ascii="Times New Roman" w:hAnsi="Times New Roman" w:cs="Times New Roman"/>
          <w:sz w:val="28"/>
          <w:szCs w:val="28"/>
        </w:rPr>
      </w:pPr>
      <w:r w:rsidRPr="008877F2">
        <w:rPr>
          <w:rFonts w:ascii="Times New Roman" w:hAnsi="Times New Roman" w:cs="Times New Roman"/>
          <w:sz w:val="28"/>
          <w:szCs w:val="28"/>
        </w:rPr>
        <w:t xml:space="preserve"> Проверка может завершиться выдачей отрицательного заключения, если начальное сальдо содержит существенное искажение или имеются серьезные нарушения при применении учетной политики</w:t>
      </w:r>
      <w:r w:rsidR="00A11196">
        <w:rPr>
          <w:rFonts w:ascii="Times New Roman" w:hAnsi="Times New Roman" w:cs="Times New Roman"/>
          <w:sz w:val="28"/>
          <w:szCs w:val="28"/>
        </w:rPr>
        <w:t>.</w:t>
      </w:r>
    </w:p>
    <w:p w:rsidR="00340368" w:rsidRDefault="00340368" w:rsidP="008877F2">
      <w:pPr>
        <w:spacing w:line="360" w:lineRule="auto"/>
        <w:jc w:val="both"/>
        <w:rPr>
          <w:rFonts w:ascii="Times New Roman" w:hAnsi="Times New Roman" w:cs="Times New Roman"/>
          <w:sz w:val="28"/>
          <w:szCs w:val="28"/>
        </w:rPr>
      </w:pPr>
    </w:p>
    <w:p w:rsidR="00340368" w:rsidRDefault="00340368" w:rsidP="008877F2">
      <w:pPr>
        <w:spacing w:line="360" w:lineRule="auto"/>
        <w:jc w:val="both"/>
        <w:rPr>
          <w:rFonts w:ascii="Times New Roman" w:hAnsi="Times New Roman" w:cs="Times New Roman"/>
          <w:sz w:val="28"/>
          <w:szCs w:val="28"/>
        </w:rPr>
      </w:pPr>
    </w:p>
    <w:p w:rsidR="00340368" w:rsidRDefault="00340368" w:rsidP="008877F2">
      <w:pPr>
        <w:spacing w:line="360" w:lineRule="auto"/>
        <w:jc w:val="both"/>
        <w:rPr>
          <w:rFonts w:ascii="Times New Roman" w:hAnsi="Times New Roman" w:cs="Times New Roman"/>
          <w:sz w:val="28"/>
          <w:szCs w:val="28"/>
        </w:rPr>
      </w:pPr>
    </w:p>
    <w:p w:rsidR="00340368" w:rsidRDefault="00340368" w:rsidP="008877F2">
      <w:pPr>
        <w:spacing w:line="360" w:lineRule="auto"/>
        <w:jc w:val="both"/>
        <w:rPr>
          <w:rFonts w:ascii="Times New Roman" w:hAnsi="Times New Roman" w:cs="Times New Roman"/>
          <w:sz w:val="28"/>
          <w:szCs w:val="28"/>
        </w:rPr>
      </w:pPr>
    </w:p>
    <w:p w:rsidR="00340368" w:rsidRDefault="00340368" w:rsidP="008877F2">
      <w:pPr>
        <w:spacing w:line="360" w:lineRule="auto"/>
        <w:jc w:val="both"/>
        <w:rPr>
          <w:rFonts w:ascii="Times New Roman" w:hAnsi="Times New Roman" w:cs="Times New Roman"/>
          <w:sz w:val="28"/>
          <w:szCs w:val="28"/>
        </w:rPr>
      </w:pPr>
    </w:p>
    <w:p w:rsidR="00340368" w:rsidRDefault="00340368" w:rsidP="008877F2">
      <w:pPr>
        <w:spacing w:line="360" w:lineRule="auto"/>
        <w:jc w:val="both"/>
        <w:rPr>
          <w:rFonts w:ascii="Times New Roman" w:hAnsi="Times New Roman" w:cs="Times New Roman"/>
          <w:sz w:val="28"/>
          <w:szCs w:val="28"/>
        </w:rPr>
      </w:pPr>
    </w:p>
    <w:p w:rsidR="00340368" w:rsidRDefault="00340368" w:rsidP="008877F2">
      <w:pPr>
        <w:spacing w:line="360" w:lineRule="auto"/>
        <w:jc w:val="both"/>
        <w:rPr>
          <w:rFonts w:ascii="Times New Roman" w:hAnsi="Times New Roman" w:cs="Times New Roman"/>
          <w:sz w:val="28"/>
          <w:szCs w:val="28"/>
        </w:rPr>
      </w:pPr>
    </w:p>
    <w:p w:rsidR="00340368" w:rsidRDefault="00340368" w:rsidP="008877F2">
      <w:pPr>
        <w:spacing w:line="360" w:lineRule="auto"/>
        <w:jc w:val="both"/>
        <w:rPr>
          <w:rFonts w:ascii="Times New Roman" w:hAnsi="Times New Roman" w:cs="Times New Roman"/>
          <w:sz w:val="28"/>
          <w:szCs w:val="28"/>
        </w:rPr>
      </w:pPr>
    </w:p>
    <w:p w:rsidR="00340368" w:rsidRDefault="00340368" w:rsidP="008877F2">
      <w:pPr>
        <w:spacing w:line="360" w:lineRule="auto"/>
        <w:jc w:val="both"/>
        <w:rPr>
          <w:rFonts w:ascii="Times New Roman" w:hAnsi="Times New Roman" w:cs="Times New Roman"/>
          <w:sz w:val="28"/>
          <w:szCs w:val="28"/>
        </w:rPr>
      </w:pPr>
    </w:p>
    <w:p w:rsidR="00340368" w:rsidRDefault="00340368" w:rsidP="008877F2">
      <w:pPr>
        <w:spacing w:line="360" w:lineRule="auto"/>
        <w:jc w:val="both"/>
        <w:rPr>
          <w:rFonts w:ascii="Times New Roman" w:hAnsi="Times New Roman" w:cs="Times New Roman"/>
          <w:sz w:val="28"/>
          <w:szCs w:val="28"/>
        </w:rPr>
      </w:pPr>
    </w:p>
    <w:p w:rsidR="00340368" w:rsidRDefault="00340368" w:rsidP="008877F2">
      <w:pPr>
        <w:spacing w:line="360" w:lineRule="auto"/>
        <w:jc w:val="both"/>
        <w:rPr>
          <w:rFonts w:ascii="Times New Roman" w:hAnsi="Times New Roman" w:cs="Times New Roman"/>
          <w:sz w:val="28"/>
          <w:szCs w:val="28"/>
        </w:rPr>
      </w:pPr>
    </w:p>
    <w:p w:rsidR="00340368" w:rsidRDefault="00340368" w:rsidP="008877F2">
      <w:pPr>
        <w:spacing w:line="360" w:lineRule="auto"/>
        <w:jc w:val="both"/>
        <w:rPr>
          <w:rFonts w:ascii="Times New Roman" w:hAnsi="Times New Roman" w:cs="Times New Roman"/>
          <w:sz w:val="28"/>
          <w:szCs w:val="28"/>
        </w:rPr>
      </w:pPr>
    </w:p>
    <w:p w:rsidR="00340368" w:rsidRDefault="00340368" w:rsidP="008877F2">
      <w:pPr>
        <w:spacing w:line="360" w:lineRule="auto"/>
        <w:jc w:val="both"/>
        <w:rPr>
          <w:rFonts w:ascii="Times New Roman" w:hAnsi="Times New Roman" w:cs="Times New Roman"/>
          <w:sz w:val="28"/>
          <w:szCs w:val="28"/>
        </w:rPr>
      </w:pPr>
    </w:p>
    <w:p w:rsidR="00340368" w:rsidRDefault="00340368" w:rsidP="008877F2">
      <w:pPr>
        <w:spacing w:line="360" w:lineRule="auto"/>
        <w:jc w:val="both"/>
        <w:rPr>
          <w:rFonts w:ascii="Times New Roman" w:hAnsi="Times New Roman" w:cs="Times New Roman"/>
          <w:sz w:val="28"/>
          <w:szCs w:val="28"/>
        </w:rPr>
      </w:pPr>
    </w:p>
    <w:p w:rsidR="00340368" w:rsidRDefault="00340368" w:rsidP="00340368">
      <w:pPr>
        <w:pStyle w:val="a7"/>
        <w:spacing w:line="360" w:lineRule="auto"/>
        <w:ind w:right="57"/>
        <w:rPr>
          <w:sz w:val="28"/>
          <w:szCs w:val="28"/>
        </w:rPr>
      </w:pPr>
    </w:p>
    <w:p w:rsidR="00340368" w:rsidRDefault="00340368" w:rsidP="00340368">
      <w:pPr>
        <w:pStyle w:val="a7"/>
        <w:spacing w:line="360" w:lineRule="auto"/>
        <w:ind w:right="57"/>
        <w:rPr>
          <w:sz w:val="28"/>
          <w:szCs w:val="28"/>
        </w:rPr>
      </w:pPr>
    </w:p>
    <w:p w:rsidR="00340368" w:rsidRDefault="00340368" w:rsidP="00340368">
      <w:pPr>
        <w:pStyle w:val="a7"/>
        <w:spacing w:line="360" w:lineRule="auto"/>
        <w:ind w:right="57"/>
        <w:rPr>
          <w:sz w:val="28"/>
          <w:szCs w:val="28"/>
        </w:rPr>
      </w:pPr>
    </w:p>
    <w:p w:rsidR="00340368" w:rsidRDefault="00340368" w:rsidP="00340368">
      <w:pPr>
        <w:pStyle w:val="a7"/>
        <w:spacing w:line="360" w:lineRule="auto"/>
        <w:ind w:right="57"/>
        <w:rPr>
          <w:sz w:val="28"/>
          <w:szCs w:val="28"/>
        </w:rPr>
      </w:pPr>
    </w:p>
    <w:p w:rsidR="00340368" w:rsidRPr="00340368" w:rsidRDefault="00340368" w:rsidP="00340368">
      <w:pPr>
        <w:pStyle w:val="a7"/>
        <w:spacing w:line="360" w:lineRule="auto"/>
        <w:ind w:right="57"/>
        <w:rPr>
          <w:sz w:val="28"/>
          <w:szCs w:val="28"/>
        </w:rPr>
      </w:pPr>
      <w:r>
        <w:rPr>
          <w:sz w:val="28"/>
          <w:szCs w:val="28"/>
        </w:rPr>
        <w:lastRenderedPageBreak/>
        <w:t>Список литературы</w:t>
      </w:r>
    </w:p>
    <w:p w:rsidR="00340368" w:rsidRPr="00340368" w:rsidRDefault="00340368" w:rsidP="00340368">
      <w:pPr>
        <w:pStyle w:val="a7"/>
        <w:spacing w:line="360" w:lineRule="auto"/>
        <w:ind w:right="57"/>
        <w:jc w:val="both"/>
        <w:rPr>
          <w:b w:val="0"/>
          <w:sz w:val="28"/>
          <w:szCs w:val="28"/>
        </w:rPr>
      </w:pPr>
    </w:p>
    <w:p w:rsidR="00340368" w:rsidRPr="00340368" w:rsidRDefault="00340368" w:rsidP="00340368">
      <w:pPr>
        <w:numPr>
          <w:ilvl w:val="0"/>
          <w:numId w:val="2"/>
        </w:numPr>
        <w:spacing w:after="0" w:line="360" w:lineRule="auto"/>
        <w:ind w:left="357" w:hanging="357"/>
        <w:jc w:val="both"/>
        <w:rPr>
          <w:rFonts w:ascii="Times New Roman" w:hAnsi="Times New Roman" w:cs="Times New Roman"/>
          <w:sz w:val="28"/>
          <w:szCs w:val="28"/>
        </w:rPr>
      </w:pPr>
      <w:r w:rsidRPr="00340368">
        <w:rPr>
          <w:rFonts w:ascii="Times New Roman" w:hAnsi="Times New Roman" w:cs="Times New Roman"/>
          <w:sz w:val="28"/>
          <w:szCs w:val="28"/>
        </w:rPr>
        <w:t xml:space="preserve">Об аудиторской деятельности: Федеральный закон РФ от 30 декабря 2008 г. № 307-ФЗ  // Российская газета. – 2008. – 30 дек. </w:t>
      </w:r>
    </w:p>
    <w:p w:rsidR="00340368" w:rsidRPr="00340368" w:rsidRDefault="00340368" w:rsidP="00340368">
      <w:pPr>
        <w:numPr>
          <w:ilvl w:val="0"/>
          <w:numId w:val="2"/>
        </w:numPr>
        <w:spacing w:after="0" w:line="360" w:lineRule="auto"/>
        <w:ind w:left="357" w:hanging="357"/>
        <w:jc w:val="both"/>
        <w:rPr>
          <w:rFonts w:ascii="Times New Roman" w:hAnsi="Times New Roman" w:cs="Times New Roman"/>
          <w:sz w:val="28"/>
          <w:szCs w:val="28"/>
        </w:rPr>
      </w:pPr>
      <w:r w:rsidRPr="00340368">
        <w:rPr>
          <w:rFonts w:ascii="Times New Roman" w:hAnsi="Times New Roman" w:cs="Times New Roman"/>
          <w:sz w:val="28"/>
          <w:szCs w:val="28"/>
        </w:rPr>
        <w:t>О саморегулируемых организациях: Федеральный закон от 1 декабря 2007 г. № 307-ФЗ // Российская газета. – 2007. – 03 дек.</w:t>
      </w:r>
    </w:p>
    <w:p w:rsidR="00340368" w:rsidRPr="00340368" w:rsidRDefault="00340368" w:rsidP="00340368">
      <w:pPr>
        <w:numPr>
          <w:ilvl w:val="0"/>
          <w:numId w:val="2"/>
        </w:numPr>
        <w:spacing w:after="0" w:line="360" w:lineRule="auto"/>
        <w:ind w:left="357" w:hanging="357"/>
        <w:jc w:val="both"/>
        <w:rPr>
          <w:rFonts w:ascii="Times New Roman" w:hAnsi="Times New Roman" w:cs="Times New Roman"/>
          <w:sz w:val="28"/>
          <w:szCs w:val="28"/>
        </w:rPr>
      </w:pPr>
      <w:r w:rsidRPr="00340368">
        <w:rPr>
          <w:rFonts w:ascii="Times New Roman" w:hAnsi="Times New Roman" w:cs="Times New Roman"/>
          <w:sz w:val="28"/>
          <w:szCs w:val="28"/>
        </w:rPr>
        <w:t>Федеральные правила (стандарты) аудиторской деятельности: Утверждены Постановлением Правительства РФ от 23 сентября 2002 г. № 696 (с изм. и доп.) // Справочно-правовая система «Консультант Плюс»: [Электронный ресурс]</w:t>
      </w:r>
    </w:p>
    <w:p w:rsidR="00340368" w:rsidRPr="00340368" w:rsidRDefault="00340368" w:rsidP="00340368">
      <w:pPr>
        <w:numPr>
          <w:ilvl w:val="0"/>
          <w:numId w:val="2"/>
        </w:numPr>
        <w:spacing w:after="0" w:line="360" w:lineRule="auto"/>
        <w:ind w:left="357" w:hanging="357"/>
        <w:jc w:val="both"/>
        <w:rPr>
          <w:rFonts w:ascii="Times New Roman" w:hAnsi="Times New Roman" w:cs="Times New Roman"/>
          <w:sz w:val="28"/>
          <w:szCs w:val="28"/>
        </w:rPr>
      </w:pPr>
      <w:r w:rsidRPr="00340368">
        <w:rPr>
          <w:rFonts w:ascii="Times New Roman" w:hAnsi="Times New Roman" w:cs="Times New Roman"/>
          <w:sz w:val="28"/>
          <w:szCs w:val="28"/>
        </w:rPr>
        <w:t>Бычкова С.М., Итыгилова Е.Ю. Внутрифирменные стандарты аудита / под ред. С.М. Бычковой.— М.: Бухгалтерский учет, 2007.</w:t>
      </w:r>
    </w:p>
    <w:p w:rsidR="00340368" w:rsidRPr="00340368" w:rsidRDefault="00340368" w:rsidP="00340368">
      <w:pPr>
        <w:numPr>
          <w:ilvl w:val="0"/>
          <w:numId w:val="2"/>
        </w:numPr>
        <w:spacing w:after="0" w:line="360" w:lineRule="auto"/>
        <w:ind w:left="357" w:hanging="357"/>
        <w:jc w:val="both"/>
        <w:rPr>
          <w:rFonts w:ascii="Times New Roman" w:hAnsi="Times New Roman" w:cs="Times New Roman"/>
          <w:sz w:val="28"/>
          <w:szCs w:val="28"/>
        </w:rPr>
      </w:pPr>
      <w:r w:rsidRPr="00340368">
        <w:rPr>
          <w:rFonts w:ascii="Times New Roman" w:hAnsi="Times New Roman" w:cs="Times New Roman"/>
          <w:sz w:val="28"/>
          <w:szCs w:val="28"/>
        </w:rPr>
        <w:t>Суворова С.П., Парушина Н.В., Галкина Е.В., Ковалева А.М. Основы внутрифирменной стандартизации аудиторской деятельности: учебное пособие.— М.: ИД «ФОРУМ»; ИНФРА-М, 2007.</w:t>
      </w:r>
    </w:p>
    <w:p w:rsidR="00340368" w:rsidRPr="00340368" w:rsidRDefault="00340368" w:rsidP="00340368">
      <w:pPr>
        <w:numPr>
          <w:ilvl w:val="0"/>
          <w:numId w:val="2"/>
        </w:numPr>
        <w:spacing w:after="0" w:line="360" w:lineRule="auto"/>
        <w:ind w:left="357" w:hanging="357"/>
        <w:jc w:val="both"/>
        <w:rPr>
          <w:rFonts w:ascii="Times New Roman" w:hAnsi="Times New Roman" w:cs="Times New Roman"/>
          <w:sz w:val="28"/>
          <w:szCs w:val="28"/>
        </w:rPr>
      </w:pPr>
      <w:r w:rsidRPr="00340368">
        <w:rPr>
          <w:rFonts w:ascii="Times New Roman" w:hAnsi="Times New Roman" w:cs="Times New Roman"/>
          <w:sz w:val="28"/>
          <w:szCs w:val="28"/>
        </w:rPr>
        <w:t xml:space="preserve">Аудит: учебник для вузов / В.И. Подольский, А.А. Савин, Л.В. Сотникова и др.; Под ред. проф. В.И. Подольского. – М.: ЮНИТИ-ДАНА, 2011. </w:t>
      </w:r>
    </w:p>
    <w:p w:rsidR="00340368" w:rsidRDefault="00340368" w:rsidP="008877F2">
      <w:pPr>
        <w:spacing w:line="360" w:lineRule="auto"/>
        <w:jc w:val="both"/>
        <w:rPr>
          <w:rFonts w:ascii="Times New Roman" w:hAnsi="Times New Roman" w:cs="Times New Roman"/>
          <w:sz w:val="28"/>
          <w:szCs w:val="28"/>
        </w:rPr>
      </w:pPr>
    </w:p>
    <w:p w:rsidR="00340368" w:rsidRDefault="00340368" w:rsidP="008877F2">
      <w:pPr>
        <w:spacing w:line="360" w:lineRule="auto"/>
        <w:jc w:val="both"/>
        <w:rPr>
          <w:rFonts w:ascii="Times New Roman" w:hAnsi="Times New Roman" w:cs="Times New Roman"/>
          <w:sz w:val="28"/>
          <w:szCs w:val="28"/>
        </w:rPr>
      </w:pPr>
    </w:p>
    <w:p w:rsidR="00340368" w:rsidRDefault="00340368" w:rsidP="008877F2">
      <w:pPr>
        <w:spacing w:line="360" w:lineRule="auto"/>
        <w:jc w:val="both"/>
        <w:rPr>
          <w:rFonts w:ascii="Times New Roman" w:hAnsi="Times New Roman" w:cs="Times New Roman"/>
          <w:sz w:val="28"/>
          <w:szCs w:val="28"/>
        </w:rPr>
      </w:pPr>
    </w:p>
    <w:p w:rsidR="00340368" w:rsidRPr="008877F2" w:rsidRDefault="00340368" w:rsidP="008877F2">
      <w:pPr>
        <w:spacing w:line="360" w:lineRule="auto"/>
        <w:jc w:val="both"/>
        <w:rPr>
          <w:rFonts w:ascii="Times New Roman" w:hAnsi="Times New Roman" w:cs="Times New Roman"/>
          <w:sz w:val="28"/>
          <w:szCs w:val="28"/>
        </w:rPr>
      </w:pPr>
    </w:p>
    <w:sectPr w:rsidR="00340368" w:rsidRPr="008877F2" w:rsidSect="005F2BB5">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856" w:rsidRDefault="003D2856" w:rsidP="005F2BB5">
      <w:pPr>
        <w:spacing w:after="0" w:line="240" w:lineRule="auto"/>
      </w:pPr>
      <w:r>
        <w:separator/>
      </w:r>
    </w:p>
  </w:endnote>
  <w:endnote w:type="continuationSeparator" w:id="1">
    <w:p w:rsidR="003D2856" w:rsidRDefault="003D2856" w:rsidP="005F2B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BB5" w:rsidRDefault="005F2BB5">
    <w:pPr>
      <w:pStyle w:val="a5"/>
      <w:jc w:val="right"/>
    </w:pPr>
  </w:p>
  <w:p w:rsidR="005F2BB5" w:rsidRDefault="00C93DB4">
    <w:pPr>
      <w:pStyle w:val="a5"/>
      <w:jc w:val="right"/>
    </w:pPr>
    <w:sdt>
      <w:sdtPr>
        <w:id w:val="3852838"/>
        <w:docPartObj>
          <w:docPartGallery w:val="Page Numbers (Bottom of Page)"/>
          <w:docPartUnique/>
        </w:docPartObj>
      </w:sdtPr>
      <w:sdtContent>
        <w:fldSimple w:instr=" PAGE   \* MERGEFORMAT ">
          <w:r w:rsidR="00340368">
            <w:rPr>
              <w:noProof/>
            </w:rPr>
            <w:t>15</w:t>
          </w:r>
        </w:fldSimple>
      </w:sdtContent>
    </w:sdt>
  </w:p>
  <w:p w:rsidR="005F2BB5" w:rsidRDefault="005F2BB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856" w:rsidRDefault="003D2856" w:rsidP="005F2BB5">
      <w:pPr>
        <w:spacing w:after="0" w:line="240" w:lineRule="auto"/>
      </w:pPr>
      <w:r>
        <w:separator/>
      </w:r>
    </w:p>
  </w:footnote>
  <w:footnote w:type="continuationSeparator" w:id="1">
    <w:p w:rsidR="003D2856" w:rsidRDefault="003D2856" w:rsidP="005F2B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C2A9A"/>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6BBA19C5"/>
    <w:multiLevelType w:val="hybridMultilevel"/>
    <w:tmpl w:val="2E2A8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12290"/>
  </w:hdrShapeDefaults>
  <w:footnotePr>
    <w:footnote w:id="0"/>
    <w:footnote w:id="1"/>
  </w:footnotePr>
  <w:endnotePr>
    <w:endnote w:id="0"/>
    <w:endnote w:id="1"/>
  </w:endnotePr>
  <w:compat>
    <w:useFELayout/>
  </w:compat>
  <w:rsids>
    <w:rsidRoot w:val="005F2BB5"/>
    <w:rsid w:val="000376E0"/>
    <w:rsid w:val="000B14AD"/>
    <w:rsid w:val="00340368"/>
    <w:rsid w:val="003614E4"/>
    <w:rsid w:val="003D2856"/>
    <w:rsid w:val="0047071E"/>
    <w:rsid w:val="004F205D"/>
    <w:rsid w:val="005F2BB5"/>
    <w:rsid w:val="008877F2"/>
    <w:rsid w:val="00A11196"/>
    <w:rsid w:val="00A13293"/>
    <w:rsid w:val="00C76992"/>
    <w:rsid w:val="00C93DB4"/>
    <w:rsid w:val="00CD5F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9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F2BB5"/>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F2BB5"/>
  </w:style>
  <w:style w:type="paragraph" w:styleId="a5">
    <w:name w:val="footer"/>
    <w:basedOn w:val="a"/>
    <w:link w:val="a6"/>
    <w:uiPriority w:val="99"/>
    <w:unhideWhenUsed/>
    <w:rsid w:val="005F2BB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F2BB5"/>
  </w:style>
  <w:style w:type="paragraph" w:styleId="a7">
    <w:name w:val="Subtitle"/>
    <w:basedOn w:val="a"/>
    <w:link w:val="a8"/>
    <w:qFormat/>
    <w:rsid w:val="005F2BB5"/>
    <w:pPr>
      <w:spacing w:after="0" w:line="240" w:lineRule="auto"/>
      <w:jc w:val="center"/>
    </w:pPr>
    <w:rPr>
      <w:rFonts w:ascii="Times New Roman" w:eastAsia="Times New Roman" w:hAnsi="Times New Roman" w:cs="Times New Roman"/>
      <w:b/>
      <w:color w:val="000000"/>
      <w:sz w:val="24"/>
      <w:szCs w:val="20"/>
    </w:rPr>
  </w:style>
  <w:style w:type="character" w:customStyle="1" w:styleId="a8">
    <w:name w:val="Подзаголовок Знак"/>
    <w:basedOn w:val="a0"/>
    <w:link w:val="a7"/>
    <w:rsid w:val="005F2BB5"/>
    <w:rPr>
      <w:rFonts w:ascii="Times New Roman" w:eastAsia="Times New Roman" w:hAnsi="Times New Roman" w:cs="Times New Roman"/>
      <w:b/>
      <w:color w:val="000000"/>
      <w:sz w:val="24"/>
      <w:szCs w:val="20"/>
    </w:rPr>
  </w:style>
  <w:style w:type="table" w:styleId="a9">
    <w:name w:val="Table Grid"/>
    <w:basedOn w:val="a1"/>
    <w:uiPriority w:val="59"/>
    <w:rsid w:val="008877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List Paragraph"/>
    <w:basedOn w:val="a"/>
    <w:uiPriority w:val="34"/>
    <w:qFormat/>
    <w:rsid w:val="004F205D"/>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14</Pages>
  <Words>2706</Words>
  <Characters>15429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толстенко</dc:creator>
  <cp:keywords/>
  <dc:description/>
  <cp:lastModifiedBy>Ольга толстенко</cp:lastModifiedBy>
  <cp:revision>7</cp:revision>
  <dcterms:created xsi:type="dcterms:W3CDTF">2015-09-02T12:48:00Z</dcterms:created>
  <dcterms:modified xsi:type="dcterms:W3CDTF">2015-09-10T09:15:00Z</dcterms:modified>
</cp:coreProperties>
</file>