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Содержание.</w:t>
      </w:r>
    </w:p>
    <w:p w:rsidR="001F2CC3" w:rsidRPr="00A052B0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5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Введение……………………………………………………………………</w:t>
      </w:r>
      <w:r w:rsidR="00A05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….</w:t>
      </w:r>
      <w:r w:rsidR="000D0B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05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6B2CD3" w:rsidRPr="00A052B0" w:rsidRDefault="00872B40" w:rsidP="006B2CD3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B2CD3" w:rsidRPr="00A05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Угольные бассейны России</w:t>
      </w:r>
      <w:r w:rsidR="00A05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</w:t>
      </w:r>
      <w:r w:rsidR="000D0B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  <w:r w:rsidR="007D1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196908" w:rsidRPr="00A052B0" w:rsidRDefault="00872B40" w:rsidP="001969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96908" w:rsidRPr="00A052B0">
        <w:rPr>
          <w:rFonts w:ascii="TimesNewRoman" w:hAnsi="TimesNewRoman" w:cs="TimesNewRoman"/>
          <w:sz w:val="28"/>
          <w:szCs w:val="28"/>
        </w:rPr>
        <w:t xml:space="preserve"> </w:t>
      </w:r>
      <w:r w:rsidR="00196908" w:rsidRPr="00A052B0">
        <w:rPr>
          <w:rFonts w:ascii="Times New Roman" w:hAnsi="Times New Roman" w:cs="Times New Roman"/>
          <w:sz w:val="28"/>
          <w:szCs w:val="28"/>
        </w:rPr>
        <w:t>Современные проблемы развития и размещения угольной промышленности в условиях формирования рыночной экономики и реструктуризации отрасли…………………………………………………</w:t>
      </w:r>
      <w:r w:rsidR="00A052B0">
        <w:rPr>
          <w:rFonts w:ascii="Times New Roman" w:hAnsi="Times New Roman" w:cs="Times New Roman"/>
          <w:sz w:val="28"/>
          <w:szCs w:val="28"/>
        </w:rPr>
        <w:t>…</w:t>
      </w:r>
      <w:r w:rsidR="000D0B2D">
        <w:rPr>
          <w:rFonts w:ascii="Times New Roman" w:hAnsi="Times New Roman" w:cs="Times New Roman"/>
          <w:sz w:val="28"/>
          <w:szCs w:val="28"/>
        </w:rPr>
        <w:t>…</w:t>
      </w:r>
      <w:r w:rsidR="007D16D3">
        <w:rPr>
          <w:rFonts w:ascii="Times New Roman" w:hAnsi="Times New Roman" w:cs="Times New Roman"/>
          <w:sz w:val="28"/>
          <w:szCs w:val="28"/>
        </w:rPr>
        <w:t>6</w:t>
      </w:r>
    </w:p>
    <w:p w:rsidR="00C67720" w:rsidRPr="00A052B0" w:rsidRDefault="00872B40" w:rsidP="00C6772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C67720" w:rsidRPr="00A052B0">
        <w:rPr>
          <w:sz w:val="28"/>
          <w:szCs w:val="28"/>
        </w:rPr>
        <w:t>Охрана природы и рациональное природопользование в угольной промышленности……………………………………………………………</w:t>
      </w:r>
      <w:r w:rsidR="007D16D3">
        <w:rPr>
          <w:sz w:val="28"/>
          <w:szCs w:val="28"/>
        </w:rPr>
        <w:t>…..9</w:t>
      </w:r>
    </w:p>
    <w:p w:rsidR="00A4733B" w:rsidRPr="00A052B0" w:rsidRDefault="00A4733B" w:rsidP="00C6772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A052B0">
        <w:rPr>
          <w:sz w:val="28"/>
          <w:szCs w:val="28"/>
        </w:rPr>
        <w:t>Заключение…………………………………………………………………</w:t>
      </w:r>
      <w:r w:rsidR="007D16D3">
        <w:rPr>
          <w:sz w:val="28"/>
          <w:szCs w:val="28"/>
        </w:rPr>
        <w:t>…12</w:t>
      </w:r>
    </w:p>
    <w:p w:rsidR="00A4733B" w:rsidRPr="00A052B0" w:rsidRDefault="00A4733B" w:rsidP="00C6772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A052B0">
        <w:rPr>
          <w:sz w:val="28"/>
          <w:szCs w:val="28"/>
        </w:rPr>
        <w:t>Список использованн</w:t>
      </w:r>
      <w:r w:rsidR="00872B40">
        <w:rPr>
          <w:sz w:val="28"/>
          <w:szCs w:val="28"/>
        </w:rPr>
        <w:t>ых исочников</w:t>
      </w:r>
      <w:r w:rsidRPr="00A052B0">
        <w:rPr>
          <w:sz w:val="28"/>
          <w:szCs w:val="28"/>
        </w:rPr>
        <w:t>……………………………………</w:t>
      </w:r>
      <w:r w:rsidR="007D16D3">
        <w:rPr>
          <w:sz w:val="28"/>
          <w:szCs w:val="28"/>
        </w:rPr>
        <w:t>…...16</w:t>
      </w:r>
    </w:p>
    <w:p w:rsidR="00A4733B" w:rsidRPr="00A052B0" w:rsidRDefault="00A4733B" w:rsidP="00C6772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A052B0">
        <w:rPr>
          <w:sz w:val="28"/>
          <w:szCs w:val="28"/>
        </w:rPr>
        <w:t>Приложения…………………………………………………………………</w:t>
      </w:r>
      <w:r w:rsidR="0064701A">
        <w:rPr>
          <w:sz w:val="28"/>
          <w:szCs w:val="28"/>
        </w:rPr>
        <w:t>…17</w:t>
      </w:r>
    </w:p>
    <w:p w:rsidR="00196908" w:rsidRDefault="00196908" w:rsidP="001969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2CC3" w:rsidRDefault="001F2CC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52B0" w:rsidRDefault="00A052B0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7BEC" w:rsidRPr="00872B40" w:rsidRDefault="00872B40" w:rsidP="00872B4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Введение</w:t>
      </w:r>
    </w:p>
    <w:p w:rsidR="006B2CD3" w:rsidRPr="00872B40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1A7BEC" w:rsidRPr="001F2C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Россия – мировой лидер в угольной отрасли. В недрах страны сосредоточены огромные геологические запасы угля. По их количеству мы находимся на втором месте после Китая, а по объемам добычи данного ресурса занимаем пятое место. Ежегодно в Российской Федерации производится более 320 млн. тонн в год. Наши недра содержат треть мировых ресурсов, из них – более 200 млрд. тонн составляют разведанные запасы, в их число входит 102,3 млрд. тонн бурого угля и 98,6 млрд. тонн каменного. Если существующий уровень добычи сохранится, то его запасов нам может хватить больше, чем на 550 лет. На протяжении всего времени своего существования угольная промышленность России играла огромную роль в развитии всего хозяйственного комплекса, но долгий путь становления был сопряжен с </w:t>
      </w:r>
      <w:r w:rsidR="001A7BEC" w:rsidRPr="00872B40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большими трудностями и кризисными явлениями.</w:t>
      </w:r>
    </w:p>
    <w:p w:rsidR="00096A6E" w:rsidRPr="001F2CC3" w:rsidRDefault="00096A6E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Распределение углей</w:t>
      </w:r>
      <w:r w:rsidR="00490AF7" w:rsidRPr="00872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72B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90AF7" w:rsidRPr="0087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872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страны крайне </w:t>
      </w:r>
      <w:r w:rsidRPr="00872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неравномерно</w:t>
      </w:r>
      <w:r w:rsidRPr="00872B4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872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95%</w:t>
      </w:r>
      <w:r w:rsidRPr="00872B40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запасов приходится на </w:t>
      </w:r>
      <w:r w:rsidRPr="00872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восточные регионы</w:t>
      </w:r>
      <w:r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 более 60% — на Сибирь. Основная часть общегеологических запасов угля сосредоточена в Тунгусском и Ленском бассейнах. По промышленным запасам угля выделяются Канско-Ачинский и Кузнецкий бассейны.</w:t>
      </w:r>
    </w:p>
    <w:p w:rsidR="00872B40" w:rsidRDefault="00096A6E" w:rsidP="00872B40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72B4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Добыча угля в России</w:t>
      </w:r>
    </w:p>
    <w:p w:rsidR="00096A6E" w:rsidRPr="00872B40" w:rsidRDefault="00096A6E" w:rsidP="00872B40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объемам добычи угля Россия занимает пятое место в мире (после Китая, США, Индии и Австралии), 3/4 добываемого угля используется для производства энергии и тепла, 1/4 — в металлургии и химической промышленности. На экспорт идет небольшая часть, в основном в Японию и Республику Корея.</w:t>
      </w:r>
    </w:p>
    <w:p w:rsidR="00096A6E" w:rsidRDefault="00096A6E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Открытая добыча угля</w:t>
      </w:r>
      <w:r w:rsidRPr="00872B4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России составляет </w:t>
      </w:r>
      <w:r w:rsidRPr="00872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2/3 общего объема</w:t>
      </w:r>
      <w:r w:rsidRPr="00872B40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Этот способ добычи считается наиболее производительным</w:t>
      </w:r>
      <w:r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дешевым. Однако при этом не учитываются связанные с ним сильные нарушения природы — создание глубоких карьеров и обширных отвалов вскрышных пород. Шахтная добыча дороже и отличается высокой аварийностью, что во многом определяется </w:t>
      </w:r>
      <w:r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изношенностью горного оборудования (40% его устарело и требует срочной модернизации).</w:t>
      </w: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A6E" w:rsidRPr="00872B40" w:rsidRDefault="006B2CD3" w:rsidP="001F2CC3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872B4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2.</w:t>
      </w:r>
      <w:r w:rsidR="00096A6E" w:rsidRPr="00872B4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Угольные бассейны России</w:t>
      </w:r>
    </w:p>
    <w:p w:rsidR="00096A6E" w:rsidRPr="001F2CC3" w:rsidRDefault="00096A6E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того или иного угольного бассейна в территориальном разделении труда зависит от качества углей, размера запасов, технико-экономических показателей добычи, степени подготовленности запасов для промышленной эксплуатации, размеров добычи, особенностей транспортно-географического положения. По совокупности этих условий резко </w:t>
      </w:r>
      <w:r w:rsidRPr="006B2C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</w:t>
      </w:r>
      <w:r w:rsidR="006B2BE7" w:rsidRPr="006B2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2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межрайонные</w:t>
      </w:r>
      <w:r w:rsidRPr="001F2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B2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угольные базы</w:t>
      </w:r>
      <w:r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Кузнецкий и Канско-Ачинский бассейны, на которые суммарно приходится 70% добычи угля в России, а также Печорский, Донецкий, Иркутско-Черемховский и Южно-Якутский бассейны.</w:t>
      </w:r>
    </w:p>
    <w:p w:rsidR="00096A6E" w:rsidRPr="001F2CC3" w:rsidRDefault="006B2CD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B4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</w:t>
      </w:r>
      <w:r w:rsidR="00096A6E" w:rsidRPr="00872B4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Кузнецкий бассейн</w:t>
      </w:r>
      <w:r w:rsidR="00096A6E"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расположенный на юге Западной Сибири в Кемеровской области, является главной угольной базой страны и обеспечивает половину общероссийской добычи угля. Здесь залегает каменный уголь высокого качества, в том числе коксующийся. Почти 12% добычи осуществляется открытым способом. Главными центрами являются Новокузнецк, Кемерово, Прокопьевск, Анжеро-Судженск, Белово, Ленинск-Кузнецкий.</w:t>
      </w:r>
    </w:p>
    <w:p w:rsidR="00096A6E" w:rsidRPr="001F2CC3" w:rsidRDefault="006B2CD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B4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</w:t>
      </w:r>
      <w:r w:rsidR="00096A6E" w:rsidRPr="00872B4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Канско-Ачинский бассейн</w:t>
      </w:r>
      <w:r w:rsidR="00096A6E"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расположен на юге Восточной Сибири в Красноярском крае вдоль Транссибирской магистрали и дает 12% добычи угля в России. Бурый уголь этого бассейна является самым дешевым в стране, поскольку добыча осуществляется открытым способом. Из-за низкого качества уголь малотранспортабелен и поэтому на базе крупнейших разрезов (Ирша-Бородинского, Назаровского, Березовского) действуют мощные тепловые электростанции.</w:t>
      </w:r>
    </w:p>
    <w:p w:rsidR="00096A6E" w:rsidRPr="001F2CC3" w:rsidRDefault="006B2CD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B4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</w:t>
      </w:r>
      <w:r w:rsidR="00096A6E" w:rsidRPr="00872B4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Печорский бассейн</w:t>
      </w:r>
      <w:r w:rsidR="00096A6E"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является крупнейшим в европейской части и дает 4% добычи угля в стране. Он удален от важнейших промышленных центров и находится в Заполярье, добыча ведется только шахтным способом. В северной части бассейна (Воркутинское, Воргашорское месторождения) добывают коксующиеся угли, в южной (Интинское месторождение) — преимущественно энергетические. Основными потребителями печорского </w:t>
      </w:r>
      <w:r w:rsidR="00096A6E"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угля являются Череповецкий металлургический завод, предприятия Северо-Запада, Центра и Центрального Черноземья.</w:t>
      </w:r>
    </w:p>
    <w:p w:rsidR="00096A6E" w:rsidRPr="001F2CC3" w:rsidRDefault="006B2CD3" w:rsidP="001F2C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096A6E" w:rsidRPr="00F7002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Южно-Якутский бассейн</w:t>
      </w:r>
      <w:r w:rsidR="00096A6E"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> (3,9% общероссийской добычи) находится на Дальнем Востоке. Располагает значительными запасами энергетического и технологического топлива, причем вся добыча ведется открытым способом.</w:t>
      </w:r>
    </w:p>
    <w:p w:rsidR="00096A6E" w:rsidRPr="001F2CC3" w:rsidRDefault="00096A6E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перспективным угольным бассейнам относятся Ленский, Тунгусский и Таймырский, расположенные за Енисеем к северу от 60-й параллели. Они занимают обширные пространства в слабоосвоенных и малообжитых районах Восточной Сибири и Дальнего Востока.</w:t>
      </w:r>
    </w:p>
    <w:p w:rsidR="00096A6E" w:rsidRDefault="00096A6E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Параллельно с созданием угольных баз межрайонного значения шло широкое освоение местных угольных бассейнов, что дало возможность приблизить добычу угля к районам его потребления. При этом в западных регионах России добыча угля сокращается (Подмосковный бассейн), а в восточных — резко возрастает (месторождения Новосибирской области, Забайкальского края, Приморья.</w:t>
      </w:r>
    </w:p>
    <w:p w:rsidR="00196908" w:rsidRDefault="00196908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F2CC3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021" w:rsidRDefault="00F70021" w:rsidP="001969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CD3" w:rsidRPr="00F70021" w:rsidRDefault="00F70021" w:rsidP="00F700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6B2CD3" w:rsidRPr="00F700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196908" w:rsidRPr="00F70021">
        <w:rPr>
          <w:rFonts w:ascii="TimesNewRoman" w:hAnsi="TimesNewRoman" w:cs="TimesNewRoman"/>
          <w:i/>
          <w:sz w:val="28"/>
          <w:szCs w:val="28"/>
        </w:rPr>
        <w:t xml:space="preserve"> </w:t>
      </w:r>
      <w:r w:rsidR="00196908" w:rsidRPr="00F70021">
        <w:rPr>
          <w:rFonts w:ascii="Times New Roman" w:hAnsi="Times New Roman" w:cs="Times New Roman"/>
          <w:b/>
          <w:i/>
          <w:sz w:val="28"/>
          <w:szCs w:val="28"/>
        </w:rPr>
        <w:t>Современные проблемы развития и размещения угольной промышленности в условиях формирования рыночной экономики и реструктуризации отрасли.</w:t>
      </w:r>
    </w:p>
    <w:p w:rsidR="00BC5CFB" w:rsidRPr="00F70021" w:rsidRDefault="00F70021" w:rsidP="00F70021">
      <w:pPr>
        <w:tabs>
          <w:tab w:val="left" w:pos="2307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BC5CFB" w:rsidRPr="00BC5CFB">
        <w:rPr>
          <w:rFonts w:ascii="Times New Roman" w:hAnsi="Times New Roman" w:cs="Times New Roman"/>
          <w:sz w:val="28"/>
          <w:szCs w:val="28"/>
        </w:rPr>
        <w:t xml:space="preserve">За последние годы угольная промышленность прошла путь кардинальных реформ, благодаря чему отрасль успешно развивается. </w:t>
      </w:r>
    </w:p>
    <w:p w:rsidR="00BC04BB" w:rsidRPr="001F2CC3" w:rsidRDefault="00BC04BB" w:rsidP="00F70021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F2CC3">
        <w:rPr>
          <w:sz w:val="28"/>
          <w:szCs w:val="28"/>
        </w:rPr>
        <w:t>Стратегические планы России были разработаны в соответствии с опытом других стран и собственными особенностями. Основные основополагающие принципы звучали следующим образом:</w:t>
      </w:r>
    </w:p>
    <w:p w:rsidR="00BC04BB" w:rsidRPr="001F2CC3" w:rsidRDefault="00BC04BB" w:rsidP="00F70021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F2CC3">
        <w:rPr>
          <w:sz w:val="28"/>
          <w:szCs w:val="28"/>
        </w:rPr>
        <w:t>- России необходимо оставаться ведущей угледобывающей страной мира;</w:t>
      </w:r>
    </w:p>
    <w:p w:rsidR="00BC04BB" w:rsidRPr="001F2CC3" w:rsidRDefault="00BC04BB" w:rsidP="00F70021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F2CC3">
        <w:rPr>
          <w:sz w:val="28"/>
          <w:szCs w:val="28"/>
        </w:rPr>
        <w:t>- значение угольного ресурса в топливно-энергетическом балансе страны должно повышаться по мере истощения нефтяных и газовых запасов, которые существенно ниже угольных;</w:t>
      </w:r>
    </w:p>
    <w:p w:rsidR="00BC04BB" w:rsidRPr="001F2CC3" w:rsidRDefault="00BC04BB" w:rsidP="00F70021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F2CC3">
        <w:rPr>
          <w:sz w:val="28"/>
          <w:szCs w:val="28"/>
        </w:rPr>
        <w:t>- объем добычи должен регулироваться рыночным спросом и его изменениями на внутреннем и мировом рынках энергоносителей;</w:t>
      </w:r>
    </w:p>
    <w:p w:rsidR="00BC04BB" w:rsidRPr="001F2CC3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F2CC3">
        <w:rPr>
          <w:sz w:val="28"/>
          <w:szCs w:val="28"/>
        </w:rPr>
        <w:t>- повышать конкурентоспособность угля нужно путем снижения производственных затрат на добычу и вовлечения в разработку благоприятных месторождений с применением новых технологий.</w:t>
      </w:r>
    </w:p>
    <w:p w:rsidR="00BC04BB" w:rsidRPr="001F2CC3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F2CC3">
        <w:rPr>
          <w:sz w:val="28"/>
          <w:szCs w:val="28"/>
        </w:rPr>
        <w:t>Закрытие убыточных предприятий, сокращение численности персонала, концентрация производства на эффективных предприятиях привели угольную отрасль к устойчивому росту. С 1999 года началось прекращение спада объемов добычи, а в 2000-м они были увеличены на 11% по сравнению с 1998 годом. Доля частных компаний в общем объеме составила 77,2%. Реструктуризация, на которую были затрачены немалые средства, в целом оправдала себя. Угольная отрасль стала перспективной и способной удовлетворить потребность страны в угольном топливе.</w:t>
      </w:r>
    </w:p>
    <w:p w:rsidR="00BC04BB" w:rsidRPr="001F2CC3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222222"/>
          <w:sz w:val="28"/>
          <w:szCs w:val="28"/>
        </w:rPr>
      </w:pPr>
      <w:r w:rsidRPr="001F2CC3">
        <w:rPr>
          <w:sz w:val="28"/>
          <w:szCs w:val="28"/>
        </w:rPr>
        <w:t xml:space="preserve">Сегодня почти все объемы добычи выполняются частными предприятиями, всего по стране их более 200. Разработку угля ведут в семи федеральных округах, 16 угольных бассейнах и в 85 муниципальных образованиях России. 58 из них — углепромышленные территории на базе градообразующих угольных предприятий. В отрасли работает почти 200 тыс. человек. РФ лидер </w:t>
      </w:r>
      <w:r w:rsidRPr="001F2CC3">
        <w:rPr>
          <w:sz w:val="28"/>
          <w:szCs w:val="28"/>
        </w:rPr>
        <w:lastRenderedPageBreak/>
        <w:t>в экспортных поставках данного вида топлива. Мы экспортируем уголь в страны ЕС, Китай, Японию, Турцию и некоторые другие государства.</w:t>
      </w:r>
      <w:r w:rsidRPr="001F2CC3">
        <w:rPr>
          <w:color w:val="222222"/>
          <w:sz w:val="28"/>
          <w:szCs w:val="28"/>
        </w:rPr>
        <w:t xml:space="preserve"> </w:t>
      </w:r>
      <w:r w:rsidRPr="00BC5CFB">
        <w:rPr>
          <w:sz w:val="28"/>
          <w:szCs w:val="28"/>
        </w:rPr>
        <w:t>Положительным фактом является то, что угольные бассейны в нашей стране весьма доступны, а добыча ничем не затруднена.</w:t>
      </w:r>
    </w:p>
    <w:p w:rsidR="00BC04BB" w:rsidRPr="00BC5CFB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C5CFB">
        <w:rPr>
          <w:sz w:val="28"/>
          <w:szCs w:val="28"/>
        </w:rPr>
        <w:t>В российском энергобалансе на долю угля приходится более 25% и эта цифра постоянно увеличивается. В соответствии со стратегическими планами к 2020 году она должна составить 31-38%. 57% рынка формируется за счет основных участников, таких как «Евраз групп», «Сибуглемет» и «Южный Кузбасс». Они являются основными добытчиками наиболее ценного для промышленности твердого и полутвердого угля.</w:t>
      </w:r>
    </w:p>
    <w:p w:rsidR="00BC04BB" w:rsidRPr="00BC5CFB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C5CFB">
        <w:rPr>
          <w:sz w:val="28"/>
          <w:szCs w:val="28"/>
        </w:rPr>
        <w:t>Основные запасы сосредоточены в Печорском, Кузнецком, Челябинском, Иркутском, Канско-Ачинском, Тунгусском, Ленинском, Минусинском угольных бассейнах. Так, в Печорском эта цифра приближается к 350 миллиардам тонн, а Кузнецкий считается самым крупным в мире, в Кузбасском добывают 56% каменного и 80% коксующегося российского угля. Запасы Иркутского бассейна – 7,5 млрд. тонн, их плотность залегания здесь неоднородна. Добываемый уголь Канско-Ачинского бассейна используется в работе энергосистемы Красноярского края и Республики Хакасия.</w:t>
      </w:r>
    </w:p>
    <w:p w:rsidR="00BC04BB" w:rsidRPr="00BC5CFB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C5CFB">
        <w:rPr>
          <w:sz w:val="28"/>
          <w:szCs w:val="28"/>
        </w:rPr>
        <w:t>Перспективы развития угольной отрасли России обозначены в «Энергетической стратегии России на период до 2030 года». Ее реализация предусматривает 3 этапа:</w:t>
      </w:r>
    </w:p>
    <w:p w:rsidR="00BC04BB" w:rsidRPr="00BC5CFB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C5CFB">
        <w:rPr>
          <w:sz w:val="28"/>
          <w:szCs w:val="28"/>
        </w:rPr>
        <w:t>1. до 2015 года — предусматривает преодоление кризисных явлений в экономической и энергетической сферах;</w:t>
      </w:r>
    </w:p>
    <w:p w:rsidR="00BC04BB" w:rsidRPr="00BC5CFB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C5CFB">
        <w:rPr>
          <w:sz w:val="28"/>
          <w:szCs w:val="28"/>
        </w:rPr>
        <w:t>2. до 2020-2022 года –  этап повышения эффективности в обозначенных сферах;</w:t>
      </w:r>
    </w:p>
    <w:p w:rsidR="00BC04BB" w:rsidRPr="00BC5CFB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C5CFB">
        <w:rPr>
          <w:sz w:val="28"/>
          <w:szCs w:val="28"/>
        </w:rPr>
        <w:t>3. до 2030 года – этап высокоэффективного использования традиционных энергоресурсов.</w:t>
      </w:r>
    </w:p>
    <w:p w:rsidR="00BC04BB" w:rsidRDefault="00BC04BB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C5CFB">
        <w:rPr>
          <w:sz w:val="28"/>
          <w:szCs w:val="28"/>
        </w:rPr>
        <w:t xml:space="preserve">Одна из перспектив угольной отрасли России связана с интеграционными процессами в угольном производстве и энергетике. Это послужит толчком к </w:t>
      </w:r>
      <w:r w:rsidRPr="00BC5CFB">
        <w:rPr>
          <w:sz w:val="28"/>
          <w:szCs w:val="28"/>
        </w:rPr>
        <w:lastRenderedPageBreak/>
        <w:t>созданию на базе шахт современных энергетических объектов. В сложившихся рыночных условиях успешная конкуренция нашего угля на международном рынке может быть обеспечена совершенствованием техники и технологий добычи, снижением издержек производства и повышением технико-экономических показателей. Поэтому приоритетные направления сегодня – вовлечение в отработку высокотехнологичных запасов и модернизация производства. Все это повысит эффективность добычи и обеспечит России уровень ведущей угледобывающей страны.</w:t>
      </w: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196908" w:rsidRPr="00F70021" w:rsidRDefault="00F70021" w:rsidP="001F2CC3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/>
          <w:sz w:val="28"/>
          <w:szCs w:val="28"/>
        </w:rPr>
      </w:pPr>
      <w:r w:rsidRPr="00F70021">
        <w:rPr>
          <w:b/>
          <w:i/>
          <w:sz w:val="28"/>
          <w:szCs w:val="28"/>
        </w:rPr>
        <w:lastRenderedPageBreak/>
        <w:t>3</w:t>
      </w:r>
      <w:r w:rsidR="00196908" w:rsidRPr="00F70021">
        <w:rPr>
          <w:b/>
          <w:i/>
          <w:sz w:val="28"/>
          <w:szCs w:val="28"/>
        </w:rPr>
        <w:t>.</w:t>
      </w:r>
      <w:r w:rsidR="00C67720" w:rsidRPr="00F70021">
        <w:rPr>
          <w:b/>
          <w:i/>
          <w:sz w:val="28"/>
          <w:szCs w:val="28"/>
        </w:rPr>
        <w:t>Охрана природы и рациональное природопользование в угольной промышленности.</w:t>
      </w:r>
    </w:p>
    <w:p w:rsidR="00196908" w:rsidRPr="00196908" w:rsidRDefault="00196908" w:rsidP="00196908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96908">
        <w:rPr>
          <w:rFonts w:ascii="Times New Roman" w:hAnsi="Times New Roman" w:cs="Times New Roman"/>
          <w:sz w:val="28"/>
          <w:szCs w:val="28"/>
        </w:rPr>
        <w:t>овременный период развития отрасли осложняется целым рядом вызовов в сфере экологической безопасности и эффективности добычи угля, к которым следует отнести:</w:t>
      </w:r>
    </w:p>
    <w:p w:rsidR="00196908" w:rsidRPr="00196908" w:rsidRDefault="00196908" w:rsidP="00196908">
      <w:pPr>
        <w:pStyle w:val="a8"/>
        <w:numPr>
          <w:ilvl w:val="0"/>
          <w:numId w:val="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196908">
        <w:rPr>
          <w:rFonts w:ascii="Times New Roman" w:hAnsi="Times New Roman"/>
          <w:sz w:val="28"/>
          <w:szCs w:val="28"/>
        </w:rPr>
        <w:t xml:space="preserve"> неблагоприятное состояние окружающей среды в угледобывающих регионах, которое осложняется следующими факторами: ежегодный рост экономической оценки нанесенного экологического  ущерба; значительная численность населения, проживающего в регионах угледобычи (35,6 млн чел.); выбросы в атмосферу загрязняющих веществ на уровне порядка 1 млн т в год, из них 95 % газообразные вещества;</w:t>
      </w:r>
    </w:p>
    <w:p w:rsidR="00196908" w:rsidRPr="00196908" w:rsidRDefault="00196908" w:rsidP="00196908">
      <w:pPr>
        <w:pStyle w:val="a8"/>
        <w:numPr>
          <w:ilvl w:val="0"/>
          <w:numId w:val="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196908">
        <w:rPr>
          <w:rFonts w:ascii="Times New Roman" w:hAnsi="Times New Roman"/>
          <w:sz w:val="28"/>
          <w:szCs w:val="28"/>
        </w:rPr>
        <w:t xml:space="preserve"> истощение природных ресурсов, выраженное  в ежегодном нарушении земель до </w:t>
      </w:r>
      <w:smartTag w:uri="urn:schemas-microsoft-com:office:smarttags" w:element="metricconverter">
        <w:smartTagPr>
          <w:attr w:name="ProductID" w:val="4200 га"/>
        </w:smartTagPr>
        <w:r w:rsidRPr="00196908">
          <w:rPr>
            <w:rFonts w:ascii="Times New Roman" w:hAnsi="Times New Roman"/>
            <w:sz w:val="28"/>
            <w:szCs w:val="28"/>
          </w:rPr>
          <w:t>4200 га,</w:t>
        </w:r>
      </w:smartTag>
      <w:r w:rsidRPr="00196908">
        <w:rPr>
          <w:rFonts w:ascii="Times New Roman" w:hAnsi="Times New Roman"/>
          <w:sz w:val="28"/>
          <w:szCs w:val="28"/>
        </w:rPr>
        <w:t xml:space="preserve"> уровне рекультивации земель 25-30 % от нарушенных в течение года; загрязнение водных ресурсов до 86-88 %.</w:t>
      </w:r>
    </w:p>
    <w:p w:rsidR="00196908" w:rsidRPr="00196908" w:rsidRDefault="00196908" w:rsidP="00196908">
      <w:pPr>
        <w:pStyle w:val="a8"/>
        <w:numPr>
          <w:ilvl w:val="0"/>
          <w:numId w:val="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196908">
        <w:rPr>
          <w:rFonts w:ascii="Times New Roman" w:hAnsi="Times New Roman"/>
          <w:sz w:val="28"/>
          <w:szCs w:val="28"/>
        </w:rPr>
        <w:t>высокие темпы накопления и низкий уровень утилизации отходов, характеризующиеся ежегодным объемом образования отходов в 3 млрд т, долей их использования менее 47 % и  объемом накопленных отходов более 16,5 млрд т.</w:t>
      </w:r>
    </w:p>
    <w:p w:rsidR="00196908" w:rsidRPr="00196908" w:rsidRDefault="00196908" w:rsidP="00196908">
      <w:pPr>
        <w:pStyle w:val="a8"/>
        <w:numPr>
          <w:ilvl w:val="0"/>
          <w:numId w:val="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196908">
        <w:rPr>
          <w:rFonts w:ascii="Times New Roman" w:hAnsi="Times New Roman"/>
          <w:sz w:val="28"/>
          <w:szCs w:val="28"/>
        </w:rPr>
        <w:t>стратегические риски и угрозы связанные со снижением мировых цен на первичные энергоносители и обострением конкуренции на традиционных рынках сбыта российского угля;</w:t>
      </w:r>
    </w:p>
    <w:p w:rsidR="00196908" w:rsidRPr="00196908" w:rsidRDefault="00196908" w:rsidP="00196908">
      <w:pPr>
        <w:pStyle w:val="a8"/>
        <w:numPr>
          <w:ilvl w:val="0"/>
          <w:numId w:val="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196908">
        <w:rPr>
          <w:rFonts w:ascii="Times New Roman" w:hAnsi="Times New Roman"/>
          <w:sz w:val="28"/>
          <w:szCs w:val="28"/>
        </w:rPr>
        <w:t>структурные изменения, связанные с преимущественным развитием добычи угля на востоке страны, продолжением роста объемов добычи угля для экспорта, увеличением доли добычи угля открытым способом и объемов переработки угля.</w:t>
      </w:r>
    </w:p>
    <w:p w:rsidR="00196908" w:rsidRDefault="00196908" w:rsidP="0019690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96908">
        <w:rPr>
          <w:sz w:val="28"/>
          <w:szCs w:val="28"/>
        </w:rPr>
        <w:t xml:space="preserve">Угольная промышленность входит в первую десятку отраслей,  оказывающих наибольшее негативное воздействие на окружающую среду.  Это воздействие проявляется в заборе воды из природных источников,  сбросе загрязненных сточных вод в водные объекты,  выбросе вредных веществ в атмосферу, изъятии из землепользования и нарушении земель, образовании и </w:t>
      </w:r>
      <w:r w:rsidRPr="00196908">
        <w:rPr>
          <w:sz w:val="28"/>
          <w:szCs w:val="28"/>
        </w:rPr>
        <w:lastRenderedPageBreak/>
        <w:t xml:space="preserve">размещении отходов производства. В целом производственно-хозяйственная деятельность оказывает достаточно высокое многостороннее антропогенное негативное воздействие на отдельные </w:t>
      </w:r>
      <w:hyperlink r:id="rId8" w:history="1">
        <w:r w:rsidRPr="00196908">
          <w:rPr>
            <w:sz w:val="28"/>
            <w:szCs w:val="28"/>
          </w:rPr>
          <w:t>компоненты</w:t>
        </w:r>
      </w:hyperlink>
      <w:r w:rsidRPr="00196908">
        <w:rPr>
          <w:sz w:val="28"/>
          <w:szCs w:val="28"/>
        </w:rPr>
        <w:t xml:space="preserve"> природной среды и природные комплексы в целом. Постоянный рост объемов производства приводит к увеличению масштабов этого воздействия</w:t>
      </w:r>
      <w:r w:rsidR="00D65080">
        <w:rPr>
          <w:sz w:val="28"/>
          <w:szCs w:val="28"/>
        </w:rPr>
        <w:t>.</w:t>
      </w:r>
    </w:p>
    <w:p w:rsidR="004B7AE1" w:rsidRPr="004B151D" w:rsidRDefault="004B7AE1" w:rsidP="004B7A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4B151D">
        <w:rPr>
          <w:rFonts w:ascii="Times New Roman" w:hAnsi="Times New Roman" w:cs="Times New Roman"/>
          <w:sz w:val="28"/>
          <w:lang w:eastAsia="ru-RU"/>
        </w:rPr>
        <w:t>Все это нарушает экологическую сбалансированность окружающей среды в районах добычи и переработки угля и сланца и вызывает необходимость проведения специальных природоохранных мероприятий практически на каждом промышленном предприятии с учетом природно-климатических и производственно-технических условий.</w:t>
      </w:r>
    </w:p>
    <w:p w:rsidR="004B7AE1" w:rsidRPr="004B151D" w:rsidRDefault="004B7AE1" w:rsidP="004B7A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4B151D">
        <w:rPr>
          <w:rFonts w:ascii="Times New Roman" w:hAnsi="Times New Roman" w:cs="Times New Roman"/>
          <w:sz w:val="28"/>
          <w:lang w:eastAsia="ru-RU"/>
        </w:rPr>
        <w:t>Основой экологической политики в угольной промышленности является комплексный подход к решению актуальных проблем защиты окружающей среды от вредного воздействия действующих, реконструируемых и строящихся предприятий на основе единой научно-технической политики и соблюдения действующих законодательных актов по охране природы и рациональному использованию ее ресурсов. В этих целях в отрасли создана и успешно функционирует система управления охраной природы разного уровня — от промышленных предприятий до Комитета угольной промышленности, включая специализированный научно-исследовательский и проектно-конструкторский институт (ВНИИОСуголь, г. Пермь), инженерные службы и производственные подразделения по охране природы в угольных регионах, централизованное планирование и прогнозирование по всем видам природоохранной деятельности, метрологическое обеспечение и контроль качества окружающей среды. В целом эта система соответствует современным требованиям и отличается хорошей сбалансированностью в Функциональном отношении, что способствует проведению целенаправленной работы по оздоровлению экологической обстановки в районах размещения предприятий угольной промышленности.</w:t>
      </w:r>
    </w:p>
    <w:p w:rsidR="004B7AE1" w:rsidRPr="004B151D" w:rsidRDefault="004B7AE1" w:rsidP="004B7A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4B151D">
        <w:rPr>
          <w:rFonts w:ascii="Times New Roman" w:hAnsi="Times New Roman" w:cs="Times New Roman"/>
          <w:sz w:val="28"/>
          <w:lang w:eastAsia="ru-RU"/>
        </w:rPr>
        <w:lastRenderedPageBreak/>
        <w:t>Природоохранная деятельность в угольной промышленности — это совокупность научно обоснованных организационно-технических мероприятий, практическая реализация которых в рамках отдельных предприятий или региона в целом обеспечивает достижение установленных экологических норм и нормативов непосредственно в процессе производства. Главное внимание в этих мероприятиях направлено на оптимизацию организационных структур управления охраной природы, сокращение количества сбрасываемых неочищенных или недостаточно очищенных сточных вод, перевод на нормируемое водопотребление и замкнутые бессточные системы водообеспечения, ликвидацию мелких промышленных и коммунально-бытовых котельных, оснащение источников выбросов вредных веществ в атмосферу высокоэффективным пылегазоулавливающим оборудованием, увеличение темпов и качества работ по рекультивации нарушенных земель, тушение и озеленение породных отвалов шахт и обогатительных фабрик, а в последние годы — создание и внедрение экологически безопасных технологических процессов добычи и переработки угля и сланца с максимальной утилизацией отходов.</w:t>
      </w:r>
    </w:p>
    <w:p w:rsidR="004B7AE1" w:rsidRDefault="004B7AE1" w:rsidP="004B7A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4B151D">
        <w:rPr>
          <w:rFonts w:ascii="Times New Roman" w:hAnsi="Times New Roman" w:cs="Times New Roman"/>
          <w:sz w:val="28"/>
          <w:lang w:eastAsia="ru-RU"/>
        </w:rPr>
        <w:t>К настоящему времени в угольной промышленности накоплен определенный положительный опыт по защите окружающей среды от техногенных загрязнений. В широких масштабах ведутся в этом направлении поисковые и экспериментальные работы, результаты которых успешно используются при проектировании, строительстве и эксплуатации угольных предприятий. Поэтому обобщение и систематизация передового производственного опыта, имеющихся научных достижений и их внедрение будут способствовать дальнейшему совершенствованию технологии и организации природоохранных работ при добыче и переработке твердых горючих ископаемых.</w:t>
      </w:r>
    </w:p>
    <w:p w:rsidR="00981B16" w:rsidRDefault="00981B16" w:rsidP="004B7A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A052B0" w:rsidRDefault="00A052B0" w:rsidP="004B7A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A052B0" w:rsidRDefault="00A052B0" w:rsidP="004B7A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981B16" w:rsidRPr="00F70021" w:rsidRDefault="00C63B37" w:rsidP="00981B1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lang w:eastAsia="ru-RU"/>
        </w:rPr>
        <w:lastRenderedPageBreak/>
        <w:t>Заключение</w:t>
      </w:r>
    </w:p>
    <w:p w:rsidR="006F2198" w:rsidRPr="00981B16" w:rsidRDefault="006F2198" w:rsidP="00981B1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lang w:eastAsia="ru-RU"/>
        </w:rPr>
      </w:pPr>
      <w:r w:rsidRPr="00E01285">
        <w:rPr>
          <w:rFonts w:ascii="Times New Roman" w:hAnsi="Times New Roman" w:cs="Times New Roman"/>
          <w:color w:val="000000"/>
          <w:sz w:val="28"/>
          <w:szCs w:val="28"/>
        </w:rPr>
        <w:t>В условиях перехода к рынку возрастает значение реструктуризации угольной промышленности, которая направлена на преобразование производственной и организационной структур угольной отрасли. Основными условиями ее проведения являются: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Формирование конкурентоспособных угольных компаний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Обеспечение социальной защищенности работников отрасли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Последовательное снижение государственной поддержки предприятий отрасли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Социально-экономическое, экологическое оздоровление и обеспечение социальной стабильности в угледобывающих регионах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Выбор эффективной стратегии дальнейшего развития угольной отрасли России тесно связан с направлениями, темпами и результативностью осуществляемых в стране социально-экономических преобразований. Существуют следующие стратегий развития минерально-сырьевого сектора экономики.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Стратегия поиска разведки и промышленного освоения новых угольных месторождений. Эта стратегия делает главную ставку на открытие и освоение новых месторождений и требует первоочередного инвестирования геологопоисковых работ. Она может быть эффективной для дефицитных видов минерального сырья, но ситуация с обеспеченностью России запасами угля прямо противоположна: выявленными ресурсами страна вполне обеспечена, а обнаружение новых – маловероятно.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Стратегия простого поддержания и максимального использования ранее созданного потенциала мощностей. Такая стратегия применима при отсутствии роста потребностей в данном сырье. Она дает эффект за счет более полного использования имеющегося потенциала.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lastRenderedPageBreak/>
        <w:t>Стратегия широкомасштабного нового шахтного строительства при сохранении ранее введенного шахтного фонда. Это самая консервативная, но долгое время доминирующая в горных отраслях стратегия. Именно она привела к бедственному состоянию большую часть предприятий угольной промышленности России. Следование ей в будущем было бы весьма неэффективно ввиду высокой капиталоемкости, продолжающегося ничем не компенсируемого усложнения горно-геологических условий и морального старения технологий.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Стратегия технологического перевооружения действующих предприятий отрасли. Она основывается на идее широкомасштабной модернизации и выведения всех предприятий на современный научно-технический уровень. Нет сомнений, что глобальное техническое перевооружение дает крупный эффект, но в ближайшее время это вряд ли осуществимо, так как требует крупных инвестиций. Реальных источников для ее практического осуществления нет. Однако в будущем, после принятия законодательных актов, дающих инвесторам определенные гарантии на правительственном уровне, и в случае стабилизации политического положения в стране ситуация может резко измениться.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Стратегия развития экспортных поставок. Данная стратегия направлена на повышение конкурентоспособности отечественных углей на мировом рынке. В нынешних условиях это вряд ли осуществимо. Главные месторождения высококачественного угля слишком далеко удалены от морских портов. Отечественные производители с трудом вписываются в мировые стандарты качества угля. Рынки давно заняты морскими поставками высококачественных углей из США, Австралии, ЮАР. В настоящих условиях российские предприятия могли бы стать конкурентоспособными лишь при крайне низких уровнях зарплат и транспортных тарифов, «бесплатной» экологии и пр.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lastRenderedPageBreak/>
        <w:t>Стратегия обеспечения «экономической безопасности страны». Подобные суждения появились относительно недавно, но звучат все чаще. Заложенная в ней идеология по сути противоположна рыночной: это идеология «вражеского окружения» и « железного занавеса». В принципе она не отражает ни современного международного положения, ни экономических реалий.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Стратегия создания ресурсосберегающих технологий. По сравнению с предыдущими она выглядит наиболее революционной, прорывной. Взамен инвестирования в угольную отрасль предполагается приоритетное финансирование технологий экономного его использования потребителями. Пути снижения этих потребностей весьма многообразны: эффективное использование сырья при дальнейшей его переработке, создание эффективных заменителей, утилизация накопленных в отвалах техногенных ресурсов, комплексная разработка месторождений, технологии замкнутого цикла. Опыт свидетельствует, что помимо прямого экономического эффекта стратегия способствует существующему оздоровлению окружающей природной среды.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Начиная с конца 2008 года в связи с мировым финансовым кризисом и наметилась тенденция падения спроса и цены на угольную продукцию, особенно на коксующиеся марки углей.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Объем добычи угля в России в I квартале 2009 года составил 69,5 млн. т и сократился на 18,7% к соответствующему периоду прошлого года, в том числе каменного на 17,1%, бурого – на 22,5%. Объем производства угольного концентрата сократился на 23,7%.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Объемы поставок за тот же период составили 66,3 млн. т (81,1%), в т.ч. на внутренний рынок – 44,6 млн. т (77,8%), на экспорт – 21,7 млн. т (88,8%).</w:t>
      </w:r>
    </w:p>
    <w:p w:rsidR="006F2198" w:rsidRPr="00E01285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 xml:space="preserve">В условиях кризиса угледобывающие организации вынуждены сокращать производственные затраты, в первую очередь за счет уменьшения объемов </w:t>
      </w:r>
      <w:r w:rsidRPr="00E01285">
        <w:rPr>
          <w:color w:val="000000"/>
          <w:sz w:val="28"/>
          <w:szCs w:val="28"/>
        </w:rPr>
        <w:lastRenderedPageBreak/>
        <w:t>подготовительных и вспомогательных работ: проведения и перекрепления горных выработок, снижения объемов вскрышных работ, свертыванию программ по совершенствованию схем транспорта, вентиляции и т.д., а также снижения финансирования программ по техническому перевооружению действующего производства и нового строительства.</w:t>
      </w:r>
    </w:p>
    <w:p w:rsidR="006F2198" w:rsidRDefault="006F2198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01285">
        <w:rPr>
          <w:color w:val="000000"/>
          <w:sz w:val="28"/>
          <w:szCs w:val="28"/>
        </w:rPr>
        <w:t>В сложившихся условиях Минэнерго России планирует разработку антикризисных мер для нормализации ситуации в угольной промышленности. Также завершается работа по разработке Энергетической стратегии России до 2030, учитывающей изменение ситуации на российском и мировом рынках</w:t>
      </w:r>
      <w:r w:rsidR="00E01285">
        <w:rPr>
          <w:color w:val="000000"/>
          <w:sz w:val="28"/>
          <w:szCs w:val="28"/>
        </w:rPr>
        <w:t>.</w:t>
      </w: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2B0" w:rsidRDefault="00A052B0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CD07E2">
      <w:pPr>
        <w:pStyle w:val="a3"/>
        <w:spacing w:before="168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C63B37">
        <w:rPr>
          <w:b/>
          <w:i/>
          <w:color w:val="000000"/>
          <w:sz w:val="28"/>
          <w:szCs w:val="28"/>
        </w:rPr>
        <w:lastRenderedPageBreak/>
        <w:t>Список использованн</w:t>
      </w:r>
      <w:r w:rsidR="00F70021" w:rsidRPr="00C63B37">
        <w:rPr>
          <w:b/>
          <w:i/>
          <w:color w:val="000000"/>
          <w:sz w:val="28"/>
          <w:szCs w:val="28"/>
        </w:rPr>
        <w:t>ых источников</w:t>
      </w:r>
    </w:p>
    <w:p w:rsidR="009D2227" w:rsidRPr="007D16D3" w:rsidRDefault="009D2227" w:rsidP="007D16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6D3">
        <w:rPr>
          <w:rFonts w:ascii="Times New Roman" w:hAnsi="Times New Roman" w:cs="Times New Roman"/>
          <w:sz w:val="28"/>
          <w:szCs w:val="28"/>
        </w:rPr>
        <w:t>1. Региональная экономика. учеб. пособие для бакалавров. Е.Л. Плисецкий, И.Л.Черкасов.- М.: Изд-во «КНОРУС», 2013.</w:t>
      </w:r>
    </w:p>
    <w:p w:rsidR="009D2227" w:rsidRPr="007D16D3" w:rsidRDefault="007D16D3" w:rsidP="007D16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D2227" w:rsidRPr="007D16D3">
        <w:rPr>
          <w:rFonts w:ascii="Times New Roman" w:hAnsi="Times New Roman" w:cs="Times New Roman"/>
          <w:sz w:val="28"/>
          <w:szCs w:val="28"/>
        </w:rPr>
        <w:t xml:space="preserve">Федеральные округа России. </w:t>
      </w:r>
      <w:r>
        <w:rPr>
          <w:rFonts w:ascii="Times New Roman" w:hAnsi="Times New Roman" w:cs="Times New Roman"/>
          <w:sz w:val="28"/>
          <w:szCs w:val="28"/>
        </w:rPr>
        <w:t>Региональная экономика/Под ред.</w:t>
      </w:r>
      <w:r w:rsidR="009D2227" w:rsidRPr="007D16D3">
        <w:rPr>
          <w:rFonts w:ascii="Times New Roman" w:hAnsi="Times New Roman" w:cs="Times New Roman"/>
          <w:sz w:val="28"/>
          <w:szCs w:val="28"/>
        </w:rPr>
        <w:t>В.Г.Глушковой.- М.: Изд-во «КНОРУС», 2013.</w:t>
      </w:r>
    </w:p>
    <w:p w:rsidR="009D2227" w:rsidRPr="007D16D3" w:rsidRDefault="007D16D3" w:rsidP="007D16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D2227" w:rsidRPr="007D16D3">
        <w:rPr>
          <w:rFonts w:ascii="Times New Roman" w:hAnsi="Times New Roman" w:cs="Times New Roman"/>
          <w:sz w:val="28"/>
          <w:szCs w:val="28"/>
        </w:rPr>
        <w:t>Российский статистический ежегодник. 2013: Стат. сб./Росстат. – М.,</w:t>
      </w:r>
    </w:p>
    <w:p w:rsidR="007D16D3" w:rsidRDefault="009D2227" w:rsidP="007D16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6D3">
        <w:rPr>
          <w:rFonts w:ascii="Times New Roman" w:hAnsi="Times New Roman" w:cs="Times New Roman"/>
          <w:sz w:val="28"/>
          <w:szCs w:val="28"/>
        </w:rPr>
        <w:t>2012.</w:t>
      </w:r>
    </w:p>
    <w:p w:rsidR="009D2227" w:rsidRPr="007D16D3" w:rsidRDefault="007D16D3" w:rsidP="007D16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2227" w:rsidRPr="007D16D3">
        <w:rPr>
          <w:rFonts w:ascii="Times New Roman" w:hAnsi="Times New Roman" w:cs="Times New Roman"/>
          <w:sz w:val="28"/>
          <w:szCs w:val="28"/>
        </w:rPr>
        <w:t>. Симагин Ю.А. Территориальная организация населения и хозяйства:учеб. пособие для студентов вузов. – 5-е изд. – М.: КНОРУС, 2013.</w:t>
      </w:r>
    </w:p>
    <w:p w:rsidR="00CD07E2" w:rsidRPr="007D16D3" w:rsidRDefault="007D16D3" w:rsidP="007D16D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D07E2" w:rsidRPr="007D16D3">
        <w:rPr>
          <w:sz w:val="28"/>
          <w:szCs w:val="28"/>
        </w:rPr>
        <w:t>.</w:t>
      </w:r>
      <w:r w:rsidR="00CD07E2" w:rsidRPr="007D16D3">
        <w:rPr>
          <w:rStyle w:val="apple-converted-space"/>
          <w:sz w:val="28"/>
          <w:szCs w:val="28"/>
        </w:rPr>
        <w:t> </w:t>
      </w:r>
      <w:hyperlink r:id="rId9" w:history="1">
        <w:r w:rsidR="00CD07E2" w:rsidRPr="007D16D3">
          <w:rPr>
            <w:rStyle w:val="a5"/>
            <w:color w:val="auto"/>
            <w:sz w:val="28"/>
            <w:szCs w:val="28"/>
          </w:rPr>
          <w:t>www.minenergo.gov.ru</w:t>
        </w:r>
      </w:hyperlink>
      <w:r w:rsidR="00CD07E2" w:rsidRPr="007D16D3">
        <w:rPr>
          <w:rStyle w:val="apple-converted-space"/>
          <w:sz w:val="28"/>
          <w:szCs w:val="28"/>
        </w:rPr>
        <w:t> </w:t>
      </w:r>
      <w:r w:rsidR="00CD07E2" w:rsidRPr="007D16D3">
        <w:rPr>
          <w:sz w:val="28"/>
          <w:szCs w:val="28"/>
        </w:rPr>
        <w:t>– Министерство энергетики Российской Федерации</w:t>
      </w:r>
    </w:p>
    <w:p w:rsidR="00CD07E2" w:rsidRPr="007D16D3" w:rsidRDefault="007D16D3" w:rsidP="007D16D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D07E2" w:rsidRPr="007D16D3">
        <w:rPr>
          <w:sz w:val="28"/>
          <w:szCs w:val="28"/>
        </w:rPr>
        <w:t>.</w:t>
      </w:r>
      <w:r w:rsidR="00CD07E2" w:rsidRPr="007D16D3">
        <w:rPr>
          <w:rStyle w:val="apple-converted-space"/>
          <w:sz w:val="28"/>
          <w:szCs w:val="28"/>
        </w:rPr>
        <w:t> </w:t>
      </w:r>
      <w:hyperlink r:id="rId10" w:history="1">
        <w:r w:rsidR="00CD07E2" w:rsidRPr="007D16D3">
          <w:rPr>
            <w:rStyle w:val="a5"/>
            <w:color w:val="auto"/>
            <w:sz w:val="28"/>
            <w:szCs w:val="28"/>
          </w:rPr>
          <w:t>www.wikipedia.ru</w:t>
        </w:r>
      </w:hyperlink>
      <w:r w:rsidR="00CD07E2" w:rsidRPr="007D16D3">
        <w:rPr>
          <w:sz w:val="28"/>
          <w:szCs w:val="28"/>
        </w:rPr>
        <w:t>.</w:t>
      </w:r>
    </w:p>
    <w:p w:rsidR="00CD07E2" w:rsidRPr="007D16D3" w:rsidRDefault="007D16D3" w:rsidP="007D16D3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8</w:t>
      </w:r>
      <w:r w:rsidR="00CD07E2" w:rsidRPr="007D16D3">
        <w:rPr>
          <w:sz w:val="28"/>
          <w:szCs w:val="28"/>
        </w:rPr>
        <w:t xml:space="preserve">. </w:t>
      </w:r>
      <w:hyperlink r:id="rId11" w:history="1">
        <w:r w:rsidR="00CD07E2" w:rsidRPr="007D16D3">
          <w:rPr>
            <w:rStyle w:val="a5"/>
            <w:color w:val="auto"/>
            <w:sz w:val="28"/>
            <w:szCs w:val="28"/>
          </w:rPr>
          <w:t>www.gks.ru-</w:t>
        </w:r>
      </w:hyperlink>
      <w:r w:rsidR="00CD07E2" w:rsidRPr="007D16D3">
        <w:rPr>
          <w:sz w:val="28"/>
          <w:szCs w:val="28"/>
        </w:rPr>
        <w:t xml:space="preserve"> Федеральная служба государственной статистики</w:t>
      </w:r>
      <w:r w:rsidR="00CD07E2" w:rsidRPr="007D16D3">
        <w:rPr>
          <w:color w:val="000000"/>
          <w:sz w:val="28"/>
          <w:szCs w:val="28"/>
        </w:rPr>
        <w:t>.</w:t>
      </w:r>
    </w:p>
    <w:p w:rsidR="00CD07E2" w:rsidRPr="007D16D3" w:rsidRDefault="00CD07E2" w:rsidP="007D16D3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7D16D3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D16D3" w:rsidRDefault="007D16D3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02366B" w:rsidP="007D16D3">
      <w:pPr>
        <w:pStyle w:val="a3"/>
        <w:spacing w:before="168" w:beforeAutospacing="0" w:after="0" w:afterAutospacing="0" w:line="360" w:lineRule="auto"/>
        <w:jc w:val="right"/>
        <w:rPr>
          <w:b/>
          <w:color w:val="000000"/>
          <w:sz w:val="28"/>
          <w:szCs w:val="28"/>
        </w:rPr>
      </w:pPr>
      <w:r w:rsidRPr="0002366B">
        <w:rPr>
          <w:b/>
          <w:color w:val="000000"/>
          <w:sz w:val="28"/>
          <w:szCs w:val="28"/>
        </w:rPr>
        <w:lastRenderedPageBreak/>
        <w:t>Приложение 1.</w:t>
      </w:r>
    </w:p>
    <w:p w:rsid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CD07E2" w:rsidRPr="0002366B" w:rsidRDefault="00CD07E2" w:rsidP="007D16D3">
      <w:pPr>
        <w:pStyle w:val="a3"/>
        <w:spacing w:before="168" w:beforeAutospacing="0" w:after="0" w:afterAutospacing="0" w:line="360" w:lineRule="auto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Таблица 1.</w:t>
      </w:r>
    </w:p>
    <w:p w:rsidR="0002366B" w:rsidRDefault="00CD07E2" w:rsidP="00CD07E2">
      <w:pPr>
        <w:pStyle w:val="a3"/>
        <w:spacing w:before="168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A4733B">
        <w:rPr>
          <w:b/>
          <w:color w:val="000000"/>
          <w:sz w:val="28"/>
          <w:szCs w:val="28"/>
        </w:rPr>
        <w:t>Добыча угля( в млн.</w:t>
      </w:r>
      <w:r w:rsidR="0002366B" w:rsidRPr="00A4733B">
        <w:rPr>
          <w:b/>
          <w:color w:val="000000"/>
          <w:sz w:val="28"/>
          <w:szCs w:val="28"/>
        </w:rPr>
        <w:t>т</w:t>
      </w:r>
      <w:r w:rsidRPr="00A4733B">
        <w:rPr>
          <w:b/>
          <w:color w:val="000000"/>
          <w:sz w:val="28"/>
          <w:szCs w:val="28"/>
        </w:rPr>
        <w:t>.)</w:t>
      </w:r>
    </w:p>
    <w:p w:rsidR="00A4733B" w:rsidRPr="00A4733B" w:rsidRDefault="00A4733B" w:rsidP="00CD07E2">
      <w:pPr>
        <w:pStyle w:val="a3"/>
        <w:spacing w:before="168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2434"/>
        <w:gridCol w:w="1031"/>
        <w:gridCol w:w="1031"/>
        <w:gridCol w:w="1031"/>
        <w:gridCol w:w="1031"/>
        <w:gridCol w:w="1031"/>
      </w:tblGrid>
      <w:tr w:rsidR="007D0935" w:rsidTr="00632F4F"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Угольный бассейн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1990 г.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2008 г.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 г.</w:t>
            </w:r>
          </w:p>
        </w:tc>
      </w:tr>
      <w:tr w:rsidR="007D0935" w:rsidTr="00632F4F"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Печорский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29,8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22,2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12,9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13,9</w:t>
            </w:r>
          </w:p>
        </w:tc>
      </w:tr>
      <w:tr w:rsidR="007D0935" w:rsidTr="00632F4F"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Кузнецкий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113.64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181,4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202,7</w:t>
            </w:r>
          </w:p>
        </w:tc>
      </w:tr>
      <w:tr w:rsidR="007D0935" w:rsidTr="00632F4F"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Канско-Ачинский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52,3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32,1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40,2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46,8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37,3</w:t>
            </w:r>
          </w:p>
        </w:tc>
      </w:tr>
      <w:tr w:rsidR="007D0935" w:rsidTr="00632F4F"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Южно-Якутский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16,9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11,8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  <w:tc>
          <w:tcPr>
            <w:tcW w:w="0" w:type="auto"/>
          </w:tcPr>
          <w:p w:rsidR="007D0935" w:rsidRDefault="007D0935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32,3</w:t>
            </w:r>
          </w:p>
        </w:tc>
        <w:tc>
          <w:tcPr>
            <w:tcW w:w="0" w:type="auto"/>
          </w:tcPr>
          <w:p w:rsidR="007D0935" w:rsidRDefault="00CD07E2" w:rsidP="00E01285">
            <w:pPr>
              <w:pStyle w:val="a3"/>
              <w:spacing w:before="168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33,2</w:t>
            </w:r>
          </w:p>
        </w:tc>
      </w:tr>
    </w:tbl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D07E2" w:rsidRDefault="00CD07E2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2B0" w:rsidRDefault="00A052B0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733B" w:rsidRDefault="00A4733B" w:rsidP="007D16D3">
      <w:pPr>
        <w:pStyle w:val="a3"/>
        <w:spacing w:before="168" w:beforeAutospacing="0" w:after="0" w:afterAutospacing="0" w:line="360" w:lineRule="auto"/>
        <w:jc w:val="right"/>
        <w:rPr>
          <w:b/>
          <w:color w:val="000000"/>
          <w:sz w:val="28"/>
          <w:szCs w:val="28"/>
        </w:rPr>
      </w:pPr>
      <w:r w:rsidRPr="00A4733B">
        <w:rPr>
          <w:b/>
          <w:color w:val="000000"/>
          <w:sz w:val="28"/>
          <w:szCs w:val="28"/>
        </w:rPr>
        <w:lastRenderedPageBreak/>
        <w:t>Приложение 2.</w:t>
      </w:r>
    </w:p>
    <w:p w:rsidR="00A4733B" w:rsidRPr="00A4733B" w:rsidRDefault="00A4733B" w:rsidP="00E01285">
      <w:pPr>
        <w:pStyle w:val="a3"/>
        <w:spacing w:before="168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981B16" w:rsidRDefault="008D2C39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203950" cy="3835400"/>
            <wp:effectExtent l="19050" t="0" r="2540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81B16" w:rsidRDefault="00981B16" w:rsidP="00E0128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F2198" w:rsidRDefault="006F2198" w:rsidP="004B7A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C67720" w:rsidRPr="004B151D" w:rsidRDefault="00C67720" w:rsidP="004B7AE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4B7AE1" w:rsidRPr="00196908" w:rsidRDefault="004B7AE1" w:rsidP="0019690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D214B6" w:rsidRPr="00BC5CFB" w:rsidRDefault="00D214B6" w:rsidP="001F2CC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214B6" w:rsidRPr="00BC5CFB" w:rsidSect="009D222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33E" w:rsidRPr="00A4733B" w:rsidRDefault="0095333E" w:rsidP="00A4733B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95333E" w:rsidRPr="00A4733B" w:rsidRDefault="0095333E" w:rsidP="00A4733B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33B" w:rsidRDefault="00A4733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4825"/>
      <w:docPartObj>
        <w:docPartGallery w:val="Page Numbers (Bottom of Page)"/>
        <w:docPartUnique/>
      </w:docPartObj>
    </w:sdtPr>
    <w:sdtContent>
      <w:p w:rsidR="00A4733B" w:rsidRDefault="00DB265E">
        <w:pPr>
          <w:pStyle w:val="ac"/>
          <w:jc w:val="right"/>
        </w:pPr>
        <w:fldSimple w:instr=" PAGE   \* MERGEFORMAT ">
          <w:r w:rsidR="0064701A">
            <w:rPr>
              <w:noProof/>
            </w:rPr>
            <w:t>19</w:t>
          </w:r>
        </w:fldSimple>
      </w:p>
    </w:sdtContent>
  </w:sdt>
  <w:p w:rsidR="00A4733B" w:rsidRDefault="00A4733B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33B" w:rsidRDefault="00A4733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33E" w:rsidRPr="00A4733B" w:rsidRDefault="0095333E" w:rsidP="00A4733B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95333E" w:rsidRPr="00A4733B" w:rsidRDefault="0095333E" w:rsidP="00A4733B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33B" w:rsidRDefault="00A4733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33B" w:rsidRDefault="00A4733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33B" w:rsidRDefault="00A4733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E7FA6"/>
    <w:multiLevelType w:val="hybridMultilevel"/>
    <w:tmpl w:val="B64AD43C"/>
    <w:lvl w:ilvl="0" w:tplc="526C6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6A6E"/>
    <w:rsid w:val="0002366B"/>
    <w:rsid w:val="000675B0"/>
    <w:rsid w:val="00096A6E"/>
    <w:rsid w:val="000B415E"/>
    <w:rsid w:val="000D0B2D"/>
    <w:rsid w:val="00193AE1"/>
    <w:rsid w:val="00196908"/>
    <w:rsid w:val="001A7BEC"/>
    <w:rsid w:val="001F2CC3"/>
    <w:rsid w:val="001F59F7"/>
    <w:rsid w:val="00490AF7"/>
    <w:rsid w:val="004B7AE1"/>
    <w:rsid w:val="004C6B03"/>
    <w:rsid w:val="0064701A"/>
    <w:rsid w:val="006B2BE7"/>
    <w:rsid w:val="006B2CD3"/>
    <w:rsid w:val="006F2198"/>
    <w:rsid w:val="00717966"/>
    <w:rsid w:val="007D0935"/>
    <w:rsid w:val="007D16D3"/>
    <w:rsid w:val="007F7E99"/>
    <w:rsid w:val="00872B40"/>
    <w:rsid w:val="00896AD3"/>
    <w:rsid w:val="008A080C"/>
    <w:rsid w:val="008B369F"/>
    <w:rsid w:val="008C7551"/>
    <w:rsid w:val="008D2C39"/>
    <w:rsid w:val="0095333E"/>
    <w:rsid w:val="00981B16"/>
    <w:rsid w:val="009D2227"/>
    <w:rsid w:val="009D488B"/>
    <w:rsid w:val="00A052B0"/>
    <w:rsid w:val="00A27943"/>
    <w:rsid w:val="00A4733B"/>
    <w:rsid w:val="00A84BA5"/>
    <w:rsid w:val="00B32986"/>
    <w:rsid w:val="00BC04BB"/>
    <w:rsid w:val="00BC5CFB"/>
    <w:rsid w:val="00BD37BF"/>
    <w:rsid w:val="00C63B37"/>
    <w:rsid w:val="00C67720"/>
    <w:rsid w:val="00CD07E2"/>
    <w:rsid w:val="00CF2617"/>
    <w:rsid w:val="00D214B6"/>
    <w:rsid w:val="00D65080"/>
    <w:rsid w:val="00D73F6A"/>
    <w:rsid w:val="00D863BD"/>
    <w:rsid w:val="00DB265E"/>
    <w:rsid w:val="00E01285"/>
    <w:rsid w:val="00E7390C"/>
    <w:rsid w:val="00F412E0"/>
    <w:rsid w:val="00F57AA0"/>
    <w:rsid w:val="00F70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69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096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96A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96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6A6E"/>
    <w:rPr>
      <w:b/>
      <w:bCs/>
    </w:rPr>
  </w:style>
  <w:style w:type="character" w:customStyle="1" w:styleId="apple-converted-space">
    <w:name w:val="apple-converted-space"/>
    <w:basedOn w:val="a0"/>
    <w:rsid w:val="00096A6E"/>
  </w:style>
  <w:style w:type="character" w:styleId="a5">
    <w:name w:val="Hyperlink"/>
    <w:basedOn w:val="a0"/>
    <w:uiPriority w:val="99"/>
    <w:unhideWhenUsed/>
    <w:rsid w:val="00096A6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0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4B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96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196908"/>
    <w:pPr>
      <w:ind w:left="720"/>
      <w:contextualSpacing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0236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A47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4733B"/>
  </w:style>
  <w:style w:type="paragraph" w:styleId="ac">
    <w:name w:val="footer"/>
    <w:basedOn w:val="a"/>
    <w:link w:val="ad"/>
    <w:uiPriority w:val="99"/>
    <w:unhideWhenUsed/>
    <w:rsid w:val="00A47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473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3p/161054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-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bibliofond.ru/view.aspx?id=43693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bliofond.ru/view.aspx?id=436936" TargetMode="Externa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Добыча угля (млн.т.)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Лист1!$A$2</c:f>
              <c:strCache>
                <c:ptCount val="1"/>
                <c:pt idx="0">
                  <c:v>Печорский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Лист1!$B$1:$F$1</c:f>
              <c:strCache>
                <c:ptCount val="5"/>
                <c:pt idx="0">
                  <c:v>1990 г.</c:v>
                </c:pt>
                <c:pt idx="1">
                  <c:v>1995 г.</c:v>
                </c:pt>
                <c:pt idx="2">
                  <c:v>2000 г.</c:v>
                </c:pt>
                <c:pt idx="3">
                  <c:v>2008 г.</c:v>
                </c:pt>
                <c:pt idx="4">
                  <c:v>2013 г.</c:v>
                </c:pt>
              </c:strCache>
            </c:strRef>
          </c:cat>
          <c:val>
            <c:numRef>
              <c:f>Лист1!$B$2:$F$2</c:f>
              <c:numCache>
                <c:formatCode>General</c:formatCode>
                <c:ptCount val="5"/>
                <c:pt idx="0">
                  <c:v>29.8</c:v>
                </c:pt>
                <c:pt idx="1">
                  <c:v>22.2</c:v>
                </c:pt>
                <c:pt idx="2">
                  <c:v>18.5</c:v>
                </c:pt>
                <c:pt idx="3">
                  <c:v>12.9</c:v>
                </c:pt>
                <c:pt idx="4">
                  <c:v>13.9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Кузнецкий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Лист1!$B$1:$F$1</c:f>
              <c:strCache>
                <c:ptCount val="5"/>
                <c:pt idx="0">
                  <c:v>1990 г.</c:v>
                </c:pt>
                <c:pt idx="1">
                  <c:v>1995 г.</c:v>
                </c:pt>
                <c:pt idx="2">
                  <c:v>2000 г.</c:v>
                </c:pt>
                <c:pt idx="3">
                  <c:v>2008 г.</c:v>
                </c:pt>
                <c:pt idx="4">
                  <c:v>2013 г.</c:v>
                </c:pt>
              </c:strCache>
            </c:strRef>
          </c:cat>
          <c:val>
            <c:numRef>
              <c:f>Лист1!$B$3:$F$3</c:f>
              <c:numCache>
                <c:formatCode>General</c:formatCode>
                <c:ptCount val="5"/>
                <c:pt idx="0">
                  <c:v>150</c:v>
                </c:pt>
                <c:pt idx="1">
                  <c:v>99.3</c:v>
                </c:pt>
                <c:pt idx="2">
                  <c:v>113.64</c:v>
                </c:pt>
                <c:pt idx="3">
                  <c:v>181.4</c:v>
                </c:pt>
                <c:pt idx="4">
                  <c:v>202.7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Канско-Ачинский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Лист1!$B$1:$F$1</c:f>
              <c:strCache>
                <c:ptCount val="5"/>
                <c:pt idx="0">
                  <c:v>1990 г.</c:v>
                </c:pt>
                <c:pt idx="1">
                  <c:v>1995 г.</c:v>
                </c:pt>
                <c:pt idx="2">
                  <c:v>2000 г.</c:v>
                </c:pt>
                <c:pt idx="3">
                  <c:v>2008 г.</c:v>
                </c:pt>
                <c:pt idx="4">
                  <c:v>2013 г.</c:v>
                </c:pt>
              </c:strCache>
            </c:strRef>
          </c:cat>
          <c:val>
            <c:numRef>
              <c:f>Лист1!$B$4:$F$4</c:f>
              <c:numCache>
                <c:formatCode>General</c:formatCode>
                <c:ptCount val="5"/>
                <c:pt idx="0">
                  <c:v>52.3</c:v>
                </c:pt>
                <c:pt idx="1">
                  <c:v>32.1</c:v>
                </c:pt>
                <c:pt idx="2">
                  <c:v>40.200000000000003</c:v>
                </c:pt>
                <c:pt idx="3">
                  <c:v>46.8</c:v>
                </c:pt>
                <c:pt idx="4">
                  <c:v>37.300000000000004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Южно-Якутский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Лист1!$B$1:$F$1</c:f>
              <c:strCache>
                <c:ptCount val="5"/>
                <c:pt idx="0">
                  <c:v>1990 г.</c:v>
                </c:pt>
                <c:pt idx="1">
                  <c:v>1995 г.</c:v>
                </c:pt>
                <c:pt idx="2">
                  <c:v>2000 г.</c:v>
                </c:pt>
                <c:pt idx="3">
                  <c:v>2008 г.</c:v>
                </c:pt>
                <c:pt idx="4">
                  <c:v>2013 г.</c:v>
                </c:pt>
              </c:strCache>
            </c:strRef>
          </c:cat>
          <c:val>
            <c:numRef>
              <c:f>Лист1!$B$5:$F$5</c:f>
              <c:numCache>
                <c:formatCode>General</c:formatCode>
                <c:ptCount val="5"/>
                <c:pt idx="0">
                  <c:v>16.899999999999999</c:v>
                </c:pt>
                <c:pt idx="1">
                  <c:v>11.8</c:v>
                </c:pt>
                <c:pt idx="2" formatCode="0.00">
                  <c:v>10.1</c:v>
                </c:pt>
                <c:pt idx="3">
                  <c:v>32.300000000000004</c:v>
                </c:pt>
                <c:pt idx="4">
                  <c:v>33.200000000000003</c:v>
                </c:pt>
              </c:numCache>
            </c:numRef>
          </c:val>
        </c:ser>
        <c:dLbls>
          <c:showVal val="1"/>
        </c:dLbls>
        <c:gapWidth val="300"/>
        <c:axId val="80306944"/>
        <c:axId val="80309632"/>
      </c:barChart>
      <c:catAx>
        <c:axId val="803069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годы</a:t>
                </a:r>
                <a:r>
                  <a:rPr lang="ru-RU" baseline="0"/>
                  <a:t> добычи</a:t>
                </a:r>
                <a:endParaRPr lang="ru-RU"/>
              </a:p>
            </c:rich>
          </c:tx>
        </c:title>
        <c:majorTickMark val="none"/>
        <c:tickLblPos val="nextTo"/>
        <c:crossAx val="80309632"/>
        <c:crosses val="autoZero"/>
        <c:auto val="1"/>
        <c:lblAlgn val="ctr"/>
        <c:lblOffset val="100"/>
      </c:catAx>
      <c:valAx>
        <c:axId val="8030963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кол-во (млн.т)</a:t>
                </a:r>
              </a:p>
            </c:rich>
          </c:tx>
        </c:title>
        <c:numFmt formatCode="General" sourceLinked="1"/>
        <c:tickLblPos val="nextTo"/>
        <c:crossAx val="803069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6C2B-7EEE-4E4B-B0F6-599E8752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3180</Words>
  <Characters>18131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2015-01-22T15:24:00Z</cp:lastPrinted>
  <dcterms:created xsi:type="dcterms:W3CDTF">2015-01-04T17:18:00Z</dcterms:created>
  <dcterms:modified xsi:type="dcterms:W3CDTF">2015-01-22T15:26:00Z</dcterms:modified>
</cp:coreProperties>
</file>