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74D" w:rsidRPr="004502B4" w:rsidRDefault="00F9574D" w:rsidP="00450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</w:t>
      </w:r>
    </w:p>
    <w:p w:rsidR="00203DA5" w:rsidRPr="004502B4" w:rsidRDefault="00203DA5" w:rsidP="004502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основных задач управления закупками продукции является выбор поставщика. Важность решения данной задачи объясняется не только тем, что на рынке функционирует большое количество поставщиков одинаковой продукции, но и тем, что поставщик должен быть надежным партнером в бизнесе.</w:t>
      </w:r>
    </w:p>
    <w:p w:rsidR="005F7741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числу основных факторов, влияющих на выбор поставщика, относятся следующие: цена поставляемой продукции; качество поставок; надежность поставщика; возможность удовлетворить требования потребителя; сроки поставки; готовность к поставке; ошибки в поставках; обязательность при поставке; гибкость поставки; информационная готовность; географическое расположение поставщика.</w:t>
      </w: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определенных количественных показателей существуют также и группа качественных - имидж поставщика, доброжелательность, способность к контакту и длительным партнерским отношениям и другие.</w:t>
      </w: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несколько методов выбора поставщика, среди которых можно выделить наиболее распространенный метод рейтинговых оценок. Перед расчетом рейтинга следует определить, на основании каких критериев будет приниматься решение о предпочтительности того или иного поставщика. Как правило, в качестве таких критериев используются цена, качество поставляемой продукции и надежность поставки. Однако этот перечень может быть и больше. Вес критерия определяется экспертным путем.</w:t>
      </w: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Условия задания:</w:t>
      </w:r>
      <w:r w:rsidRPr="004502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имеющейся информации о качестве поставляемых комплектующих, цене, своевременности поставок произвести оценку условных поставщиков машиностроительного предприятия и определить, с кем из них необходимо пролонгировать договорные отношения.</w:t>
      </w: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течении двух месяцев года (января и февраля) завод получал от поставщиков №1 и №2 тонколистовую сталь марок Ст1 и Ст2. Режим транзитных поставок стали тонколистовой на машиностроительный завод приведены в табл. 1.2.</w:t>
      </w:r>
    </w:p>
    <w:p w:rsidR="00F9574D" w:rsidRPr="004502B4" w:rsidRDefault="00F9574D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3DA5" w:rsidRPr="004502B4" w:rsidRDefault="00203DA5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3DA5" w:rsidRPr="004502B4" w:rsidRDefault="00203DA5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3DA5" w:rsidRPr="004502B4" w:rsidRDefault="00203DA5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3DA5" w:rsidRPr="004502B4" w:rsidRDefault="00203DA5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59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8"/>
        <w:gridCol w:w="1085"/>
        <w:gridCol w:w="1077"/>
        <w:gridCol w:w="1193"/>
        <w:gridCol w:w="1134"/>
        <w:gridCol w:w="1104"/>
        <w:gridCol w:w="1843"/>
        <w:gridCol w:w="1022"/>
        <w:gridCol w:w="653"/>
      </w:tblGrid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55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поставляемой</w:t>
            </w:r>
            <w:r w:rsidR="00A40025"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стали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поставки,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расхода, 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A40025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Цена за руб./т.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A40025" w:rsidP="00450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товара ненадлежащего качества, поставленного в течение месяца, 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F9574D" w:rsidRPr="004502B4" w:rsidRDefault="00A40025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Количество поставок в месяц,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9574D" w:rsidRPr="004502B4" w:rsidRDefault="00A40025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Всего опозданий,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 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130,5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152,6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 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155,0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208,0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 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178,0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4520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195,4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 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163,0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9574D" w:rsidRPr="004502B4" w:rsidTr="00A400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  <w:jc w:val="center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Ст2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156,2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4550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74D" w:rsidRPr="004502B4" w:rsidRDefault="00F9574D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155DD3" w:rsidRPr="004502B4" w:rsidRDefault="00155DD3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принятия решения о продлении договора с одним из поставщиков необходимо рассчитать рейтинг каждого поставщика.</w:t>
      </w:r>
    </w:p>
    <w:p w:rsidR="00F9574D" w:rsidRPr="004502B4" w:rsidRDefault="00F9574D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55DD3"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нимаем</w:t>
      </w: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внимание, что поставка стали не требует бесперебойного пополнения. Соответственно, при расчете рейтинга поставщика рекомендуется принять во внимание следующие веса показателей:</w:t>
      </w:r>
    </w:p>
    <w:p w:rsidR="00155DD3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Цена </w:t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0,45</w:t>
      </w:r>
    </w:p>
    <w:p w:rsidR="00E10BC1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поставляемого товара</w:t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0,3</w:t>
      </w:r>
    </w:p>
    <w:p w:rsidR="00E10BC1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Надежность поставщика </w:t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0,25</w:t>
      </w:r>
    </w:p>
    <w:p w:rsidR="00E10BC1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0BC1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расчета рейтинга необходимо найти значение по каждому показатели и умножить его значение на вес. Сумма полученных произведений даст рейтинг поставщика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02B4">
        <w:rPr>
          <w:rFonts w:ascii="Times New Roman" w:hAnsi="Times New Roman" w:cs="Times New Roman"/>
          <w:sz w:val="28"/>
          <w:szCs w:val="28"/>
        </w:rPr>
        <w:t>Проведем расчеты по 1 поставщику комплектующих.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Оценим поставщика №1 по критерию цена. Средневзвешенный темп роста цен находится по формуле: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46"/>
          <w:sz w:val="28"/>
          <w:szCs w:val="28"/>
          <w:lang w:eastAsia="ru-RU"/>
        </w:rPr>
        <w:drawing>
          <wp:inline distT="0" distB="0" distL="0" distR="0">
            <wp:extent cx="967740" cy="5422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где Тц – темп роста цен на i разновидность товара;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di – доля i-ой разновидности товара в общем объеме;</w:t>
      </w:r>
    </w:p>
    <w:p w:rsidR="00203DA5" w:rsidRPr="004502B4" w:rsidRDefault="00203DA5" w:rsidP="004502B4">
      <w:pPr>
        <w:widowControl w:val="0"/>
        <w:tabs>
          <w:tab w:val="left" w:pos="416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n – количество товаров.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Темп роста цен на i разновидность товара находится по формуле Тц: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116330" cy="446405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где Pi</w:t>
      </w:r>
      <w:r w:rsidRPr="004502B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116840" cy="223520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- цена i разновидности товара в текущем периоде;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lastRenderedPageBreak/>
        <w:t>Pi</w:t>
      </w:r>
      <w:r w:rsidRPr="004502B4">
        <w:rPr>
          <w:rFonts w:ascii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>
            <wp:extent cx="85090" cy="32956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- цена i разновидности товара в базовом периоде.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Темп роста цен на сталь вида 1 составит: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25pt;height:31pt" o:ole="">
            <v:imagedata r:id="rId12" o:title=""/>
          </v:shape>
          <o:OLEObject Type="Embed" ProgID="Equation.DSMT4" ShapeID="_x0000_i1025" DrawAspect="Content" ObjectID="_1493505787" r:id="rId13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Темп роста цен на сталь вида 2 составит:</w:t>
      </w:r>
    </w:p>
    <w:p w:rsidR="00203DA5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780" w:dyaOrig="620">
          <v:shape id="_x0000_i1032" type="#_x0000_t75" style="width:139pt;height:31pt" o:ole="">
            <v:imagedata r:id="rId14" o:title=""/>
          </v:shape>
          <o:OLEObject Type="Embed" ProgID="Equation.DSMT4" ShapeID="_x0000_i1032" DrawAspect="Content" ObjectID="_1493505788" r:id="rId15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Долю i-ой разновидности товара в общем объеме di найдем по формуле: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32"/>
          <w:sz w:val="28"/>
          <w:szCs w:val="28"/>
          <w:lang w:eastAsia="ru-RU"/>
        </w:rPr>
        <w:drawing>
          <wp:inline distT="0" distB="0" distL="0" distR="0">
            <wp:extent cx="680720" cy="44640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где Si – сумма, на которую поставлен товар i в текущем периоде.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1в общем объеме будет составлять:</w:t>
      </w:r>
    </w:p>
    <w:p w:rsidR="00203DA5" w:rsidRPr="004502B4" w:rsidRDefault="002C4427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4780" w:dyaOrig="660">
          <v:shape id="_x0000_i1026" type="#_x0000_t75" style="width:238.6pt;height:32.65pt" o:ole="">
            <v:imagedata r:id="rId17" o:title=""/>
          </v:shape>
          <o:OLEObject Type="Embed" ProgID="Equation.DSMT4" ShapeID="_x0000_i1026" DrawAspect="Content" ObjectID="_1493505789" r:id="rId18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2 в общем объеме будет составлять:</w:t>
      </w:r>
    </w:p>
    <w:p w:rsidR="00203DA5" w:rsidRPr="004502B4" w:rsidRDefault="002C4427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12"/>
          <w:sz w:val="28"/>
          <w:szCs w:val="28"/>
        </w:rPr>
        <w:object w:dxaOrig="1939" w:dyaOrig="360">
          <v:shape id="_x0000_i1027" type="#_x0000_t75" style="width:97.1pt;height:18.4pt" o:ole="">
            <v:imagedata r:id="rId19" o:title=""/>
          </v:shape>
          <o:OLEObject Type="Embed" ProgID="Equation.DSMT4" ShapeID="_x0000_i1027" DrawAspect="Content" ObjectID="_1493505790" r:id="rId20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Средневзвешенный темп роста цен по поставщику №1 составит:</w:t>
      </w:r>
    </w:p>
    <w:p w:rsidR="00203DA5" w:rsidRPr="004502B4" w:rsidRDefault="002C4427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14"/>
          <w:sz w:val="28"/>
          <w:szCs w:val="28"/>
        </w:rPr>
        <w:object w:dxaOrig="4220" w:dyaOrig="380">
          <v:shape id="_x0000_i1028" type="#_x0000_t75" style="width:211pt;height:19.25pt" o:ole="">
            <v:imagedata r:id="rId21" o:title=""/>
          </v:shape>
          <o:OLEObject Type="Embed" ProgID="Equation.DSMT4" ShapeID="_x0000_i1028" DrawAspect="Content" ObjectID="_1493505791" r:id="rId22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Далее проведем оценку поставщика по критерию качества предоставляемых комплектующих. Для этого рассчитаем темп роста количества товаров ненадлежащего качества по формуле: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32"/>
          <w:sz w:val="28"/>
          <w:szCs w:val="28"/>
          <w:lang w:eastAsia="ru-RU"/>
        </w:rPr>
        <w:drawing>
          <wp:inline distT="0" distB="0" distL="0" distR="0">
            <wp:extent cx="1243965" cy="4572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4502B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97815" cy="223520"/>
            <wp:effectExtent l="0" t="0" r="698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- доля товаров ненадлежащего качества в текущем периоде;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297815" cy="223520"/>
            <wp:effectExtent l="0" t="0" r="698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- доля товаров ненадлежащего качества в базовом периоде.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вида 1 ненадлежащего качества от поставщика №1 составит:</w:t>
      </w:r>
    </w:p>
    <w:p w:rsidR="00B8693E" w:rsidRPr="004502B4" w:rsidRDefault="00B8693E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780" w:dyaOrig="660">
          <v:shape id="_x0000_i1042" type="#_x0000_t75" style="width:139pt;height:32.65pt" o:ole="">
            <v:imagedata r:id="rId26" o:title=""/>
          </v:shape>
          <o:OLEObject Type="Embed" ProgID="Equation.DSMT4" ShapeID="_x0000_i1042" DrawAspect="Content" ObjectID="_1493505792" r:id="rId27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вида 2 ненадлежащего качества от поставщика №1 составит:</w:t>
      </w:r>
    </w:p>
    <w:p w:rsidR="00203DA5" w:rsidRPr="004502B4" w:rsidRDefault="00A86019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780" w:dyaOrig="660">
          <v:shape id="_x0000_i1041" type="#_x0000_t75" style="width:139pt;height:32.65pt" o:ole="">
            <v:imagedata r:id="rId28" o:title=""/>
          </v:shape>
          <o:OLEObject Type="Embed" ProgID="Equation.DSMT4" ShapeID="_x0000_i1041" DrawAspect="Content" ObjectID="_1493505793" r:id="rId29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Таким образом, темп роста количества товаров ненадлежащего качества для поставщика №1 составит:</w:t>
      </w:r>
    </w:p>
    <w:p w:rsidR="001B08FA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120" w:dyaOrig="620">
          <v:shape id="_x0000_i1040" type="#_x0000_t75" style="width:106.35pt;height:31pt" o:ole="">
            <v:imagedata r:id="rId30" o:title=""/>
          </v:shape>
          <o:OLEObject Type="Embed" ProgID="Equation.DSMT4" ShapeID="_x0000_i1040" DrawAspect="Content" ObjectID="_1493505794" r:id="rId31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Теперь проведем анализ деятельности 1 поставщика по критерию надёжность поставки. Для этого необходимо рассчитать темп роста среднего опоздания по формуле: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30"/>
          <w:sz w:val="28"/>
          <w:szCs w:val="28"/>
          <w:lang w:eastAsia="ru-RU"/>
        </w:rPr>
        <w:drawing>
          <wp:inline distT="0" distB="0" distL="0" distR="0">
            <wp:extent cx="1286510" cy="44640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4502B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29565" cy="22352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- среднее опоздание на 1 поставку в текущем периоде;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340360" cy="223520"/>
            <wp:effectExtent l="19050" t="0" r="254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- среднее опоздание на 1 поставку в базовом периоде.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Среднее опоздание на 1 поставку по стали 1-го вида:</w:t>
      </w:r>
    </w:p>
    <w:p w:rsidR="00203DA5" w:rsidRPr="004502B4" w:rsidRDefault="000A3F3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1840" w:dyaOrig="620">
          <v:shape id="_x0000_i1029" type="#_x0000_t75" style="width:92.1pt;height:31pt" o:ole="">
            <v:imagedata r:id="rId35" o:title=""/>
          </v:shape>
          <o:OLEObject Type="Embed" ProgID="Equation.DSMT4" ShapeID="_x0000_i1029" DrawAspect="Content" ObjectID="_1493505795" r:id="rId36"/>
        </w:object>
      </w:r>
      <w:r w:rsidR="00203DA5" w:rsidRPr="004502B4">
        <w:rPr>
          <w:rFonts w:ascii="Times New Roman" w:hAnsi="Times New Roman" w:cs="Times New Roman"/>
          <w:sz w:val="28"/>
          <w:szCs w:val="28"/>
        </w:rPr>
        <w:t>дн.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Среднее опоздание на 1 поставку стали 2-го вида:</w:t>
      </w:r>
    </w:p>
    <w:p w:rsidR="00203DA5" w:rsidRPr="004502B4" w:rsidRDefault="000A3F3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1880" w:dyaOrig="620">
          <v:shape id="_x0000_i1030" type="#_x0000_t75" style="width:93.75pt;height:31pt" o:ole="">
            <v:imagedata r:id="rId37" o:title=""/>
          </v:shape>
          <o:OLEObject Type="Embed" ProgID="Equation.DSMT4" ShapeID="_x0000_i1030" DrawAspect="Content" ObjectID="_1493505796" r:id="rId38"/>
        </w:object>
      </w:r>
      <w:r w:rsidR="00203DA5" w:rsidRPr="004502B4">
        <w:rPr>
          <w:rFonts w:ascii="Times New Roman" w:hAnsi="Times New Roman" w:cs="Times New Roman"/>
          <w:sz w:val="28"/>
          <w:szCs w:val="28"/>
        </w:rPr>
        <w:t>дн.</w:t>
      </w:r>
    </w:p>
    <w:p w:rsidR="000A3F3A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Так, темп роста среднего опоздания по поставщику №1 составит:</w:t>
      </w:r>
    </w:p>
    <w:p w:rsidR="000A3F3A" w:rsidRPr="004502B4" w:rsidRDefault="000A3F3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840" w:dyaOrig="660">
          <v:shape id="_x0000_i1031" type="#_x0000_t75" style="width:142.35pt;height:32.65pt" o:ole="">
            <v:imagedata r:id="rId39" o:title=""/>
          </v:shape>
          <o:OLEObject Type="Embed" ProgID="Equation.DSMT4" ShapeID="_x0000_i1031" DrawAspect="Content" ObjectID="_1493505797" r:id="rId40"/>
        </w:object>
      </w:r>
    </w:p>
    <w:p w:rsidR="00A86019" w:rsidRPr="004502B4" w:rsidRDefault="00A86019" w:rsidP="004502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DA5" w:rsidRPr="004502B4" w:rsidRDefault="00203DA5" w:rsidP="004502B4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Теперь проведем аналогичные расчеты для поставщика №2.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Темп роста цен на сталь вида 1 составит:</w:t>
      </w:r>
    </w:p>
    <w:p w:rsidR="005159E4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033" type="#_x0000_t75" style="width:127.25pt;height:31pt" o:ole="">
            <v:imagedata r:id="rId41" o:title=""/>
          </v:shape>
          <o:OLEObject Type="Embed" ProgID="Equation.DSMT4" ShapeID="_x0000_i1033" DrawAspect="Content" ObjectID="_1493505798" r:id="rId42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Темп роста цен на сталь вида 2 составит:</w:t>
      </w:r>
    </w:p>
    <w:p w:rsidR="00203DA5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760" w:dyaOrig="620">
          <v:shape id="_x0000_i1034" type="#_x0000_t75" style="width:138.15pt;height:31pt" o:ole="">
            <v:imagedata r:id="rId43" o:title=""/>
          </v:shape>
          <o:OLEObject Type="Embed" ProgID="Equation.DSMT4" ShapeID="_x0000_i1034" DrawAspect="Content" ObjectID="_1493505799" r:id="rId44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вида 1 в общем составит:</w:t>
      </w:r>
    </w:p>
    <w:p w:rsidR="00203DA5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4740" w:dyaOrig="660">
          <v:shape id="_x0000_i1035" type="#_x0000_t75" style="width:236.95pt;height:32.65pt" o:ole="">
            <v:imagedata r:id="rId45" o:title=""/>
          </v:shape>
          <o:OLEObject Type="Embed" ProgID="Equation.DSMT4" ShapeID="_x0000_i1035" DrawAspect="Content" ObjectID="_1493505800" r:id="rId46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вида 2 в общем объеме составит:</w:t>
      </w:r>
    </w:p>
    <w:p w:rsidR="005159E4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12"/>
          <w:sz w:val="28"/>
          <w:szCs w:val="28"/>
        </w:rPr>
        <w:object w:dxaOrig="1920" w:dyaOrig="360">
          <v:shape id="_x0000_i1036" type="#_x0000_t75" style="width:96.3pt;height:18.4pt" o:ole="">
            <v:imagedata r:id="rId47" o:title=""/>
          </v:shape>
          <o:OLEObject Type="Embed" ProgID="Equation.DSMT4" ShapeID="_x0000_i1036" DrawAspect="Content" ObjectID="_1493505801" r:id="rId48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Средневзвешенный темп роста цен по поставщику №2 будет равен:</w:t>
      </w:r>
    </w:p>
    <w:p w:rsidR="00203DA5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14"/>
          <w:sz w:val="28"/>
          <w:szCs w:val="28"/>
        </w:rPr>
        <w:object w:dxaOrig="4180" w:dyaOrig="380">
          <v:shape id="_x0000_i1037" type="#_x0000_t75" style="width:209.3pt;height:19.25pt" o:ole="">
            <v:imagedata r:id="rId49" o:title=""/>
          </v:shape>
          <o:OLEObject Type="Embed" ProgID="Equation.DSMT4" ShapeID="_x0000_i1037" DrawAspect="Content" ObjectID="_1493505802" r:id="rId50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1-го вида ненадлежащего качества от поставщика№2 составит:</w:t>
      </w:r>
    </w:p>
    <w:p w:rsidR="00203DA5" w:rsidRPr="004502B4" w:rsidRDefault="005159E4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760" w:dyaOrig="660">
          <v:shape id="_x0000_i1038" type="#_x0000_t75" style="width:138.15pt;height:32.65pt" o:ole="">
            <v:imagedata r:id="rId51" o:title=""/>
          </v:shape>
          <o:OLEObject Type="Embed" ProgID="Equation.DSMT4" ShapeID="_x0000_i1038" DrawAspect="Content" ObjectID="_1493505803" r:id="rId52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Доля стали 2-го вида ненадлежащего качества от поставщика№2 составит:</w:t>
      </w:r>
    </w:p>
    <w:p w:rsidR="00203DA5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640" w:dyaOrig="660">
          <v:shape id="_x0000_i1039" type="#_x0000_t75" style="width:132.3pt;height:32.65pt" o:ole="">
            <v:imagedata r:id="rId53" o:title=""/>
          </v:shape>
          <o:OLEObject Type="Embed" ProgID="Equation.DSMT4" ShapeID="_x0000_i1039" DrawAspect="Content" ObjectID="_1493505804" r:id="rId54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Таким образом, темп роста количества товаров ненадлежащего качества для поставщика №2 составит:</w:t>
      </w:r>
    </w:p>
    <w:p w:rsidR="00203DA5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2220" w:dyaOrig="620">
          <v:shape id="_x0000_i1043" type="#_x0000_t75" style="width:111.35pt;height:31pt" o:ole="">
            <v:imagedata r:id="rId55" o:title=""/>
          </v:shape>
          <o:OLEObject Type="Embed" ProgID="Equation.DSMT4" ShapeID="_x0000_i1043" DrawAspect="Content" ObjectID="_1493505805" r:id="rId56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Теперь проведем анализ деятельности поставщика№2 по критерию надёжность поставки: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Среднее опоздание на 1 поставку стали 1-го вида:</w:t>
      </w:r>
    </w:p>
    <w:p w:rsidR="001B08FA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1700" w:dyaOrig="620">
          <v:shape id="_x0000_i1044" type="#_x0000_t75" style="width:85.4pt;height:31pt" o:ole="">
            <v:imagedata r:id="rId57" o:title=""/>
          </v:shape>
          <o:OLEObject Type="Embed" ProgID="Equation.DSMT4" ShapeID="_x0000_i1044" DrawAspect="Content" ObjectID="_1493505806" r:id="rId58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Среднее опоздание на 1 поставку стали 2-го вида:</w:t>
      </w:r>
    </w:p>
    <w:p w:rsidR="00203DA5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1939" w:dyaOrig="620">
          <v:shape id="_x0000_i1045" type="#_x0000_t75" style="width:97.1pt;height:31pt" o:ole="">
            <v:imagedata r:id="rId59" o:title=""/>
          </v:shape>
          <o:OLEObject Type="Embed" ProgID="Equation.DSMT4" ShapeID="_x0000_i1045" DrawAspect="Content" ObjectID="_1493505807" r:id="rId60"/>
        </w:object>
      </w:r>
      <w:r w:rsidR="00203DA5" w:rsidRPr="004502B4">
        <w:rPr>
          <w:rFonts w:ascii="Times New Roman" w:hAnsi="Times New Roman" w:cs="Times New Roman"/>
          <w:sz w:val="28"/>
          <w:szCs w:val="28"/>
        </w:rPr>
        <w:t>дн.</w: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Так, темп роста среднего опоздания составит по поставщику №2:</w:t>
      </w:r>
    </w:p>
    <w:p w:rsidR="00203DA5" w:rsidRPr="004502B4" w:rsidRDefault="001B08FA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8"/>
          <w:sz w:val="28"/>
          <w:szCs w:val="28"/>
        </w:rPr>
        <w:object w:dxaOrig="2420" w:dyaOrig="660">
          <v:shape id="_x0000_i1046" type="#_x0000_t75" style="width:121.4pt;height:32.65pt" o:ole="">
            <v:imagedata r:id="rId61" o:title=""/>
          </v:shape>
          <o:OLEObject Type="Embed" ProgID="Equation.DSMT4" ShapeID="_x0000_i1046" DrawAspect="Content" ObjectID="_1493505808" r:id="rId62"/>
        </w:object>
      </w:r>
    </w:p>
    <w:p w:rsidR="00203DA5" w:rsidRPr="004502B4" w:rsidRDefault="00203DA5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Теперь составим рейтинг поставщиков, сведя полученные показатели в таблицу.</w:t>
      </w:r>
    </w:p>
    <w:p w:rsidR="00412835" w:rsidRPr="004502B4" w:rsidRDefault="00412835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0BC1" w:rsidRPr="004502B4" w:rsidRDefault="00E10BC1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рейтинга поставщиков представ</w:t>
      </w:r>
      <w:r w:rsidR="00412835"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виде табл. 1.1. </w:t>
      </w:r>
    </w:p>
    <w:p w:rsidR="00E10BC1" w:rsidRPr="004502B4" w:rsidRDefault="00E10BC1" w:rsidP="004502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1.1</w:t>
      </w:r>
    </w:p>
    <w:p w:rsidR="00E10BC1" w:rsidRPr="004502B4" w:rsidRDefault="00E10BC1" w:rsidP="00450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рейтинга поставщиков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70"/>
        <w:gridCol w:w="1570"/>
        <w:gridCol w:w="1584"/>
        <w:gridCol w:w="1584"/>
        <w:gridCol w:w="1584"/>
        <w:gridCol w:w="1789"/>
      </w:tblGrid>
      <w:tr w:rsidR="00E10BC1" w:rsidRPr="004502B4" w:rsidTr="00412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8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</w:t>
            </w:r>
          </w:p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показателя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поставщика по данному показателю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оценки на вес</w:t>
            </w:r>
          </w:p>
        </w:tc>
      </w:tr>
      <w:tr w:rsidR="00E10BC1" w:rsidRPr="004502B4" w:rsidTr="004128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6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10BC1" w:rsidRPr="004502B4" w:rsidRDefault="00E10BC1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№2</w:t>
            </w:r>
          </w:p>
        </w:tc>
      </w:tr>
      <w:tr w:rsidR="007971A4" w:rsidRPr="004502B4" w:rsidTr="00F50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0,45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104,79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103,86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47,1555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46,737</w:t>
            </w:r>
          </w:p>
        </w:tc>
      </w:tr>
      <w:tr w:rsidR="007971A4" w:rsidRPr="004502B4" w:rsidTr="00F50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7971A4" w:rsidRPr="004502B4" w:rsidTr="00F50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58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Надежность</w:t>
            </w:r>
          </w:p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поставки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107,79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26,9475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</w:tr>
      <w:tr w:rsidR="007971A4" w:rsidRPr="004502B4" w:rsidTr="00F50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1"/>
        </w:trPr>
        <w:tc>
          <w:tcPr>
            <w:tcW w:w="6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Рейтинг поставщика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132,903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971A4" w:rsidRPr="004502B4" w:rsidRDefault="007971A4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84,737</w:t>
            </w:r>
          </w:p>
        </w:tc>
      </w:tr>
    </w:tbl>
    <w:p w:rsidR="00E10BC1" w:rsidRPr="004502B4" w:rsidRDefault="00E10BC1" w:rsidP="004502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6A64" w:rsidRPr="004502B4" w:rsidRDefault="00F56A64" w:rsidP="004502B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0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темп роста отражает увеличение негативных характеристик поставщиков (рост цен, рост доли некачественных товаров в общем объеме поставки, рост размера опозданий), то предпочтение при заключении договора следует отдать поставщику, чей рейтинг, рассчитанный по данной методике, будет ниже. </w:t>
      </w:r>
    </w:p>
    <w:p w:rsidR="00412835" w:rsidRPr="004502B4" w:rsidRDefault="007971A4" w:rsidP="004502B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Таким образом, для заключения договора поставки выбираем второго поставщика, рейтинг которого наименьший</w:t>
      </w:r>
      <w:r w:rsidR="00F50E61" w:rsidRPr="004502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0E61" w:rsidRPr="004502B4" w:rsidRDefault="00F50E61" w:rsidP="004502B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2B4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Одной из типовых задач логистического менеджмента закупок является определение времени оплаты закупаемых товаров. Практика зарубежных фирм отражает применение смешанных стратегий оплаты, т.е. оплаты к моменту получения, и форвардной оплаты закупаемых товаров. Эта стратегия применяется в тех случаях, когда цена имеет явно сезонный характер. Тогда на этапах спада цены применяют оплату по факту поставки, а на этапах подъема - форвардную оплату.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В результате анализа ретроспективной информации о ценах закупаемого товара установлен сезонный характер изменения цен. Прогноз движения цен, потребность и затраты на поддержание запасов на 1 ед. приведены в таблице 2.1.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Необходимо применить смешанную стратегию для минимизации общей стоимости годового объема закупок.</w:t>
      </w:r>
    </w:p>
    <w:p w:rsidR="00F50E61" w:rsidRPr="004502B4" w:rsidRDefault="00F50E61" w:rsidP="00450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50E61" w:rsidRPr="004502B4">
          <w:footerReference w:type="default" r:id="rId63"/>
          <w:pgSz w:w="11906" w:h="16838"/>
          <w:pgMar w:top="1134" w:right="850" w:bottom="1134" w:left="1701" w:header="709" w:footer="709" w:gutter="0"/>
          <w:pgNumType w:start="1"/>
          <w:cols w:space="720"/>
        </w:sect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lastRenderedPageBreak/>
        <w:t>Таблица 2.1 – Смешанная стратегия минимизации общей стоимости объема закупок</w:t>
      </w:r>
    </w:p>
    <w:tbl>
      <w:tblPr>
        <w:tblStyle w:val="aa"/>
        <w:tblW w:w="14885" w:type="dxa"/>
        <w:tblInd w:w="-176" w:type="dxa"/>
        <w:tblLayout w:type="fixed"/>
        <w:tblLook w:val="0400"/>
      </w:tblPr>
      <w:tblGrid>
        <w:gridCol w:w="1797"/>
        <w:gridCol w:w="887"/>
        <w:gridCol w:w="1853"/>
        <w:gridCol w:w="1701"/>
        <w:gridCol w:w="2126"/>
        <w:gridCol w:w="2365"/>
        <w:gridCol w:w="2313"/>
        <w:gridCol w:w="1843"/>
      </w:tblGrid>
      <w:tr w:rsidR="00F50E61" w:rsidRPr="004502B4" w:rsidTr="009B0011">
        <w:trPr>
          <w:cantSplit/>
          <w:trHeight w:val="1192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Цена, у.е.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Затраты на поддержание запасов за ед. товара, у.е.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Потребность, ед./мес.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Оплата к моменту поставки, у.е.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Затраты на форвардные 2 мес. закупки, у.е.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Затраты на форвардные 3мес. закупки, у.е.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Затраты на форвардные 6мес. закупки, у.е.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20 347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64703,46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64703,46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64703,46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64703,46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57582,01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57582,01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57582,01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57582,01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51884,85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51884,85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51884,85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51884,85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44152,99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44152,99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44152,99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44152,99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1,97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40083,59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40083,59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40083,59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40083,59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28078,86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28078,86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28078,86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28078,86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1,45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29503,15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59006,3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88509,45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177018,9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30927,44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37031,54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74063,08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44356,46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133069,38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53309,14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106618,28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3,41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69383,27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Затраты на закупку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550996,76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526173,42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508064,59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463504,66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Затраты на поддержание запасов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101735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011" w:rsidRPr="004502B4" w:rsidRDefault="009B0011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152602,5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203470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356072,5</w:t>
            </w:r>
          </w:p>
        </w:tc>
      </w:tr>
      <w:tr w:rsidR="009B0011" w:rsidRPr="004502B4" w:rsidTr="009B0011">
        <w:trPr>
          <w:cantSplit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Суммарные затраты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652731,76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678775,92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711534,59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011" w:rsidRPr="004502B4" w:rsidRDefault="009B0011" w:rsidP="004502B4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819577,16</w:t>
            </w:r>
          </w:p>
        </w:tc>
      </w:tr>
    </w:tbl>
    <w:p w:rsidR="00F50E61" w:rsidRPr="004502B4" w:rsidRDefault="00F50E61" w:rsidP="004502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50E61" w:rsidRPr="004502B4" w:rsidSect="009B0011">
          <w:pgSz w:w="16838" w:h="11906" w:orient="landscape"/>
          <w:pgMar w:top="851" w:right="1134" w:bottom="1701" w:left="1134" w:header="709" w:footer="709" w:gutter="0"/>
          <w:pgNumType w:start="1"/>
          <w:cols w:space="720"/>
          <w:docGrid w:linePitch="299"/>
        </w:sect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lastRenderedPageBreak/>
        <w:t>Расчет затрат на поддержание запасов: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Помесячные закупки:</w:t>
      </w:r>
    </w:p>
    <w:p w:rsidR="00F50E61" w:rsidRPr="004502B4" w:rsidRDefault="00745EC9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20347</w:t>
      </w:r>
      <w:r w:rsidR="00F50E61" w:rsidRPr="004502B4">
        <w:rPr>
          <w:rFonts w:ascii="Times New Roman" w:hAnsi="Times New Roman" w:cs="Times New Roman"/>
          <w:sz w:val="28"/>
          <w:szCs w:val="28"/>
        </w:rPr>
        <w:t>/2 *</w:t>
      </w:r>
      <w:r w:rsidRPr="004502B4">
        <w:rPr>
          <w:rFonts w:ascii="Times New Roman" w:hAnsi="Times New Roman" w:cs="Times New Roman"/>
          <w:sz w:val="28"/>
          <w:szCs w:val="28"/>
        </w:rPr>
        <w:t>10</w:t>
      </w:r>
      <w:r w:rsidR="00F50E61" w:rsidRPr="004502B4">
        <w:rPr>
          <w:rFonts w:ascii="Times New Roman" w:hAnsi="Times New Roman" w:cs="Times New Roman"/>
          <w:sz w:val="28"/>
          <w:szCs w:val="28"/>
        </w:rPr>
        <w:t xml:space="preserve"> = </w:t>
      </w:r>
      <w:r w:rsidRPr="004502B4">
        <w:rPr>
          <w:rFonts w:ascii="Times New Roman" w:hAnsi="Times New Roman" w:cs="Times New Roman"/>
          <w:sz w:val="28"/>
          <w:szCs w:val="28"/>
        </w:rPr>
        <w:t>101735</w:t>
      </w:r>
      <w:r w:rsidR="00F50E61" w:rsidRPr="004502B4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На 2 месяца:</w:t>
      </w:r>
    </w:p>
    <w:p w:rsidR="00F50E61" w:rsidRPr="004502B4" w:rsidRDefault="00745EC9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20347*10 /2 </w:t>
      </w:r>
      <w:r w:rsidR="00F50E61" w:rsidRPr="004502B4">
        <w:rPr>
          <w:rFonts w:ascii="Times New Roman" w:hAnsi="Times New Roman" w:cs="Times New Roman"/>
          <w:sz w:val="28"/>
          <w:szCs w:val="28"/>
        </w:rPr>
        <w:t>+</w:t>
      </w:r>
      <w:r w:rsidRPr="004502B4">
        <w:rPr>
          <w:rFonts w:ascii="Times New Roman" w:hAnsi="Times New Roman" w:cs="Times New Roman"/>
          <w:sz w:val="28"/>
          <w:szCs w:val="28"/>
        </w:rPr>
        <w:t>101735</w:t>
      </w:r>
      <w:r w:rsidR="00F50E61" w:rsidRPr="004502B4">
        <w:rPr>
          <w:rFonts w:ascii="Times New Roman" w:hAnsi="Times New Roman" w:cs="Times New Roman"/>
          <w:sz w:val="28"/>
          <w:szCs w:val="28"/>
        </w:rPr>
        <w:t>/2=</w:t>
      </w:r>
      <w:r w:rsidRPr="004502B4">
        <w:rPr>
          <w:rFonts w:ascii="Times New Roman" w:hAnsi="Times New Roman" w:cs="Times New Roman"/>
          <w:sz w:val="28"/>
          <w:szCs w:val="28"/>
        </w:rPr>
        <w:t>101735</w:t>
      </w:r>
      <w:r w:rsidR="00F50E61" w:rsidRPr="004502B4">
        <w:rPr>
          <w:rFonts w:ascii="Times New Roman" w:hAnsi="Times New Roman" w:cs="Times New Roman"/>
          <w:sz w:val="28"/>
          <w:szCs w:val="28"/>
        </w:rPr>
        <w:t>+</w:t>
      </w:r>
      <w:r w:rsidRPr="004502B4">
        <w:rPr>
          <w:rFonts w:ascii="Times New Roman" w:hAnsi="Times New Roman" w:cs="Times New Roman"/>
          <w:sz w:val="28"/>
          <w:szCs w:val="28"/>
        </w:rPr>
        <w:t>50867,5</w:t>
      </w:r>
      <w:r w:rsidR="00F50E61" w:rsidRPr="004502B4">
        <w:rPr>
          <w:rFonts w:ascii="Times New Roman" w:hAnsi="Times New Roman" w:cs="Times New Roman"/>
          <w:sz w:val="28"/>
          <w:szCs w:val="28"/>
        </w:rPr>
        <w:t>=</w:t>
      </w:r>
      <w:r w:rsidRPr="004502B4">
        <w:rPr>
          <w:rFonts w:ascii="Times New Roman" w:hAnsi="Times New Roman" w:cs="Times New Roman"/>
          <w:sz w:val="28"/>
          <w:szCs w:val="28"/>
        </w:rPr>
        <w:t>152602,5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На 3 месяца</w:t>
      </w:r>
    </w:p>
    <w:p w:rsidR="009B001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((</w:t>
      </w:r>
      <w:r w:rsidR="009B0011" w:rsidRPr="004502B4">
        <w:rPr>
          <w:rFonts w:ascii="Times New Roman" w:hAnsi="Times New Roman" w:cs="Times New Roman"/>
          <w:sz w:val="28"/>
          <w:szCs w:val="28"/>
        </w:rPr>
        <w:t>20347</w:t>
      </w:r>
      <w:r w:rsidRPr="004502B4">
        <w:rPr>
          <w:rFonts w:ascii="Times New Roman" w:hAnsi="Times New Roman" w:cs="Times New Roman"/>
          <w:sz w:val="28"/>
          <w:szCs w:val="28"/>
        </w:rPr>
        <w:t>*3 /2)*8)/2+</w:t>
      </w:r>
      <w:r w:rsidR="009B0011" w:rsidRPr="004502B4">
        <w:rPr>
          <w:rFonts w:ascii="Times New Roman" w:hAnsi="Times New Roman" w:cs="Times New Roman"/>
          <w:sz w:val="28"/>
          <w:szCs w:val="28"/>
        </w:rPr>
        <w:t>101735/2</w:t>
      </w:r>
      <w:r w:rsidRPr="004502B4">
        <w:rPr>
          <w:rFonts w:ascii="Times New Roman" w:hAnsi="Times New Roman" w:cs="Times New Roman"/>
          <w:sz w:val="28"/>
          <w:szCs w:val="28"/>
        </w:rPr>
        <w:t>=</w:t>
      </w:r>
      <w:r w:rsidR="009B0011" w:rsidRPr="004502B4">
        <w:rPr>
          <w:rFonts w:ascii="Times New Roman" w:hAnsi="Times New Roman" w:cs="Times New Roman"/>
          <w:color w:val="000000"/>
          <w:sz w:val="28"/>
          <w:szCs w:val="28"/>
        </w:rPr>
        <w:t>203470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На 6 месяцев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((</w:t>
      </w:r>
      <w:r w:rsidR="009B0011" w:rsidRPr="004502B4">
        <w:rPr>
          <w:rFonts w:ascii="Times New Roman" w:hAnsi="Times New Roman" w:cs="Times New Roman"/>
          <w:sz w:val="28"/>
          <w:szCs w:val="28"/>
        </w:rPr>
        <w:t>20347</w:t>
      </w:r>
      <w:r w:rsidRPr="004502B4">
        <w:rPr>
          <w:rFonts w:ascii="Times New Roman" w:hAnsi="Times New Roman" w:cs="Times New Roman"/>
          <w:sz w:val="28"/>
          <w:szCs w:val="28"/>
        </w:rPr>
        <w:t>*6 /2)*8)/2+</w:t>
      </w:r>
      <w:r w:rsidR="009B0011" w:rsidRPr="004502B4">
        <w:rPr>
          <w:rFonts w:ascii="Times New Roman" w:hAnsi="Times New Roman" w:cs="Times New Roman"/>
          <w:sz w:val="28"/>
          <w:szCs w:val="28"/>
        </w:rPr>
        <w:t>101735/2=</w:t>
      </w:r>
      <w:r w:rsidR="009B0011" w:rsidRPr="004502B4">
        <w:rPr>
          <w:rFonts w:ascii="Times New Roman" w:hAnsi="Times New Roman" w:cs="Times New Roman"/>
          <w:color w:val="000000"/>
          <w:sz w:val="28"/>
          <w:szCs w:val="28"/>
        </w:rPr>
        <w:t>356072,5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E04103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4502B4">
        <w:rPr>
          <w:rFonts w:ascii="Times New Roman" w:hAnsi="Times New Roman" w:cs="Times New Roman"/>
          <w:color w:val="000000"/>
          <w:sz w:val="28"/>
          <w:szCs w:val="28"/>
        </w:rPr>
        <w:t>Общие затраты будут минимальными при первом варианте оплаты (т.е. к моменту поставки), так как затраты на поддержание запасов в данном случае растут быстрее выигрыша в цене при форвардной оплате сделок. Однако ситуация может быть и другой, например, при учете транспортных расходов, которые при первом варианте будут выше.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2B4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3FC" w:rsidRPr="00C063FC" w:rsidRDefault="00C063FC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предпочтительный вариант размера партии поставки при условии предоставления поставщиком скидки с цены.</w:t>
      </w:r>
    </w:p>
    <w:p w:rsidR="00C063FC" w:rsidRPr="00C063FC" w:rsidRDefault="00C063FC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3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некоторых случаях предприятию выгодно заменить оптимальный размер заказа каким-либо другим, который в определенных конкретных условиях будет более экономичным. Например, иногда поставщик материальных ресурсов предлагает скидку с оптовой цены при условии, что партия закупки (размер заказа) будет увеличена.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Используя данные в таблицах 3.1 и 3.2, определить, будет ли выгодно компании применение стратегии осреднения цены с поквартальной форвардной оплатой. Затраты на поддержание запасов в течение года составляют 20% от их стоимости.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3FC" w:rsidRPr="004502B4" w:rsidRDefault="00C063FC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Таблица 3.1 – Прогноз движения цен</w:t>
      </w:r>
    </w:p>
    <w:tbl>
      <w:tblPr>
        <w:tblStyle w:val="aa"/>
        <w:tblW w:w="10350" w:type="dxa"/>
        <w:tblInd w:w="-459" w:type="dxa"/>
        <w:tblLayout w:type="fixed"/>
        <w:tblLook w:val="0400"/>
      </w:tblPr>
      <w:tblGrid>
        <w:gridCol w:w="993"/>
        <w:gridCol w:w="706"/>
        <w:gridCol w:w="864"/>
        <w:gridCol w:w="780"/>
        <w:gridCol w:w="706"/>
        <w:gridCol w:w="706"/>
        <w:gridCol w:w="853"/>
        <w:gridCol w:w="843"/>
        <w:gridCol w:w="974"/>
        <w:gridCol w:w="807"/>
        <w:gridCol w:w="706"/>
        <w:gridCol w:w="706"/>
        <w:gridCol w:w="706"/>
      </w:tblGrid>
      <w:tr w:rsidR="00C063FC" w:rsidRPr="004502B4" w:rsidTr="00C063F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 вар-а</w:t>
            </w:r>
          </w:p>
        </w:tc>
        <w:tc>
          <w:tcPr>
            <w:tcW w:w="93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Прогноз движения цен, у.е.</w:t>
            </w:r>
          </w:p>
        </w:tc>
      </w:tr>
      <w:tr w:rsidR="00C063FC" w:rsidRPr="004502B4" w:rsidTr="00C063F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3FC" w:rsidRPr="004502B4" w:rsidRDefault="00C063FC" w:rsidP="004502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янв.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февр.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апр.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сент.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окт.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ноя.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дек.</w:t>
            </w:r>
          </w:p>
        </w:tc>
      </w:tr>
      <w:tr w:rsidR="00C063FC" w:rsidRPr="004502B4" w:rsidTr="00C063F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4D3B27" w:rsidRPr="004502B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C063FC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4D3B27" w:rsidRPr="004502B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4D3B27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3,66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3,84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3,99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4,07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4,32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4,76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5,25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3FC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5,46</w:t>
            </w:r>
          </w:p>
        </w:tc>
      </w:tr>
    </w:tbl>
    <w:p w:rsidR="00C063FC" w:rsidRPr="004502B4" w:rsidRDefault="00C063FC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Таблица 3.2 – Потребность и цена прошлого периода</w:t>
      </w:r>
    </w:p>
    <w:tbl>
      <w:tblPr>
        <w:tblStyle w:val="aa"/>
        <w:tblW w:w="0" w:type="auto"/>
        <w:tblInd w:w="709" w:type="dxa"/>
        <w:tblLook w:val="0400"/>
      </w:tblPr>
      <w:tblGrid>
        <w:gridCol w:w="1621"/>
        <w:gridCol w:w="3377"/>
        <w:gridCol w:w="3652"/>
      </w:tblGrid>
      <w:tr w:rsidR="00F50E61" w:rsidRPr="004502B4" w:rsidTr="00F50E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Потребность, тыс. ед./мес.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Цена прошлого периода, у.е.</w:t>
            </w:r>
          </w:p>
        </w:tc>
      </w:tr>
      <w:tr w:rsidR="00F50E61" w:rsidRPr="004502B4" w:rsidTr="00F50E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E4989" w:rsidP="004502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</w:tbl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Рассчитаем среднюю цену по формуле: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638175" cy="605790"/>
            <wp:effectExtent l="0" t="0" r="0" b="0"/>
            <wp:docPr id="4774" name="Рисунок 4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4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4502B4">
        <w:rPr>
          <w:rFonts w:ascii="Times New Roman" w:hAnsi="Times New Roman" w:cs="Times New Roman"/>
          <w:noProof/>
          <w:position w:val="-4"/>
          <w:sz w:val="28"/>
          <w:szCs w:val="28"/>
          <w:lang w:eastAsia="ru-RU"/>
        </w:rPr>
        <w:drawing>
          <wp:inline distT="0" distB="0" distL="0" distR="0">
            <wp:extent cx="148590" cy="201930"/>
            <wp:effectExtent l="19050" t="0" r="0" b="0"/>
            <wp:docPr id="4775" name="Рисунок 4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5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– средняя цена;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Pi – цены каждого месяца;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n – количество месяцев.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Средняя цена за период составит:</w:t>
      </w:r>
    </w:p>
    <w:p w:rsidR="00FE4989" w:rsidRPr="004502B4" w:rsidRDefault="00FE4989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E4989" w:rsidP="004502B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7980" w:dyaOrig="620">
          <v:shape id="_x0000_i1047" type="#_x0000_t75" style="width:399.35pt;height:31pt" o:ole="">
            <v:imagedata r:id="rId66" o:title=""/>
          </v:shape>
          <o:OLEObject Type="Embed" ProgID="Equation.DSMT4" ShapeID="_x0000_i1047" DrawAspect="Content" ObjectID="_1493505809" r:id="rId67"/>
        </w:object>
      </w:r>
    </w:p>
    <w:p w:rsidR="00FE4989" w:rsidRPr="004502B4" w:rsidRDefault="00FE4989" w:rsidP="004502B4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Найдем бюджет планируемого периода как произведение цены прошлого года на объем поставки за год: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ОБ = </w:t>
      </w:r>
      <w:r w:rsidR="003B2B11" w:rsidRPr="004502B4">
        <w:rPr>
          <w:rFonts w:ascii="Times New Roman" w:hAnsi="Times New Roman" w:cs="Times New Roman"/>
          <w:sz w:val="28"/>
          <w:szCs w:val="28"/>
        </w:rPr>
        <w:t>25</w:t>
      </w:r>
      <w:r w:rsidRPr="004502B4">
        <w:rPr>
          <w:rFonts w:ascii="Times New Roman" w:hAnsi="Times New Roman" w:cs="Times New Roman"/>
          <w:sz w:val="28"/>
          <w:szCs w:val="28"/>
        </w:rPr>
        <w:t>000*12*</w:t>
      </w:r>
      <w:r w:rsidR="003B2B11" w:rsidRPr="004502B4">
        <w:rPr>
          <w:rFonts w:ascii="Times New Roman" w:hAnsi="Times New Roman" w:cs="Times New Roman"/>
          <w:sz w:val="28"/>
          <w:szCs w:val="28"/>
        </w:rPr>
        <w:t>4,4</w:t>
      </w:r>
      <w:r w:rsidRPr="004502B4">
        <w:rPr>
          <w:rFonts w:ascii="Times New Roman" w:hAnsi="Times New Roman" w:cs="Times New Roman"/>
          <w:sz w:val="28"/>
          <w:szCs w:val="28"/>
        </w:rPr>
        <w:t xml:space="preserve">= </w:t>
      </w:r>
      <w:r w:rsidR="003B2B11" w:rsidRPr="004502B4">
        <w:rPr>
          <w:rFonts w:ascii="Times New Roman" w:hAnsi="Times New Roman" w:cs="Times New Roman"/>
          <w:sz w:val="28"/>
          <w:szCs w:val="28"/>
        </w:rPr>
        <w:t>13200</w:t>
      </w:r>
      <w:r w:rsidRPr="004502B4">
        <w:rPr>
          <w:rFonts w:ascii="Times New Roman" w:hAnsi="Times New Roman" w:cs="Times New Roman"/>
          <w:sz w:val="28"/>
          <w:szCs w:val="28"/>
        </w:rPr>
        <w:t>00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Соответственно бюджет каждого квартала будет равен четвертой части от годового и составит: </w:t>
      </w:r>
      <w:r w:rsidR="003B2B11" w:rsidRPr="004502B4">
        <w:rPr>
          <w:rFonts w:ascii="Times New Roman" w:hAnsi="Times New Roman" w:cs="Times New Roman"/>
          <w:sz w:val="28"/>
          <w:szCs w:val="28"/>
        </w:rPr>
        <w:t>3300</w:t>
      </w:r>
      <w:r w:rsidRPr="004502B4">
        <w:rPr>
          <w:rFonts w:ascii="Times New Roman" w:hAnsi="Times New Roman" w:cs="Times New Roman"/>
          <w:sz w:val="28"/>
          <w:szCs w:val="28"/>
        </w:rPr>
        <w:t>00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Построим таблицу форвардных поквартальных закупок.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Таблица 3.3 – Форвардные поквартальные закупки</w:t>
      </w:r>
    </w:p>
    <w:tbl>
      <w:tblPr>
        <w:tblStyle w:val="aa"/>
        <w:tblW w:w="0" w:type="auto"/>
        <w:tblInd w:w="709" w:type="dxa"/>
        <w:tblLook w:val="0400"/>
      </w:tblPr>
      <w:tblGrid>
        <w:gridCol w:w="1216"/>
        <w:gridCol w:w="1418"/>
        <w:gridCol w:w="1134"/>
        <w:gridCol w:w="1868"/>
        <w:gridCol w:w="2552"/>
      </w:tblGrid>
      <w:tr w:rsidR="00F50E61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Объем поставки,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Цена, у.е.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Общий бюджет, у.е.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Средний уровень запасов, ед.</w:t>
            </w:r>
          </w:p>
        </w:tc>
      </w:tr>
      <w:tr w:rsidR="00DA3B82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503250</w:t>
            </w:r>
          </w:p>
        </w:tc>
      </w:tr>
      <w:tr w:rsidR="00DA3B82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3,84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633600</w:t>
            </w:r>
          </w:p>
        </w:tc>
      </w:tr>
      <w:tr w:rsidR="00DA3B82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1425600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712800</w:t>
            </w:r>
          </w:p>
        </w:tc>
      </w:tr>
      <w:tr w:rsidR="00DA3B82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825000</w:t>
            </w:r>
          </w:p>
        </w:tc>
      </w:tr>
      <w:tr w:rsidR="00DA3B82" w:rsidRPr="004502B4" w:rsidTr="00DA3B82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1320000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B82" w:rsidRPr="004502B4" w:rsidRDefault="00DA3B82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2674650</w:t>
            </w:r>
          </w:p>
        </w:tc>
      </w:tr>
    </w:tbl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Объем ежеквартальной поставки найдем как отношение квартального бюджета на цену первого месяца квартала. Данные приведены в таблице.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Средний уровень запаса рассчитывается как половина объема поставки.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Рассчитаем затраты по стратегии осреднения цены с поквартальной форвардной оплатой:</w:t>
      </w:r>
    </w:p>
    <w:p w:rsidR="00F50E61" w:rsidRPr="004502B4" w:rsidRDefault="00F50E61" w:rsidP="004502B4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Затраты на закупку равны произведению средней цены на годовой объем поставки и соответственно равны: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Ззак = </w:t>
      </w:r>
      <w:r w:rsidR="00DA3B82" w:rsidRPr="004502B4">
        <w:rPr>
          <w:rFonts w:ascii="Times New Roman" w:hAnsi="Times New Roman" w:cs="Times New Roman"/>
          <w:color w:val="000000"/>
          <w:sz w:val="28"/>
          <w:szCs w:val="28"/>
        </w:rPr>
        <w:t>5349300</w:t>
      </w:r>
      <w:r w:rsidRPr="004502B4">
        <w:rPr>
          <w:rFonts w:ascii="Times New Roman" w:hAnsi="Times New Roman" w:cs="Times New Roman"/>
          <w:sz w:val="28"/>
          <w:szCs w:val="28"/>
        </w:rPr>
        <w:t>*</w:t>
      </w:r>
      <w:r w:rsidR="00DA3B82" w:rsidRPr="004502B4">
        <w:rPr>
          <w:rFonts w:ascii="Times New Roman" w:hAnsi="Times New Roman" w:cs="Times New Roman"/>
          <w:sz w:val="28"/>
          <w:szCs w:val="28"/>
        </w:rPr>
        <w:t>4,27</w:t>
      </w:r>
      <w:r w:rsidRPr="004502B4">
        <w:rPr>
          <w:rFonts w:ascii="Times New Roman" w:hAnsi="Times New Roman" w:cs="Times New Roman"/>
          <w:sz w:val="28"/>
          <w:szCs w:val="28"/>
        </w:rPr>
        <w:t xml:space="preserve">= </w:t>
      </w:r>
      <w:r w:rsidR="00DA3B82" w:rsidRPr="004502B4">
        <w:rPr>
          <w:rFonts w:ascii="Times New Roman" w:hAnsi="Times New Roman" w:cs="Times New Roman"/>
          <w:sz w:val="28"/>
          <w:szCs w:val="28"/>
        </w:rPr>
        <w:t>22841511</w:t>
      </w:r>
      <w:r w:rsidRPr="004502B4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Затраты на поддержание запасов определим как произведение ставки на хранение на среднюю цену и на годовой объем поставки: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Зпод = 0,2*</w:t>
      </w:r>
      <w:r w:rsidR="00DA3B82" w:rsidRPr="004502B4">
        <w:rPr>
          <w:rFonts w:ascii="Times New Roman" w:hAnsi="Times New Roman" w:cs="Times New Roman"/>
          <w:sz w:val="28"/>
          <w:szCs w:val="28"/>
        </w:rPr>
        <w:t>4,27</w:t>
      </w:r>
      <w:r w:rsidRPr="004502B4">
        <w:rPr>
          <w:rFonts w:ascii="Times New Roman" w:hAnsi="Times New Roman" w:cs="Times New Roman"/>
          <w:sz w:val="28"/>
          <w:szCs w:val="28"/>
        </w:rPr>
        <w:t>*</w:t>
      </w:r>
      <w:r w:rsidR="00DA3B82" w:rsidRPr="004502B4">
        <w:rPr>
          <w:rFonts w:ascii="Times New Roman" w:hAnsi="Times New Roman" w:cs="Times New Roman"/>
          <w:sz w:val="28"/>
          <w:szCs w:val="28"/>
        </w:rPr>
        <w:t>5349300</w:t>
      </w:r>
      <w:r w:rsidRPr="004502B4">
        <w:rPr>
          <w:rFonts w:ascii="Times New Roman" w:hAnsi="Times New Roman" w:cs="Times New Roman"/>
          <w:sz w:val="28"/>
          <w:szCs w:val="28"/>
        </w:rPr>
        <w:t xml:space="preserve">= </w:t>
      </w:r>
      <w:r w:rsidR="00DA3B82" w:rsidRPr="004502B4">
        <w:rPr>
          <w:rFonts w:ascii="Times New Roman" w:hAnsi="Times New Roman" w:cs="Times New Roman"/>
          <w:sz w:val="28"/>
          <w:szCs w:val="28"/>
        </w:rPr>
        <w:t>4568302,2</w:t>
      </w:r>
      <w:r w:rsidRPr="004502B4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numPr>
          <w:ilvl w:val="0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Суммарные затраты – это сумма затрат на закупку и хранение: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Зсум =</w:t>
      </w:r>
      <w:r w:rsidR="0056033D" w:rsidRPr="004502B4">
        <w:rPr>
          <w:rFonts w:ascii="Times New Roman" w:hAnsi="Times New Roman" w:cs="Times New Roman"/>
          <w:sz w:val="28"/>
          <w:szCs w:val="28"/>
        </w:rPr>
        <w:t>22841511</w:t>
      </w:r>
      <w:r w:rsidRPr="004502B4">
        <w:rPr>
          <w:rFonts w:ascii="Times New Roman" w:hAnsi="Times New Roman" w:cs="Times New Roman"/>
          <w:sz w:val="28"/>
          <w:szCs w:val="28"/>
        </w:rPr>
        <w:t xml:space="preserve"> +</w:t>
      </w:r>
      <w:r w:rsidR="0056033D" w:rsidRPr="004502B4">
        <w:rPr>
          <w:rFonts w:ascii="Times New Roman" w:hAnsi="Times New Roman" w:cs="Times New Roman"/>
          <w:sz w:val="28"/>
          <w:szCs w:val="28"/>
        </w:rPr>
        <w:t>4568302,2</w:t>
      </w:r>
      <w:r w:rsidRPr="004502B4">
        <w:rPr>
          <w:rFonts w:ascii="Times New Roman" w:hAnsi="Times New Roman" w:cs="Times New Roman"/>
          <w:sz w:val="28"/>
          <w:szCs w:val="28"/>
        </w:rPr>
        <w:t xml:space="preserve">= </w:t>
      </w:r>
      <w:r w:rsidR="0056033D" w:rsidRPr="004502B4">
        <w:rPr>
          <w:rFonts w:ascii="Times New Roman" w:hAnsi="Times New Roman" w:cs="Times New Roman"/>
          <w:sz w:val="28"/>
          <w:szCs w:val="28"/>
        </w:rPr>
        <w:t>27409913,2</w:t>
      </w:r>
      <w:r w:rsidRPr="004502B4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Определим затраты по стратегии прогнозирования по цене прошлого года:</w:t>
      </w:r>
    </w:p>
    <w:p w:rsidR="00F50E61" w:rsidRPr="004502B4" w:rsidRDefault="00F50E61" w:rsidP="004502B4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Затраты на закупку равны годовому бюджету, т.е. </w:t>
      </w:r>
      <w:r w:rsidR="003A325E" w:rsidRPr="004502B4">
        <w:rPr>
          <w:rFonts w:ascii="Times New Roman" w:hAnsi="Times New Roman" w:cs="Times New Roman"/>
          <w:sz w:val="28"/>
          <w:szCs w:val="28"/>
        </w:rPr>
        <w:t>13200</w:t>
      </w:r>
      <w:r w:rsidRPr="004502B4">
        <w:rPr>
          <w:rFonts w:ascii="Times New Roman" w:hAnsi="Times New Roman" w:cs="Times New Roman"/>
          <w:sz w:val="28"/>
          <w:szCs w:val="28"/>
        </w:rPr>
        <w:t>00.</w:t>
      </w:r>
    </w:p>
    <w:p w:rsidR="00F50E61" w:rsidRPr="004502B4" w:rsidRDefault="00F50E61" w:rsidP="004502B4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Затраты на хранение рассчитаем по формуле: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24"/>
          <w:sz w:val="28"/>
          <w:szCs w:val="28"/>
          <w:lang w:eastAsia="ru-RU"/>
        </w:rPr>
        <w:drawing>
          <wp:inline distT="0" distB="0" distL="0" distR="0">
            <wp:extent cx="946150" cy="393700"/>
            <wp:effectExtent l="19050" t="0" r="6350" b="0"/>
            <wp:docPr id="4777" name="Рисунок 4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7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где Зх – затраты на хранение;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>
            <wp:extent cx="223520" cy="223520"/>
            <wp:effectExtent l="19050" t="0" r="0" b="0"/>
            <wp:docPr id="4778" name="Рисунок 4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8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– средний уровень запасов;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Б – годовой бюджет;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V – годовой объем поставок.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3A325E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4"/>
          <w:sz w:val="28"/>
          <w:szCs w:val="28"/>
        </w:rPr>
        <w:object w:dxaOrig="3700" w:dyaOrig="620">
          <v:shape id="_x0000_i1048" type="#_x0000_t75" style="width:218.5pt;height:36.85pt" o:ole="">
            <v:imagedata r:id="rId70" o:title=""/>
          </v:shape>
          <o:OLEObject Type="Embed" ProgID="Equation.DSMT4" ShapeID="_x0000_i1048" DrawAspect="Content" ObjectID="_1493505810" r:id="rId71"/>
        </w:object>
      </w:r>
      <w:r w:rsidRPr="004502B4">
        <w:rPr>
          <w:rFonts w:ascii="Times New Roman" w:hAnsi="Times New Roman" w:cs="Times New Roman"/>
          <w:sz w:val="28"/>
          <w:szCs w:val="28"/>
        </w:rPr>
        <w:t xml:space="preserve">  </w:t>
      </w:r>
      <w:r w:rsidR="00F50E61" w:rsidRPr="004502B4">
        <w:rPr>
          <w:rFonts w:ascii="Times New Roman" w:hAnsi="Times New Roman" w:cs="Times New Roman"/>
          <w:sz w:val="28"/>
          <w:szCs w:val="28"/>
        </w:rPr>
        <w:t>у.е.</w:t>
      </w:r>
    </w:p>
    <w:p w:rsidR="00F50E61" w:rsidRPr="004502B4" w:rsidRDefault="00F50E61" w:rsidP="004502B4">
      <w:pPr>
        <w:widowControl w:val="0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Общие затраты = </w:t>
      </w:r>
      <w:r w:rsidR="003120BC" w:rsidRPr="004502B4">
        <w:rPr>
          <w:rFonts w:ascii="Times New Roman" w:hAnsi="Times New Roman" w:cs="Times New Roman"/>
          <w:sz w:val="28"/>
          <w:szCs w:val="28"/>
        </w:rPr>
        <w:t>1320000</w:t>
      </w:r>
      <w:r w:rsidRPr="004502B4">
        <w:rPr>
          <w:rFonts w:ascii="Times New Roman" w:hAnsi="Times New Roman" w:cs="Times New Roman"/>
          <w:sz w:val="28"/>
          <w:szCs w:val="28"/>
        </w:rPr>
        <w:t xml:space="preserve"> +</w:t>
      </w:r>
      <w:r w:rsidR="003120BC" w:rsidRPr="004502B4">
        <w:rPr>
          <w:rFonts w:ascii="Times New Roman" w:hAnsi="Times New Roman" w:cs="Times New Roman"/>
          <w:sz w:val="28"/>
          <w:szCs w:val="28"/>
        </w:rPr>
        <w:t>132000</w:t>
      </w:r>
      <w:r w:rsidRPr="004502B4">
        <w:rPr>
          <w:rFonts w:ascii="Times New Roman" w:hAnsi="Times New Roman" w:cs="Times New Roman"/>
          <w:sz w:val="28"/>
          <w:szCs w:val="28"/>
        </w:rPr>
        <w:t xml:space="preserve"> =</w:t>
      </w:r>
      <w:r w:rsidR="003120BC" w:rsidRPr="004502B4">
        <w:rPr>
          <w:rFonts w:ascii="Times New Roman" w:hAnsi="Times New Roman" w:cs="Times New Roman"/>
          <w:sz w:val="28"/>
          <w:szCs w:val="28"/>
        </w:rPr>
        <w:t>1452000</w:t>
      </w:r>
      <w:r w:rsidRPr="004502B4">
        <w:rPr>
          <w:rFonts w:ascii="Times New Roman" w:hAnsi="Times New Roman" w:cs="Times New Roman"/>
          <w:sz w:val="28"/>
          <w:szCs w:val="28"/>
        </w:rPr>
        <w:t xml:space="preserve">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Таким образом, сравнив общие затраты закупок двух вариантов стратегий, можно сделать вывод о том, что стратегия прогнозирования по цене прошлого года имеет преимущество, так как суммарные затраты при ее применении меньше.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2B4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9BE" w:rsidRPr="002B69BE" w:rsidRDefault="002B69BE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Выбрать предпочтительный вариант размера партии поставки при условии предоставления поставщиком скидки с цены.</w:t>
      </w:r>
    </w:p>
    <w:p w:rsidR="002B69BE" w:rsidRPr="002B69BE" w:rsidRDefault="002B69BE" w:rsidP="004502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некоторых случаях предприятию выгодно заменить оптимальный размер заказа каким-либо другим, который в определенных конкретных условиях будет более экономичным. Например, иногда поставщик материальных ресурсов предлагает скидку с оптовой цены при условии, что партия закупки (размер заказа) будет увеличена.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Выбор размера партии поставки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Поставщик предложил предприятию скидку на товар при условии увеличения размера закупаемой партии. При увеличении партии по сравнению с оптимальным размером в 1,5 раза цена на товар снижается на 15%, при увеличении партии в 2,25 раз – на 20%, при увеличении партии в 3,4 раза – на 25%, при увеличении партии в 5 раз – на 27%.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Страховые запасы составляют: для первого варианта (оптимального) – 30%, для второго – 10%, для третьего – 7%, для четвертого – 4% и для пятого </w:t>
      </w:r>
      <w:r w:rsidRPr="004502B4">
        <w:rPr>
          <w:rFonts w:ascii="Times New Roman" w:hAnsi="Times New Roman" w:cs="Times New Roman"/>
          <w:sz w:val="28"/>
          <w:szCs w:val="28"/>
        </w:rPr>
        <w:lastRenderedPageBreak/>
        <w:t>– 2% от величины партии.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Годовая ставка начислений на поддержание запаса составляет 25% для всех размеров закупочной партии, стоимость оформления одного заказа 250 у.е.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Данные по годовой потребности в товаре и его стоимости при оптимальном размере заказа приведены в таблице </w:t>
      </w:r>
      <w:r w:rsidR="00FE4989" w:rsidRPr="004502B4">
        <w:rPr>
          <w:rFonts w:ascii="Times New Roman" w:hAnsi="Times New Roman" w:cs="Times New Roman"/>
          <w:sz w:val="28"/>
          <w:szCs w:val="28"/>
        </w:rPr>
        <w:t>4.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Таблица 4.1 – Годовая потребность и стоимость при оптимальном размере заказа</w:t>
      </w:r>
    </w:p>
    <w:tbl>
      <w:tblPr>
        <w:tblStyle w:val="aa"/>
        <w:tblW w:w="0" w:type="auto"/>
        <w:tblInd w:w="709" w:type="dxa"/>
        <w:tblLook w:val="0400"/>
      </w:tblPr>
      <w:tblGrid>
        <w:gridCol w:w="1509"/>
        <w:gridCol w:w="3115"/>
        <w:gridCol w:w="4238"/>
      </w:tblGrid>
      <w:tr w:rsidR="00F50E61" w:rsidRPr="004502B4" w:rsidTr="00F50E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Годовая потребность, тыс.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Цена при оптимальном размере партии, у.е.</w:t>
            </w:r>
          </w:p>
        </w:tc>
      </w:tr>
      <w:tr w:rsidR="00F50E61" w:rsidRPr="004502B4" w:rsidTr="00F50E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B69BE" w:rsidRPr="004502B4">
              <w:rPr>
                <w:rFonts w:ascii="Times New Roman" w:hAnsi="Times New Roman" w:cs="Times New Roman"/>
                <w:sz w:val="28"/>
                <w:szCs w:val="28"/>
              </w:rPr>
              <w:t>2487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13,7</w:t>
            </w:r>
          </w:p>
        </w:tc>
      </w:tr>
    </w:tbl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Рассчитаем оптимальный размер заказа по формуле Уилсона: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noProof/>
          <w:position w:val="-20"/>
          <w:sz w:val="28"/>
          <w:szCs w:val="28"/>
          <w:lang w:eastAsia="ru-RU"/>
        </w:rPr>
        <w:drawing>
          <wp:inline distT="0" distB="0" distL="0" distR="0">
            <wp:extent cx="1062990" cy="499745"/>
            <wp:effectExtent l="0" t="0" r="0" b="0"/>
            <wp:docPr id="4780" name="Рисунок 4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0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>,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 xml:space="preserve">где </w:t>
      </w:r>
      <w:r w:rsidRPr="004502B4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91135" cy="233680"/>
            <wp:effectExtent l="19050" t="0" r="0" b="0"/>
            <wp:docPr id="4781" name="Рисунок 4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2B4">
        <w:rPr>
          <w:rFonts w:ascii="Times New Roman" w:hAnsi="Times New Roman" w:cs="Times New Roman"/>
          <w:sz w:val="28"/>
          <w:szCs w:val="28"/>
        </w:rPr>
        <w:t xml:space="preserve"> – экономичный размер заказа;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C0 – величина расходов на один заказ;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А – годовой объем продаж;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i – годовые затраты на содержание запасов;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Cn– расходы на единицу продукции.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69BE" w:rsidRPr="004502B4" w:rsidRDefault="002B69BE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position w:val="-26"/>
          <w:sz w:val="28"/>
          <w:szCs w:val="28"/>
        </w:rPr>
        <w:object w:dxaOrig="2980" w:dyaOrig="700">
          <v:shape id="_x0000_i1049" type="#_x0000_t75" style="width:149pt;height:35.15pt" o:ole="">
            <v:imagedata r:id="rId74" o:title=""/>
          </v:shape>
          <o:OLEObject Type="Embed" ProgID="Equation.DSMT4" ShapeID="_x0000_i1049" DrawAspect="Content" ObjectID="_1493505811" r:id="rId75"/>
        </w:object>
      </w:r>
      <w:r w:rsidRPr="004502B4">
        <w:rPr>
          <w:rFonts w:ascii="Times New Roman" w:hAnsi="Times New Roman" w:cs="Times New Roman"/>
          <w:sz w:val="28"/>
          <w:szCs w:val="28"/>
        </w:rPr>
        <w:t xml:space="preserve"> тыс ед</w:t>
      </w: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Таблица 4.2 – Расчет затрат на закупку продукции с учетом оптовых скидок</w:t>
      </w:r>
    </w:p>
    <w:p w:rsidR="00166548" w:rsidRPr="004502B4" w:rsidRDefault="00166548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709" w:type="dxa"/>
        <w:tblLook w:val="0400"/>
      </w:tblPr>
      <w:tblGrid>
        <w:gridCol w:w="1970"/>
        <w:gridCol w:w="1532"/>
        <w:gridCol w:w="1340"/>
        <w:gridCol w:w="1340"/>
        <w:gridCol w:w="1340"/>
        <w:gridCol w:w="1340"/>
      </w:tblGrid>
      <w:tr w:rsidR="00F50E61" w:rsidRPr="004502B4" w:rsidTr="00F50E6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Оптимальный размер заказа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Увеличение партии в 1,5 раза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Увеличение партии в 2,25 раза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Увеличение партии в 3,4 раза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E61" w:rsidRPr="004502B4" w:rsidRDefault="00F50E61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Увеличение партии в 5 раз</w:t>
            </w:r>
          </w:p>
        </w:tc>
      </w:tr>
      <w:tr w:rsidR="002B69BE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BE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1.Размер поставки, тыс.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2177,70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3266,55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4899,83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7404,18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10888,50</w:t>
            </w:r>
          </w:p>
        </w:tc>
      </w:tr>
      <w:tr w:rsidR="002B69BE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BE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2.Оборотный запас, тыс. ед: 1строка/2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1088,85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2449,91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3702,09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5444,25</w:t>
            </w:r>
          </w:p>
        </w:tc>
      </w:tr>
      <w:tr w:rsidR="002B69BE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BE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3.Страховой запас, тыс.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653,31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326,66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342,99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296,17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217,77</w:t>
            </w:r>
          </w:p>
        </w:tc>
      </w:tr>
      <w:tr w:rsidR="002B69BE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9BE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4.Средний запас, тыс.ед.</w:t>
            </w:r>
          </w:p>
          <w:p w:rsidR="002B69BE" w:rsidRPr="004502B4" w:rsidRDefault="002B69BE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2стр+3стр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1742,16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1959,93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3998,26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69BE" w:rsidRPr="004502B4" w:rsidRDefault="002B69BE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5662,02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5.Стоимость ед. материала, у.е.</w:t>
            </w:r>
          </w:p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Скидка*цену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6.Среднее капиталовложение в запас, у.е.</w:t>
            </w:r>
          </w:p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4стр*5стр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23867,59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22823,38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30610,19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41082,09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56625,86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7.Годовая ставка на поддержание запаса, доля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8.Годовая стоимость поддержания запаса, у.е. 6стр*7стр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5966,90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5705,85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7652,55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10270,52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14156,47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9.Годовая потребность, тыс.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32 487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10.Стоимость оформления заказа, у.е.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250,00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11.Количество заказов, шт.9стр/1стр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2,98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12.Стоимость оформления всех заказов, у.е.</w:t>
            </w:r>
          </w:p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10стр*11стр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3729,51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2486,34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1657,56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1096,91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745,90</w:t>
            </w:r>
          </w:p>
        </w:tc>
      </w:tr>
      <w:tr w:rsidR="00166548" w:rsidRPr="004502B4" w:rsidTr="0017786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13.Суммарные затраты, у.е.</w:t>
            </w:r>
          </w:p>
          <w:p w:rsidR="00166548" w:rsidRPr="004502B4" w:rsidRDefault="00166548" w:rsidP="004502B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sz w:val="28"/>
                <w:szCs w:val="28"/>
              </w:rPr>
              <w:t>12стр+8стр+6стр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33564,00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31015,57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39920,29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52449,53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548" w:rsidRPr="004502B4" w:rsidRDefault="00166548" w:rsidP="004502B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02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71528,23</w:t>
            </w:r>
          </w:p>
        </w:tc>
      </w:tr>
    </w:tbl>
    <w:p w:rsidR="00166548" w:rsidRPr="004502B4" w:rsidRDefault="00166548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E61" w:rsidRPr="004502B4" w:rsidRDefault="00F50E61" w:rsidP="004502B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2B4">
        <w:rPr>
          <w:rFonts w:ascii="Times New Roman" w:hAnsi="Times New Roman" w:cs="Times New Roman"/>
          <w:sz w:val="28"/>
          <w:szCs w:val="28"/>
        </w:rPr>
        <w:t>Таким образом, сравнив суммарные затраты по всем показателям можно сделать вывод о том, что компания должна увеличить оптимальный размер заказа в 1,5 раза, так как суммарные затраты в таком размере минимальны.</w:t>
      </w:r>
    </w:p>
    <w:p w:rsidR="00F50E61" w:rsidRPr="004502B4" w:rsidRDefault="00F50E61" w:rsidP="004502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50E61" w:rsidRPr="004502B4" w:rsidSect="005F7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BEB" w:rsidRDefault="00481BEB" w:rsidP="00FE4989">
      <w:pPr>
        <w:spacing w:after="0" w:line="240" w:lineRule="auto"/>
      </w:pPr>
      <w:r>
        <w:separator/>
      </w:r>
    </w:p>
  </w:endnote>
  <w:endnote w:type="continuationSeparator" w:id="0">
    <w:p w:rsidR="00481BEB" w:rsidRDefault="00481BEB" w:rsidP="00FE4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987166"/>
      <w:docPartObj>
        <w:docPartGallery w:val="Page Numbers (Bottom of Page)"/>
        <w:docPartUnique/>
      </w:docPartObj>
    </w:sdtPr>
    <w:sdtContent>
      <w:p w:rsidR="004502B4" w:rsidRDefault="004502B4">
        <w:pPr>
          <w:pStyle w:val="ad"/>
          <w:jc w:val="center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4502B4" w:rsidRDefault="004502B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BEB" w:rsidRDefault="00481BEB" w:rsidP="00FE4989">
      <w:pPr>
        <w:spacing w:after="0" w:line="240" w:lineRule="auto"/>
      </w:pPr>
      <w:r>
        <w:separator/>
      </w:r>
    </w:p>
  </w:footnote>
  <w:footnote w:type="continuationSeparator" w:id="0">
    <w:p w:rsidR="00481BEB" w:rsidRDefault="00481BEB" w:rsidP="00FE4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F3084"/>
    <w:multiLevelType w:val="hybridMultilevel"/>
    <w:tmpl w:val="C37269E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">
    <w:nsid w:val="5B882D2D"/>
    <w:multiLevelType w:val="hybridMultilevel"/>
    <w:tmpl w:val="C352A8F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6B317CEA"/>
    <w:multiLevelType w:val="multilevel"/>
    <w:tmpl w:val="5E4273C4"/>
    <w:lvl w:ilvl="0">
      <w:start w:val="1"/>
      <w:numFmt w:val="decimal"/>
      <w:pStyle w:val="a"/>
      <w:lvlText w:val="%1."/>
      <w:lvlJc w:val="left"/>
      <w:pPr>
        <w:ind w:left="168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ind w:left="552" w:hanging="432"/>
      </w:pPr>
      <w:rPr>
        <w:rFonts w:cs="Times New Roman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4D016BE"/>
    <w:multiLevelType w:val="hybridMultilevel"/>
    <w:tmpl w:val="CF06A2CC"/>
    <w:lvl w:ilvl="0" w:tplc="D442723C">
      <w:start w:val="2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3B637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6C254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2EB4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08A13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CB4F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226D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9F071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B672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74D"/>
    <w:rsid w:val="000A3F3A"/>
    <w:rsid w:val="00155DD3"/>
    <w:rsid w:val="00166548"/>
    <w:rsid w:val="001B08FA"/>
    <w:rsid w:val="00203DA5"/>
    <w:rsid w:val="002B69BE"/>
    <w:rsid w:val="002C4427"/>
    <w:rsid w:val="003120BC"/>
    <w:rsid w:val="003A325E"/>
    <w:rsid w:val="003B2B11"/>
    <w:rsid w:val="00412835"/>
    <w:rsid w:val="004502B4"/>
    <w:rsid w:val="00481BEB"/>
    <w:rsid w:val="004D3B27"/>
    <w:rsid w:val="005159E4"/>
    <w:rsid w:val="0056033D"/>
    <w:rsid w:val="005801B0"/>
    <w:rsid w:val="005E32EE"/>
    <w:rsid w:val="005F7741"/>
    <w:rsid w:val="006C3BC0"/>
    <w:rsid w:val="00745EC9"/>
    <w:rsid w:val="007971A4"/>
    <w:rsid w:val="00832932"/>
    <w:rsid w:val="009B0011"/>
    <w:rsid w:val="009F42D0"/>
    <w:rsid w:val="00A40025"/>
    <w:rsid w:val="00A86019"/>
    <w:rsid w:val="00B8693E"/>
    <w:rsid w:val="00C063FC"/>
    <w:rsid w:val="00C90C64"/>
    <w:rsid w:val="00DA3B82"/>
    <w:rsid w:val="00E04103"/>
    <w:rsid w:val="00E10BC1"/>
    <w:rsid w:val="00F50E61"/>
    <w:rsid w:val="00F56A64"/>
    <w:rsid w:val="00F9574D"/>
    <w:rsid w:val="00FE4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32EE"/>
    <w:pPr>
      <w:spacing w:after="160" w:line="259" w:lineRule="auto"/>
    </w:pPr>
    <w:rPr>
      <w:rFonts w:ascii="Calibri" w:hAnsi="Calibri"/>
    </w:rPr>
  </w:style>
  <w:style w:type="paragraph" w:styleId="1">
    <w:name w:val="heading 1"/>
    <w:basedOn w:val="a0"/>
    <w:next w:val="a0"/>
    <w:link w:val="10"/>
    <w:uiPriority w:val="99"/>
    <w:qFormat/>
    <w:rsid w:val="005E32EE"/>
    <w:pPr>
      <w:keepNext/>
      <w:numPr>
        <w:numId w:val="1"/>
      </w:num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5E32EE"/>
    <w:pPr>
      <w:keepNext/>
      <w:spacing w:after="0" w:line="240" w:lineRule="auto"/>
      <w:ind w:left="6381"/>
      <w:jc w:val="both"/>
      <w:outlineLvl w:val="1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3">
    <w:name w:val="heading 3"/>
    <w:basedOn w:val="a0"/>
    <w:link w:val="30"/>
    <w:uiPriority w:val="99"/>
    <w:qFormat/>
    <w:rsid w:val="005E32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5E32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9"/>
    <w:qFormat/>
    <w:rsid w:val="005E32EE"/>
    <w:pPr>
      <w:keepNext/>
      <w:keepLines/>
      <w:spacing w:before="200" w:after="0"/>
      <w:outlineLvl w:val="4"/>
    </w:pPr>
    <w:rPr>
      <w:rFonts w:ascii="Calibri Light" w:eastAsia="Times New Roman" w:hAnsi="Calibri Light" w:cs="Times New Roman"/>
      <w:color w:val="1F4D78"/>
    </w:rPr>
  </w:style>
  <w:style w:type="paragraph" w:styleId="9">
    <w:name w:val="heading 9"/>
    <w:basedOn w:val="a0"/>
    <w:next w:val="a0"/>
    <w:link w:val="90"/>
    <w:uiPriority w:val="99"/>
    <w:qFormat/>
    <w:rsid w:val="005E32EE"/>
    <w:pPr>
      <w:spacing w:before="240" w:after="60" w:line="240" w:lineRule="auto"/>
      <w:outlineLvl w:val="8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5E32EE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5E32EE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5E32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E32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9"/>
    <w:rsid w:val="005E32EE"/>
    <w:rPr>
      <w:rFonts w:ascii="Calibri Light" w:eastAsia="Times New Roman" w:hAnsi="Calibri Light" w:cs="Times New Roman"/>
      <w:color w:val="1F4D78"/>
    </w:rPr>
  </w:style>
  <w:style w:type="character" w:customStyle="1" w:styleId="90">
    <w:name w:val="Заголовок 9 Знак"/>
    <w:basedOn w:val="a1"/>
    <w:link w:val="9"/>
    <w:uiPriority w:val="99"/>
    <w:rsid w:val="005E32EE"/>
    <w:rPr>
      <w:rFonts w:ascii="Arial" w:eastAsia="Times New Roman" w:hAnsi="Arial" w:cs="Times New Roman"/>
      <w:sz w:val="20"/>
      <w:szCs w:val="20"/>
      <w:lang w:eastAsia="ru-RU"/>
    </w:rPr>
  </w:style>
  <w:style w:type="paragraph" w:styleId="a">
    <w:name w:val="Title"/>
    <w:basedOn w:val="a0"/>
    <w:link w:val="a4"/>
    <w:uiPriority w:val="99"/>
    <w:qFormat/>
    <w:rsid w:val="005E32EE"/>
    <w:pPr>
      <w:widowControl w:val="0"/>
      <w:numPr>
        <w:numId w:val="2"/>
      </w:numPr>
      <w:spacing w:after="0" w:line="240" w:lineRule="atLeast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1"/>
    <w:link w:val="a"/>
    <w:uiPriority w:val="99"/>
    <w:rsid w:val="005E32EE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5">
    <w:name w:val="Strong"/>
    <w:basedOn w:val="a1"/>
    <w:uiPriority w:val="99"/>
    <w:qFormat/>
    <w:rsid w:val="005E32EE"/>
    <w:rPr>
      <w:rFonts w:ascii="Times New Roman" w:hAnsi="Times New Roman" w:cs="Times New Roman"/>
      <w:b/>
    </w:rPr>
  </w:style>
  <w:style w:type="character" w:styleId="a6">
    <w:name w:val="Emphasis"/>
    <w:basedOn w:val="a1"/>
    <w:uiPriority w:val="20"/>
    <w:qFormat/>
    <w:rsid w:val="005E32EE"/>
    <w:rPr>
      <w:rFonts w:cs="Times New Roman"/>
      <w:i/>
      <w:iCs/>
    </w:rPr>
  </w:style>
  <w:style w:type="paragraph" w:styleId="a7">
    <w:name w:val="TOC Heading"/>
    <w:basedOn w:val="1"/>
    <w:next w:val="a0"/>
    <w:uiPriority w:val="39"/>
    <w:semiHidden/>
    <w:unhideWhenUsed/>
    <w:qFormat/>
    <w:rsid w:val="005E32E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11">
    <w:name w:val="Абзац списка1"/>
    <w:basedOn w:val="a0"/>
    <w:uiPriority w:val="99"/>
    <w:qFormat/>
    <w:rsid w:val="005E32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5E3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DA5"/>
    <w:rPr>
      <w:rFonts w:ascii="Tahoma" w:hAnsi="Tahoma" w:cs="Tahoma"/>
      <w:sz w:val="16"/>
      <w:szCs w:val="16"/>
    </w:rPr>
  </w:style>
  <w:style w:type="table" w:styleId="aa">
    <w:name w:val="Table Grid"/>
    <w:basedOn w:val="a2"/>
    <w:uiPriority w:val="59"/>
    <w:rsid w:val="00F50E6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04103"/>
  </w:style>
  <w:style w:type="paragraph" w:styleId="ab">
    <w:name w:val="header"/>
    <w:basedOn w:val="a0"/>
    <w:link w:val="ac"/>
    <w:uiPriority w:val="99"/>
    <w:semiHidden/>
    <w:unhideWhenUsed/>
    <w:rsid w:val="00FE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FE4989"/>
    <w:rPr>
      <w:rFonts w:ascii="Calibri" w:hAnsi="Calibri"/>
    </w:rPr>
  </w:style>
  <w:style w:type="paragraph" w:styleId="ad">
    <w:name w:val="footer"/>
    <w:basedOn w:val="a0"/>
    <w:link w:val="ae"/>
    <w:uiPriority w:val="99"/>
    <w:unhideWhenUsed/>
    <w:rsid w:val="00FE49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FE4989"/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9" Type="http://schemas.openxmlformats.org/officeDocument/2006/relationships/image" Target="media/image22.wmf"/><Relationship Id="rId21" Type="http://schemas.openxmlformats.org/officeDocument/2006/relationships/image" Target="media/image10.wmf"/><Relationship Id="rId34" Type="http://schemas.openxmlformats.org/officeDocument/2006/relationships/image" Target="media/image19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5" Type="http://schemas.openxmlformats.org/officeDocument/2006/relationships/image" Target="media/image30.wmf"/><Relationship Id="rId63" Type="http://schemas.openxmlformats.org/officeDocument/2006/relationships/footer" Target="footer1.xml"/><Relationship Id="rId68" Type="http://schemas.openxmlformats.org/officeDocument/2006/relationships/image" Target="media/image37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oleObject" Target="embeddings/oleObject7.bin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oleObject" Target="embeddings/oleObject20.bin"/><Relationship Id="rId66" Type="http://schemas.openxmlformats.org/officeDocument/2006/relationships/image" Target="media/image36.wmf"/><Relationship Id="rId74" Type="http://schemas.openxmlformats.org/officeDocument/2006/relationships/image" Target="media/image42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image" Target="media/image15.wmf"/><Relationship Id="rId36" Type="http://schemas.openxmlformats.org/officeDocument/2006/relationships/oleObject" Target="embeddings/oleObject9.bin"/><Relationship Id="rId49" Type="http://schemas.openxmlformats.org/officeDocument/2006/relationships/image" Target="media/image27.wmf"/><Relationship Id="rId57" Type="http://schemas.openxmlformats.org/officeDocument/2006/relationships/image" Target="media/image31.wmf"/><Relationship Id="rId61" Type="http://schemas.openxmlformats.org/officeDocument/2006/relationships/image" Target="media/image33.wmf"/><Relationship Id="rId10" Type="http://schemas.openxmlformats.org/officeDocument/2006/relationships/image" Target="media/image3.wmf"/><Relationship Id="rId19" Type="http://schemas.openxmlformats.org/officeDocument/2006/relationships/image" Target="media/image9.wmf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5.wmf"/><Relationship Id="rId73" Type="http://schemas.openxmlformats.org/officeDocument/2006/relationships/image" Target="media/image4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image" Target="media/image20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64" Type="http://schemas.openxmlformats.org/officeDocument/2006/relationships/image" Target="media/image34.wmf"/><Relationship Id="rId69" Type="http://schemas.openxmlformats.org/officeDocument/2006/relationships/image" Target="media/image38.wmf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8.wmf"/><Relationship Id="rId72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image" Target="media/image32.wmf"/><Relationship Id="rId67" Type="http://schemas.openxmlformats.org/officeDocument/2006/relationships/oleObject" Target="embeddings/oleObject23.bin"/><Relationship Id="rId20" Type="http://schemas.openxmlformats.org/officeDocument/2006/relationships/oleObject" Target="embeddings/oleObject4.bin"/><Relationship Id="rId41" Type="http://schemas.openxmlformats.org/officeDocument/2006/relationships/image" Target="media/image23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2.bin"/><Relationship Id="rId70" Type="http://schemas.openxmlformats.org/officeDocument/2006/relationships/image" Target="media/image39.wmf"/><Relationship Id="rId75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283F0-69AD-400B-A8EE-1ADFC576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2015-05-18T18:46:00Z</dcterms:created>
  <dcterms:modified xsi:type="dcterms:W3CDTF">2015-05-18T18:49:00Z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