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6D9" w:rsidRDefault="00B346D9" w:rsidP="00B346D9">
      <w:pPr>
        <w:spacing w:after="0" w:line="240" w:lineRule="auto"/>
        <w:jc w:val="center"/>
        <w:rPr>
          <w:rFonts w:ascii="Times New Roman" w:hAnsi="Times New Roman"/>
          <w:sz w:val="24"/>
          <w:szCs w:val="24"/>
        </w:rPr>
      </w:pPr>
      <w:r>
        <w:rPr>
          <w:rFonts w:ascii="Times New Roman" w:hAnsi="Times New Roman"/>
          <w:sz w:val="24"/>
          <w:szCs w:val="24"/>
        </w:rPr>
        <w:t>ФЕДЕРАЛЬНОЕ ГОСУДАРСТВЕННОЕ ОБРАЗОВАТЕЛЬНОЕ БЮДЖЕТНОЕ УЧРЕЖДЕНИЕ ВЫСШЕГО ПРОФЕССИОНАЛЬНОГО ОБРАЗОВАНИЯ</w:t>
      </w:r>
    </w:p>
    <w:p w:rsidR="00B346D9" w:rsidRDefault="00B346D9" w:rsidP="00B346D9">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 ПРИ ПРАВИТЕЛЬСТВЕ РОССИЙСКОЙ ФЕДЕРАЦИИ</w:t>
      </w:r>
    </w:p>
    <w:p w:rsidR="00B346D9" w:rsidRDefault="00B346D9" w:rsidP="00B346D9">
      <w:pPr>
        <w:spacing w:after="0" w:line="240" w:lineRule="auto"/>
        <w:jc w:val="center"/>
        <w:rPr>
          <w:rFonts w:ascii="Times New Roman" w:hAnsi="Times New Roman"/>
          <w:b/>
          <w:sz w:val="28"/>
          <w:szCs w:val="28"/>
        </w:rPr>
      </w:pPr>
      <w:r>
        <w:rPr>
          <w:rFonts w:ascii="Times New Roman" w:hAnsi="Times New Roman"/>
          <w:b/>
          <w:sz w:val="28"/>
          <w:szCs w:val="28"/>
        </w:rPr>
        <w:pict>
          <v:rect id="_x0000_i1025" style="width:467.75pt;height:2.25pt" o:hralign="center" o:hrstd="t" o:hrnoshade="t" o:hr="t" fillcolor="black" stroked="f"/>
        </w:pict>
      </w:r>
    </w:p>
    <w:p w:rsidR="00B346D9" w:rsidRDefault="00B346D9" w:rsidP="00B346D9">
      <w:pPr>
        <w:spacing w:after="0" w:line="240" w:lineRule="auto"/>
        <w:jc w:val="center"/>
        <w:rPr>
          <w:rFonts w:ascii="Times New Roman" w:hAnsi="Times New Roman"/>
          <w:b/>
          <w:sz w:val="28"/>
          <w:szCs w:val="28"/>
        </w:rPr>
      </w:pPr>
      <w:r>
        <w:rPr>
          <w:rFonts w:ascii="Times New Roman" w:hAnsi="Times New Roman"/>
          <w:b/>
          <w:sz w:val="28"/>
          <w:szCs w:val="28"/>
        </w:rPr>
        <w:t>БАРНАУЛЬСКИЙ ФИЛИАЛ</w:t>
      </w:r>
    </w:p>
    <w:p w:rsidR="00B346D9" w:rsidRDefault="00B346D9" w:rsidP="00B346D9">
      <w:pPr>
        <w:spacing w:before="200" w:after="0" w:line="240" w:lineRule="auto"/>
        <w:jc w:val="center"/>
        <w:rPr>
          <w:rFonts w:ascii="Times New Roman" w:hAnsi="Times New Roman"/>
          <w:sz w:val="28"/>
          <w:szCs w:val="28"/>
        </w:rPr>
      </w:pPr>
      <w:r>
        <w:rPr>
          <w:rFonts w:ascii="Times New Roman" w:hAnsi="Times New Roman"/>
          <w:sz w:val="28"/>
          <w:szCs w:val="28"/>
        </w:rPr>
        <w:t>Кафедра «Экономика, менеджмент и маркетинг»</w:t>
      </w:r>
    </w:p>
    <w:p w:rsidR="00B346D9" w:rsidRDefault="00B346D9" w:rsidP="00B346D9">
      <w:pPr>
        <w:spacing w:before="200" w:after="0" w:line="240" w:lineRule="auto"/>
        <w:jc w:val="center"/>
        <w:rPr>
          <w:rFonts w:ascii="Times New Roman" w:hAnsi="Times New Roman"/>
          <w:sz w:val="28"/>
          <w:szCs w:val="28"/>
        </w:rPr>
      </w:pPr>
      <w:r>
        <w:rPr>
          <w:rFonts w:ascii="Times New Roman" w:hAnsi="Times New Roman"/>
          <w:sz w:val="28"/>
          <w:szCs w:val="28"/>
        </w:rPr>
        <w:t xml:space="preserve">Направление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«Менеджмент»</w:t>
      </w:r>
    </w:p>
    <w:p w:rsidR="00B346D9" w:rsidRDefault="00B346D9" w:rsidP="00B346D9">
      <w:pPr>
        <w:spacing w:before="200" w:after="0" w:line="240" w:lineRule="auto"/>
        <w:jc w:val="center"/>
        <w:rPr>
          <w:rFonts w:ascii="Times New Roman" w:hAnsi="Times New Roman"/>
          <w:sz w:val="28"/>
          <w:szCs w:val="28"/>
        </w:rPr>
      </w:pPr>
    </w:p>
    <w:p w:rsidR="00B346D9" w:rsidRDefault="00B346D9" w:rsidP="00B346D9">
      <w:pPr>
        <w:spacing w:before="200" w:after="0" w:line="240" w:lineRule="auto"/>
        <w:jc w:val="center"/>
        <w:rPr>
          <w:rFonts w:ascii="Times New Roman" w:hAnsi="Times New Roman"/>
          <w:sz w:val="28"/>
          <w:szCs w:val="28"/>
        </w:rPr>
      </w:pPr>
    </w:p>
    <w:p w:rsidR="00B346D9" w:rsidRDefault="00B346D9" w:rsidP="00B346D9">
      <w:pPr>
        <w:spacing w:before="200" w:after="0" w:line="240" w:lineRule="auto"/>
        <w:jc w:val="center"/>
        <w:rPr>
          <w:rFonts w:ascii="Times New Roman" w:hAnsi="Times New Roman"/>
          <w:sz w:val="28"/>
          <w:szCs w:val="28"/>
        </w:rPr>
      </w:pPr>
    </w:p>
    <w:p w:rsidR="00B346D9" w:rsidRDefault="00B346D9" w:rsidP="00B346D9">
      <w:pPr>
        <w:spacing w:before="200" w:after="0" w:line="240" w:lineRule="auto"/>
        <w:jc w:val="center"/>
        <w:rPr>
          <w:rFonts w:ascii="Times New Roman" w:hAnsi="Times New Roman"/>
          <w:b/>
          <w:sz w:val="28"/>
          <w:szCs w:val="28"/>
        </w:rPr>
      </w:pPr>
      <w:r>
        <w:rPr>
          <w:rFonts w:ascii="Times New Roman" w:hAnsi="Times New Roman"/>
          <w:b/>
          <w:sz w:val="28"/>
          <w:szCs w:val="28"/>
        </w:rPr>
        <w:t>РЕФЕРАТ</w:t>
      </w:r>
    </w:p>
    <w:p w:rsidR="00B346D9" w:rsidRDefault="00B346D9" w:rsidP="00B346D9">
      <w:pPr>
        <w:spacing w:before="200" w:after="0" w:line="240" w:lineRule="auto"/>
        <w:jc w:val="both"/>
        <w:rPr>
          <w:rFonts w:ascii="Times New Roman" w:hAnsi="Times New Roman"/>
          <w:b/>
          <w:sz w:val="28"/>
          <w:szCs w:val="28"/>
        </w:rPr>
      </w:pPr>
      <w:r>
        <w:rPr>
          <w:rFonts w:ascii="Times New Roman" w:hAnsi="Times New Roman"/>
          <w:b/>
          <w:sz w:val="28"/>
          <w:szCs w:val="28"/>
        </w:rPr>
        <w:t>По дисциплине «Реорганизация бизнеса: слияния и поглощения»</w:t>
      </w:r>
    </w:p>
    <w:p w:rsidR="00B346D9" w:rsidRDefault="00B346D9" w:rsidP="00B346D9">
      <w:pPr>
        <w:spacing w:before="200" w:after="0" w:line="240" w:lineRule="auto"/>
        <w:jc w:val="both"/>
        <w:rPr>
          <w:rFonts w:ascii="Times New Roman" w:hAnsi="Times New Roman"/>
          <w:b/>
          <w:sz w:val="28"/>
          <w:szCs w:val="28"/>
        </w:rPr>
      </w:pPr>
      <w:proofErr w:type="gramStart"/>
      <w:r>
        <w:rPr>
          <w:rFonts w:ascii="Times New Roman" w:hAnsi="Times New Roman"/>
          <w:b/>
          <w:sz w:val="28"/>
          <w:szCs w:val="28"/>
        </w:rPr>
        <w:t>Тема :</w:t>
      </w:r>
      <w:proofErr w:type="gramEnd"/>
      <w:r>
        <w:rPr>
          <w:rFonts w:ascii="Times New Roman" w:hAnsi="Times New Roman"/>
          <w:b/>
          <w:sz w:val="28"/>
          <w:szCs w:val="28"/>
        </w:rPr>
        <w:t xml:space="preserve"> «Корпоративная Аллергия: симптомы и методы лечения»</w:t>
      </w:r>
    </w:p>
    <w:p w:rsidR="00B346D9" w:rsidRDefault="00B346D9" w:rsidP="00B346D9">
      <w:pPr>
        <w:spacing w:before="200" w:after="0" w:line="240" w:lineRule="auto"/>
        <w:jc w:val="both"/>
        <w:rPr>
          <w:rFonts w:ascii="Times New Roman" w:hAnsi="Times New Roman"/>
          <w:b/>
          <w:sz w:val="28"/>
          <w:szCs w:val="28"/>
        </w:rPr>
      </w:pPr>
    </w:p>
    <w:p w:rsidR="00B346D9" w:rsidRDefault="00B346D9" w:rsidP="00B346D9">
      <w:pPr>
        <w:spacing w:before="200" w:after="0" w:line="240" w:lineRule="auto"/>
        <w:jc w:val="both"/>
        <w:rPr>
          <w:rFonts w:ascii="Times New Roman" w:hAnsi="Times New Roman"/>
          <w:b/>
          <w:sz w:val="28"/>
          <w:szCs w:val="28"/>
        </w:rPr>
      </w:pPr>
    </w:p>
    <w:p w:rsidR="00B346D9" w:rsidRDefault="00B346D9" w:rsidP="00B346D9">
      <w:pPr>
        <w:spacing w:before="200" w:after="0" w:line="240" w:lineRule="auto"/>
        <w:jc w:val="both"/>
        <w:rPr>
          <w:rFonts w:ascii="Times New Roman" w:hAnsi="Times New Roman"/>
          <w:b/>
          <w:sz w:val="28"/>
          <w:szCs w:val="28"/>
        </w:rPr>
      </w:pPr>
    </w:p>
    <w:p w:rsidR="00B346D9" w:rsidRDefault="00B346D9" w:rsidP="00B346D9">
      <w:pPr>
        <w:spacing w:before="200" w:after="0" w:line="240" w:lineRule="auto"/>
        <w:jc w:val="both"/>
        <w:rPr>
          <w:rFonts w:ascii="Times New Roman" w:hAnsi="Times New Roman"/>
          <w:b/>
          <w:sz w:val="28"/>
          <w:szCs w:val="28"/>
        </w:rPr>
      </w:pPr>
    </w:p>
    <w:p w:rsidR="00B346D9" w:rsidRDefault="00B346D9" w:rsidP="00B346D9">
      <w:pPr>
        <w:spacing w:before="200" w:after="0" w:line="240" w:lineRule="auto"/>
        <w:jc w:val="both"/>
        <w:rPr>
          <w:rFonts w:ascii="Times New Roman" w:hAnsi="Times New Roman"/>
          <w:b/>
          <w:sz w:val="28"/>
          <w:szCs w:val="28"/>
        </w:rPr>
      </w:pPr>
    </w:p>
    <w:p w:rsidR="00B346D9" w:rsidRDefault="00B346D9" w:rsidP="00B346D9">
      <w:pPr>
        <w:spacing w:before="200" w:after="0" w:line="240" w:lineRule="auto"/>
        <w:jc w:val="both"/>
        <w:rPr>
          <w:rFonts w:ascii="Times New Roman" w:hAnsi="Times New Roman"/>
          <w:b/>
          <w:sz w:val="28"/>
          <w:szCs w:val="28"/>
        </w:rPr>
      </w:pPr>
    </w:p>
    <w:p w:rsidR="00B346D9" w:rsidRDefault="00B346D9" w:rsidP="00B346D9">
      <w:pPr>
        <w:spacing w:before="200" w:after="0" w:line="240" w:lineRule="auto"/>
        <w:jc w:val="both"/>
        <w:rPr>
          <w:rFonts w:ascii="Times New Roman" w:hAnsi="Times New Roman"/>
          <w:sz w:val="24"/>
          <w:szCs w:val="24"/>
        </w:rPr>
      </w:pPr>
      <w:r>
        <w:rPr>
          <w:rFonts w:ascii="Times New Roman" w:hAnsi="Times New Roman"/>
          <w:sz w:val="24"/>
          <w:szCs w:val="24"/>
        </w:rPr>
        <w:t>Студент    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В.Ю. </w:t>
      </w:r>
      <w:proofErr w:type="spellStart"/>
      <w:r>
        <w:rPr>
          <w:rFonts w:ascii="Times New Roman" w:hAnsi="Times New Roman"/>
          <w:sz w:val="24"/>
          <w:szCs w:val="24"/>
        </w:rPr>
        <w:t>Мокеев</w:t>
      </w:r>
      <w:proofErr w:type="spellEnd"/>
    </w:p>
    <w:p w:rsidR="00B346D9" w:rsidRDefault="00B346D9" w:rsidP="00B346D9">
      <w:pPr>
        <w:spacing w:after="0" w:line="240" w:lineRule="auto"/>
        <w:jc w:val="both"/>
        <w:rPr>
          <w:rFonts w:ascii="Times New Roman" w:hAnsi="Times New Roman"/>
          <w:sz w:val="24"/>
          <w:szCs w:val="24"/>
          <w:vertAlign w:val="superscript"/>
        </w:rPr>
      </w:pPr>
      <w:r>
        <w:rPr>
          <w:rFonts w:ascii="Times New Roman" w:hAnsi="Times New Roman"/>
          <w:sz w:val="24"/>
          <w:szCs w:val="24"/>
          <w:vertAlign w:val="superscript"/>
        </w:rPr>
        <w:t xml:space="preserve">                                   (подпись)</w:t>
      </w:r>
    </w:p>
    <w:p w:rsidR="00B346D9" w:rsidRDefault="00B346D9" w:rsidP="00B346D9">
      <w:pPr>
        <w:spacing w:before="200" w:after="0" w:line="240" w:lineRule="auto"/>
        <w:jc w:val="both"/>
        <w:rPr>
          <w:rFonts w:ascii="Times New Roman" w:hAnsi="Times New Roman"/>
          <w:sz w:val="24"/>
          <w:szCs w:val="24"/>
        </w:rPr>
      </w:pPr>
      <w:r>
        <w:rPr>
          <w:rFonts w:ascii="Times New Roman" w:hAnsi="Times New Roman"/>
          <w:sz w:val="24"/>
          <w:szCs w:val="24"/>
        </w:rPr>
        <w:t>Группа 4Б-4</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100.02/120381</w:t>
      </w:r>
    </w:p>
    <w:p w:rsidR="00B346D9" w:rsidRPr="004F43C7" w:rsidRDefault="00B346D9" w:rsidP="00B346D9">
      <w:pPr>
        <w:spacing w:before="200" w:after="0" w:line="240" w:lineRule="auto"/>
        <w:jc w:val="both"/>
        <w:rPr>
          <w:rFonts w:ascii="Times New Roman" w:hAnsi="Times New Roman"/>
          <w:sz w:val="24"/>
          <w:szCs w:val="24"/>
        </w:rPr>
      </w:pPr>
      <w:r>
        <w:rPr>
          <w:rFonts w:ascii="Times New Roman" w:hAnsi="Times New Roman"/>
          <w:sz w:val="24"/>
          <w:szCs w:val="24"/>
        </w:rPr>
        <w:t>Преподаватель к.э.н., доцент А. Р. Ижболдин-</w:t>
      </w:r>
      <w:proofErr w:type="spellStart"/>
      <w:r>
        <w:rPr>
          <w:rFonts w:ascii="Times New Roman" w:hAnsi="Times New Roman"/>
          <w:sz w:val="24"/>
          <w:szCs w:val="24"/>
        </w:rPr>
        <w:t>Кронберг</w:t>
      </w:r>
      <w:proofErr w:type="spellEnd"/>
      <w:r>
        <w:rPr>
          <w:rFonts w:ascii="Times New Roman" w:hAnsi="Times New Roman"/>
          <w:sz w:val="24"/>
          <w:szCs w:val="24"/>
        </w:rPr>
        <w:t xml:space="preserve"> </w:t>
      </w:r>
    </w:p>
    <w:p w:rsidR="00B346D9" w:rsidRDefault="00B346D9" w:rsidP="00B346D9">
      <w:pPr>
        <w:spacing w:before="200" w:after="0" w:line="240" w:lineRule="auto"/>
        <w:jc w:val="both"/>
        <w:rPr>
          <w:rFonts w:ascii="Times New Roman" w:hAnsi="Times New Roman"/>
          <w:sz w:val="24"/>
          <w:szCs w:val="24"/>
        </w:rPr>
      </w:pPr>
    </w:p>
    <w:p w:rsidR="00B346D9" w:rsidRDefault="00B346D9" w:rsidP="00B346D9">
      <w:pPr>
        <w:spacing w:before="200" w:after="0" w:line="240" w:lineRule="auto"/>
        <w:jc w:val="both"/>
        <w:rPr>
          <w:rFonts w:ascii="Times New Roman" w:hAnsi="Times New Roman"/>
          <w:sz w:val="24"/>
          <w:szCs w:val="24"/>
        </w:rPr>
      </w:pPr>
    </w:p>
    <w:p w:rsidR="00B346D9" w:rsidRDefault="00B346D9" w:rsidP="00B346D9">
      <w:pPr>
        <w:spacing w:before="200" w:after="0" w:line="240" w:lineRule="auto"/>
        <w:jc w:val="both"/>
        <w:rPr>
          <w:rFonts w:ascii="Times New Roman" w:hAnsi="Times New Roman"/>
          <w:sz w:val="28"/>
          <w:szCs w:val="28"/>
        </w:rPr>
      </w:pPr>
    </w:p>
    <w:p w:rsidR="00B346D9" w:rsidRDefault="00B346D9" w:rsidP="00B346D9">
      <w:pPr>
        <w:spacing w:before="200" w:after="0" w:line="240" w:lineRule="auto"/>
        <w:jc w:val="both"/>
        <w:rPr>
          <w:rFonts w:ascii="Times New Roman" w:hAnsi="Times New Roman"/>
          <w:sz w:val="28"/>
          <w:szCs w:val="28"/>
        </w:rPr>
      </w:pPr>
    </w:p>
    <w:p w:rsidR="00B346D9" w:rsidRDefault="00B346D9" w:rsidP="00B346D9">
      <w:pPr>
        <w:spacing w:before="200" w:after="0" w:line="240" w:lineRule="auto"/>
        <w:jc w:val="center"/>
        <w:rPr>
          <w:rFonts w:ascii="Times New Roman" w:hAnsi="Times New Roman"/>
          <w:sz w:val="28"/>
          <w:szCs w:val="28"/>
        </w:rPr>
      </w:pPr>
      <w:r>
        <w:rPr>
          <w:rFonts w:ascii="Times New Roman" w:hAnsi="Times New Roman"/>
          <w:sz w:val="28"/>
          <w:szCs w:val="28"/>
        </w:rPr>
        <w:t>Барнаул 2015</w:t>
      </w:r>
    </w:p>
    <w:p w:rsidR="00B346D9" w:rsidRDefault="00B346D9" w:rsidP="00B346D9"/>
    <w:p w:rsidR="00B346D9" w:rsidRDefault="00B346D9" w:rsidP="00B346D9">
      <w:bookmarkStart w:id="0" w:name="_GoBack"/>
      <w:bookmarkEnd w:id="0"/>
    </w:p>
    <w:p w:rsidR="00B346D9" w:rsidRPr="00B346D9" w:rsidRDefault="00B346D9" w:rsidP="00B346D9">
      <w:pPr>
        <w:widowControl w:val="0"/>
        <w:spacing w:after="0" w:line="360" w:lineRule="auto"/>
        <w:jc w:val="center"/>
        <w:rPr>
          <w:rFonts w:ascii="Times New Roman" w:hAnsi="Times New Roman"/>
          <w:sz w:val="28"/>
          <w:szCs w:val="28"/>
        </w:rPr>
      </w:pPr>
      <w:r w:rsidRPr="00B346D9">
        <w:rPr>
          <w:rFonts w:ascii="Times New Roman" w:hAnsi="Times New Roman"/>
          <w:sz w:val="28"/>
          <w:szCs w:val="28"/>
        </w:rPr>
        <w:lastRenderedPageBreak/>
        <w:t>СОДЕРЖАНИЕ</w:t>
      </w:r>
    </w:p>
    <w:p w:rsidR="00B346D9" w:rsidRPr="00B346D9" w:rsidRDefault="00B346D9" w:rsidP="00B346D9">
      <w:pPr>
        <w:widowControl w:val="0"/>
        <w:spacing w:after="0" w:line="360" w:lineRule="auto"/>
        <w:jc w:val="center"/>
        <w:rPr>
          <w:rFonts w:ascii="Times New Roman" w:hAnsi="Times New Roman"/>
          <w:sz w:val="28"/>
          <w:szCs w:val="28"/>
        </w:rPr>
      </w:pPr>
    </w:p>
    <w:p w:rsidR="00B346D9" w:rsidRPr="00B346D9" w:rsidRDefault="00B346D9" w:rsidP="00B346D9">
      <w:pPr>
        <w:widowControl w:val="0"/>
        <w:spacing w:after="0" w:line="360" w:lineRule="auto"/>
        <w:ind w:left="360"/>
        <w:contextualSpacing/>
        <w:jc w:val="both"/>
        <w:rPr>
          <w:rFonts w:ascii="Times New Roman" w:hAnsi="Times New Roman"/>
          <w:sz w:val="28"/>
          <w:szCs w:val="28"/>
        </w:rPr>
      </w:pPr>
      <w:r w:rsidRPr="00B346D9">
        <w:rPr>
          <w:rFonts w:ascii="Times New Roman" w:hAnsi="Times New Roman"/>
          <w:sz w:val="28"/>
          <w:szCs w:val="28"/>
        </w:rPr>
        <w:t>Введение………………………………………………………...………</w:t>
      </w:r>
      <w:proofErr w:type="gramStart"/>
      <w:r w:rsidRPr="00B346D9">
        <w:rPr>
          <w:rFonts w:ascii="Times New Roman" w:hAnsi="Times New Roman"/>
          <w:sz w:val="28"/>
          <w:szCs w:val="28"/>
        </w:rPr>
        <w:t>…….</w:t>
      </w:r>
      <w:proofErr w:type="gramEnd"/>
      <w:r w:rsidRPr="00B346D9">
        <w:rPr>
          <w:rFonts w:ascii="Times New Roman" w:hAnsi="Times New Roman"/>
          <w:sz w:val="28"/>
          <w:szCs w:val="28"/>
        </w:rPr>
        <w:t>. 3</w:t>
      </w:r>
    </w:p>
    <w:p w:rsidR="00B346D9" w:rsidRPr="00B346D9" w:rsidRDefault="00B346D9" w:rsidP="00B346D9">
      <w:pPr>
        <w:widowControl w:val="0"/>
        <w:spacing w:after="0" w:line="360" w:lineRule="auto"/>
        <w:ind w:left="360"/>
        <w:contextualSpacing/>
        <w:jc w:val="both"/>
        <w:rPr>
          <w:rFonts w:ascii="Times New Roman" w:hAnsi="Times New Roman"/>
          <w:sz w:val="28"/>
          <w:szCs w:val="28"/>
        </w:rPr>
      </w:pPr>
      <w:r w:rsidRPr="00B346D9">
        <w:rPr>
          <w:rFonts w:ascii="Times New Roman" w:hAnsi="Times New Roman"/>
          <w:sz w:val="28"/>
          <w:szCs w:val="28"/>
        </w:rPr>
        <w:t xml:space="preserve">Корпоративная Аллергия: симптом и методы </w:t>
      </w:r>
      <w:proofErr w:type="gramStart"/>
      <w:r w:rsidRPr="00B346D9">
        <w:rPr>
          <w:rFonts w:ascii="Times New Roman" w:hAnsi="Times New Roman"/>
          <w:sz w:val="28"/>
          <w:szCs w:val="28"/>
        </w:rPr>
        <w:t>лечения..</w:t>
      </w:r>
      <w:proofErr w:type="gramEnd"/>
      <w:r w:rsidRPr="00B346D9">
        <w:rPr>
          <w:rFonts w:ascii="Times New Roman" w:hAnsi="Times New Roman"/>
          <w:sz w:val="28"/>
          <w:szCs w:val="28"/>
        </w:rPr>
        <w:t>……………..……..4</w:t>
      </w:r>
    </w:p>
    <w:p w:rsidR="00B346D9" w:rsidRPr="00B346D9" w:rsidRDefault="00B346D9" w:rsidP="00B346D9">
      <w:pPr>
        <w:widowControl w:val="0"/>
        <w:spacing w:after="0" w:line="360" w:lineRule="auto"/>
        <w:ind w:firstLine="360"/>
        <w:jc w:val="both"/>
        <w:rPr>
          <w:rFonts w:ascii="Times New Roman" w:hAnsi="Times New Roman"/>
          <w:sz w:val="28"/>
          <w:szCs w:val="28"/>
        </w:rPr>
      </w:pPr>
      <w:r w:rsidRPr="00B346D9">
        <w:rPr>
          <w:rFonts w:ascii="Times New Roman" w:hAnsi="Times New Roman"/>
          <w:sz w:val="28"/>
          <w:szCs w:val="28"/>
        </w:rPr>
        <w:t>Список литературы……………………………………………………</w:t>
      </w:r>
      <w:proofErr w:type="gramStart"/>
      <w:r w:rsidRPr="00B346D9">
        <w:rPr>
          <w:rFonts w:ascii="Times New Roman" w:hAnsi="Times New Roman"/>
          <w:sz w:val="28"/>
          <w:szCs w:val="28"/>
        </w:rPr>
        <w:t>…….</w:t>
      </w:r>
      <w:proofErr w:type="gramEnd"/>
      <w:r w:rsidRPr="00B346D9">
        <w:rPr>
          <w:rFonts w:ascii="Times New Roman" w:hAnsi="Times New Roman"/>
          <w:sz w:val="28"/>
          <w:szCs w:val="28"/>
        </w:rPr>
        <w:t>.14</w:t>
      </w: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B346D9" w:rsidRPr="00B346D9" w:rsidRDefault="00B346D9" w:rsidP="00B346D9">
      <w:pPr>
        <w:widowControl w:val="0"/>
        <w:spacing w:after="0" w:line="360" w:lineRule="auto"/>
        <w:jc w:val="both"/>
        <w:rPr>
          <w:rFonts w:ascii="Times New Roman" w:hAnsi="Times New Roman"/>
          <w:sz w:val="28"/>
          <w:szCs w:val="28"/>
        </w:rPr>
      </w:pPr>
    </w:p>
    <w:p w:rsidR="00CC3126" w:rsidRDefault="00CC3126"/>
    <w:p w:rsidR="00B346D9" w:rsidRDefault="00B346D9"/>
    <w:p w:rsidR="00B346D9" w:rsidRDefault="00B346D9"/>
    <w:p w:rsidR="00B346D9" w:rsidRDefault="00B346D9"/>
    <w:p w:rsidR="00B346D9" w:rsidRPr="00B346D9" w:rsidRDefault="00B346D9" w:rsidP="00B346D9">
      <w:pPr>
        <w:spacing w:after="0" w:line="480" w:lineRule="auto"/>
        <w:ind w:firstLine="709"/>
        <w:jc w:val="both"/>
        <w:rPr>
          <w:rFonts w:ascii="Times New Roman" w:eastAsiaTheme="minorHAnsi" w:hAnsi="Times New Roman"/>
          <w:b/>
          <w:sz w:val="28"/>
        </w:rPr>
      </w:pPr>
      <w:r w:rsidRPr="00B346D9">
        <w:rPr>
          <w:rFonts w:ascii="Times New Roman" w:eastAsiaTheme="minorHAnsi" w:hAnsi="Times New Roman"/>
          <w:b/>
          <w:sz w:val="28"/>
        </w:rPr>
        <w:t>Введение</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«Аллергией называют приобретенную, специфически измененную способность организма к реакции, основанную на взаимодействии антигенов с антителами. Любая аллергическая реакция всегда имеет в своей основе проявления реактивности организма как единого целого являясь лишь местным выражением общего состояния аллергии» (Ю.И. Бородин, д.м.н., Справочник терапевта под редакцией Ф.И. Комарова).</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Интерпретации медицинских процессов, происходящих в живом организме человека всегда хорошо применимы для понимания ключевых стратегических бизнес - процессов в корпоративном бизнесе. В данной работе речь пойдет о корпоративной аллергии или отторжении бизнес структур при сделках слияния и поглощения.</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Целью реферата является изучение причин возникновения так называемой корпоративной аллергии, ее проявления и эффективных методов устранения подобных проблем на ранних этапах развития новой компании.</w:t>
      </w:r>
    </w:p>
    <w:p w:rsidR="00B346D9" w:rsidRPr="00B346D9" w:rsidRDefault="00B346D9" w:rsidP="00B346D9">
      <w:pPr>
        <w:spacing w:after="0" w:line="480" w:lineRule="auto"/>
        <w:ind w:firstLine="709"/>
        <w:jc w:val="both"/>
        <w:rPr>
          <w:rFonts w:ascii="Times New Roman" w:eastAsiaTheme="minorHAnsi" w:hAnsi="Times New Roman"/>
          <w:sz w:val="28"/>
        </w:rPr>
      </w:pPr>
    </w:p>
    <w:p w:rsidR="00B346D9" w:rsidRPr="00B346D9" w:rsidRDefault="00B346D9" w:rsidP="00B346D9">
      <w:pPr>
        <w:spacing w:after="0" w:line="480" w:lineRule="auto"/>
        <w:ind w:firstLine="709"/>
        <w:jc w:val="both"/>
        <w:rPr>
          <w:rFonts w:ascii="Times New Roman" w:eastAsiaTheme="minorHAnsi" w:hAnsi="Times New Roman"/>
          <w:sz w:val="28"/>
        </w:rPr>
      </w:pPr>
    </w:p>
    <w:p w:rsidR="00B346D9" w:rsidRPr="00B346D9" w:rsidRDefault="00B346D9" w:rsidP="00B346D9">
      <w:pPr>
        <w:spacing w:after="0" w:line="480" w:lineRule="auto"/>
        <w:ind w:firstLine="709"/>
        <w:jc w:val="both"/>
        <w:rPr>
          <w:rFonts w:ascii="Times New Roman" w:eastAsiaTheme="minorHAnsi" w:hAnsi="Times New Roman"/>
          <w:sz w:val="28"/>
        </w:rPr>
      </w:pPr>
    </w:p>
    <w:p w:rsidR="00B346D9" w:rsidRPr="00B346D9" w:rsidRDefault="00B346D9" w:rsidP="00B346D9">
      <w:pPr>
        <w:spacing w:after="0" w:line="480" w:lineRule="auto"/>
        <w:ind w:firstLine="709"/>
        <w:jc w:val="both"/>
        <w:rPr>
          <w:rFonts w:ascii="Times New Roman" w:eastAsiaTheme="minorHAnsi" w:hAnsi="Times New Roman"/>
          <w:sz w:val="28"/>
        </w:rPr>
      </w:pPr>
    </w:p>
    <w:p w:rsidR="00B346D9" w:rsidRPr="00B346D9" w:rsidRDefault="00B346D9" w:rsidP="00B346D9">
      <w:pPr>
        <w:spacing w:after="0" w:line="480" w:lineRule="auto"/>
        <w:ind w:firstLine="709"/>
        <w:jc w:val="both"/>
        <w:rPr>
          <w:rFonts w:ascii="Times New Roman" w:eastAsiaTheme="minorHAnsi" w:hAnsi="Times New Roman"/>
          <w:sz w:val="28"/>
        </w:rPr>
      </w:pPr>
    </w:p>
    <w:p w:rsidR="00B346D9" w:rsidRPr="00B346D9" w:rsidRDefault="00B346D9" w:rsidP="00B346D9">
      <w:pPr>
        <w:spacing w:after="0" w:line="480" w:lineRule="auto"/>
        <w:ind w:firstLine="709"/>
        <w:jc w:val="both"/>
        <w:rPr>
          <w:rFonts w:ascii="Times New Roman" w:eastAsiaTheme="minorHAnsi" w:hAnsi="Times New Roman"/>
          <w:sz w:val="28"/>
        </w:rPr>
      </w:pPr>
    </w:p>
    <w:p w:rsidR="00B346D9" w:rsidRPr="00B346D9" w:rsidRDefault="00B346D9" w:rsidP="00B346D9">
      <w:pPr>
        <w:spacing w:after="0" w:line="480" w:lineRule="auto"/>
        <w:ind w:firstLine="709"/>
        <w:jc w:val="both"/>
        <w:rPr>
          <w:rFonts w:ascii="Times New Roman" w:eastAsiaTheme="minorHAnsi" w:hAnsi="Times New Roman"/>
          <w:sz w:val="28"/>
        </w:rPr>
      </w:pPr>
    </w:p>
    <w:p w:rsidR="00B346D9" w:rsidRPr="00B346D9" w:rsidRDefault="00B346D9" w:rsidP="00B346D9">
      <w:pPr>
        <w:spacing w:after="0" w:line="480" w:lineRule="auto"/>
        <w:jc w:val="both"/>
        <w:rPr>
          <w:rFonts w:ascii="Times New Roman" w:eastAsiaTheme="minorHAnsi" w:hAnsi="Times New Roman"/>
          <w:b/>
          <w:bCs/>
          <w:sz w:val="28"/>
        </w:rPr>
      </w:pPr>
    </w:p>
    <w:p w:rsidR="00B346D9" w:rsidRPr="00B346D9" w:rsidRDefault="00B346D9" w:rsidP="00B346D9">
      <w:pPr>
        <w:spacing w:after="0" w:line="480" w:lineRule="auto"/>
        <w:ind w:firstLine="708"/>
        <w:jc w:val="both"/>
        <w:rPr>
          <w:rFonts w:ascii="Times New Roman" w:eastAsiaTheme="minorHAnsi" w:hAnsi="Times New Roman"/>
          <w:sz w:val="28"/>
        </w:rPr>
      </w:pPr>
      <w:r w:rsidRPr="00B346D9">
        <w:rPr>
          <w:rFonts w:ascii="Times New Roman" w:eastAsiaTheme="minorHAnsi" w:hAnsi="Times New Roman"/>
          <w:b/>
          <w:bCs/>
          <w:sz w:val="28"/>
        </w:rPr>
        <w:t>Корпоративная культура</w:t>
      </w:r>
    </w:p>
    <w:p w:rsidR="00B346D9" w:rsidRPr="00B346D9" w:rsidRDefault="00B346D9" w:rsidP="00B346D9">
      <w:pPr>
        <w:spacing w:after="0" w:line="480" w:lineRule="auto"/>
        <w:ind w:firstLine="708"/>
        <w:jc w:val="both"/>
        <w:rPr>
          <w:rFonts w:ascii="Times New Roman" w:eastAsiaTheme="minorHAnsi" w:hAnsi="Times New Roman"/>
          <w:sz w:val="28"/>
        </w:rPr>
      </w:pPr>
      <w:r w:rsidRPr="00B346D9">
        <w:rPr>
          <w:rFonts w:ascii="Times New Roman" w:eastAsiaTheme="minorHAnsi" w:hAnsi="Times New Roman"/>
          <w:sz w:val="28"/>
        </w:rPr>
        <w:t xml:space="preserve">Что же называется корпоративной культурой? У этого понятия нет строгого определения, поэтому каждый вкладывает в него индивидуальный смысл. Для одних - это прежде всего поведение и действия сотрудников компании. Для других - набор личных убеждений служащих. Таким образом, корпоративная культура </w:t>
      </w:r>
      <w:proofErr w:type="gramStart"/>
      <w:r w:rsidRPr="00B346D9">
        <w:rPr>
          <w:rFonts w:ascii="Times New Roman" w:eastAsiaTheme="minorHAnsi" w:hAnsi="Times New Roman"/>
          <w:sz w:val="28"/>
        </w:rPr>
        <w:t>в существует</w:t>
      </w:r>
      <w:proofErr w:type="gramEnd"/>
      <w:r w:rsidRPr="00B346D9">
        <w:rPr>
          <w:rFonts w:ascii="Times New Roman" w:eastAsiaTheme="minorHAnsi" w:hAnsi="Times New Roman"/>
          <w:sz w:val="28"/>
        </w:rPr>
        <w:t xml:space="preserve"> в трех проявлениях:</w:t>
      </w:r>
    </w:p>
    <w:p w:rsidR="00B346D9" w:rsidRPr="00B346D9" w:rsidRDefault="00B346D9" w:rsidP="00B346D9">
      <w:pPr>
        <w:numPr>
          <w:ilvl w:val="0"/>
          <w:numId w:val="1"/>
        </w:num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xml:space="preserve">Управленческий подход и методы управления. Руководство двух объединявшихся компаний - производителей оборудования, американской и европейской, по-разному отслеживало эффективность работы. В американской руководители на ежемесячных встречах сверяли поставленные цели и реальные показатели деятельности. В европейской генеральный директор обсуждал эти показатели, встречаясь с подчиненными один на один. В процессе интеграции эти процедуры были пересмотрены таким образом, чтобы соответствовать стандарту объединенной организации. Совершенно очевидно, что необходимо развивать методы управления, которые сплачивают руководителей и формируют эффективные системы управленческой информации. Обычно при слиянии приходится пересматривать процесс принятия решений и стратегического планирования, методы контроля </w:t>
      </w:r>
      <w:r w:rsidRPr="00B346D9">
        <w:rPr>
          <w:rFonts w:ascii="Times New Roman" w:eastAsiaTheme="minorHAnsi" w:hAnsi="Times New Roman"/>
          <w:sz w:val="28"/>
        </w:rPr>
        <w:lastRenderedPageBreak/>
        <w:t>за эффективностью, деятельность исполнительных комитетов и комитетов по связям с общественностью.</w:t>
      </w:r>
    </w:p>
    <w:p w:rsidR="00B346D9" w:rsidRPr="00B346D9" w:rsidRDefault="00B346D9" w:rsidP="00B346D9">
      <w:pPr>
        <w:numPr>
          <w:ilvl w:val="0"/>
          <w:numId w:val="1"/>
        </w:num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Кадровая политика. Не стоит забывать, что в разных компаниях по-разному принимаются решения о найме и увольнении, существуют разные процедуры оценки сотрудников, по-разному происходит их продвижение. Игнорирование этих различий может создать в компании конфликтную ситуацию.</w:t>
      </w:r>
    </w:p>
    <w:p w:rsidR="00B346D9" w:rsidRPr="00B346D9" w:rsidRDefault="00B346D9" w:rsidP="00B346D9">
      <w:pPr>
        <w:numPr>
          <w:ilvl w:val="0"/>
          <w:numId w:val="1"/>
        </w:num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xml:space="preserve">Корпоративные правила. Наиболее заметные проявления корпоративной культуры - корпоративные правила. Как показывает наш опыт, очень </w:t>
      </w:r>
      <w:proofErr w:type="gramStart"/>
      <w:r w:rsidRPr="00B346D9">
        <w:rPr>
          <w:rFonts w:ascii="Times New Roman" w:eastAsiaTheme="minorHAnsi" w:hAnsi="Times New Roman"/>
          <w:sz w:val="28"/>
        </w:rPr>
        <w:t>важно</w:t>
      </w:r>
      <w:proofErr w:type="gramEnd"/>
      <w:r w:rsidRPr="00B346D9">
        <w:rPr>
          <w:rFonts w:ascii="Times New Roman" w:eastAsiaTheme="minorHAnsi" w:hAnsi="Times New Roman"/>
          <w:sz w:val="28"/>
        </w:rPr>
        <w:t xml:space="preserve"> как можно скорее выявить все различия и сформулировать правила и принципы "Новой компании", так как конфликт культур оказывается важнейшей причиной неудач при слиянии компаний во всем мире.</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xml:space="preserve">Общепризнанно, что корпоративная культура имеет неоспоримое значение в ситуациях поглощения и слияния, когда двум разным компаниям вдруг приходится работать вместе и при этом делать это эффективно. Результаты многих исследований по вопросу интеграций корпоративных культур среди компаний-приобретателей подтвердили, что культура компаний играет ключевую роль, когда речь идет об экономической выгоде таких сделок, при этом почти три четверти опрошенных убеждены, что она имеет решающее значение для успеха всей сделки. [5, </w:t>
      </w:r>
      <w:r w:rsidRPr="00B346D9">
        <w:rPr>
          <w:rFonts w:ascii="Times New Roman" w:eastAsiaTheme="minorHAnsi" w:hAnsi="Times New Roman"/>
          <w:sz w:val="28"/>
          <w:lang w:val="en-US"/>
        </w:rPr>
        <w:t>c</w:t>
      </w:r>
      <w:r w:rsidRPr="00B346D9">
        <w:rPr>
          <w:rFonts w:ascii="Times New Roman" w:eastAsiaTheme="minorHAnsi" w:hAnsi="Times New Roman"/>
          <w:sz w:val="28"/>
        </w:rPr>
        <w:t>. 72]</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lastRenderedPageBreak/>
        <w:t>Часто партнеры, не уделяя должного внимания различиям в корпоративных культурах объединяющихся компаний, не могут по-настоящему объединить коллективы. Зачастую процесс интеграции затягивается на неопределенное время и компании теряют клиентов и лучших сотрудников; незаслуженно большое значение придается краткосрочным эффектам в ущерб долгосрочным целям.</w:t>
      </w:r>
    </w:p>
    <w:p w:rsidR="00B346D9" w:rsidRPr="00B346D9" w:rsidRDefault="00B346D9" w:rsidP="00B346D9">
      <w:pPr>
        <w:spacing w:after="0" w:line="480" w:lineRule="auto"/>
        <w:ind w:firstLine="708"/>
        <w:jc w:val="both"/>
        <w:rPr>
          <w:rFonts w:ascii="Times New Roman" w:eastAsiaTheme="minorHAnsi" w:hAnsi="Times New Roman"/>
          <w:sz w:val="28"/>
        </w:rPr>
      </w:pPr>
      <w:r w:rsidRPr="00B346D9">
        <w:rPr>
          <w:rFonts w:ascii="Times New Roman" w:eastAsiaTheme="minorHAnsi" w:hAnsi="Times New Roman"/>
          <w:sz w:val="28"/>
        </w:rPr>
        <w:t xml:space="preserve">Анализ 150 слияний, проведенный The </w:t>
      </w:r>
      <w:proofErr w:type="spellStart"/>
      <w:r w:rsidRPr="00B346D9">
        <w:rPr>
          <w:rFonts w:ascii="Times New Roman" w:eastAsiaTheme="minorHAnsi" w:hAnsi="Times New Roman"/>
          <w:sz w:val="28"/>
        </w:rPr>
        <w:t>Economist</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Intelligence</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Unit</w:t>
      </w:r>
      <w:proofErr w:type="spellEnd"/>
      <w:r w:rsidRPr="00B346D9">
        <w:rPr>
          <w:rFonts w:ascii="Times New Roman" w:eastAsiaTheme="minorHAnsi" w:hAnsi="Times New Roman"/>
          <w:sz w:val="28"/>
        </w:rPr>
        <w:t xml:space="preserve">, показал, что культурная ассимиляция - самая сложная проблема при объединении компаний. Поэтому формирование новой корпоративной культуры становится залогом успешной интеграции. </w:t>
      </w:r>
      <w:proofErr w:type="spellStart"/>
      <w:r w:rsidRPr="00B346D9">
        <w:rPr>
          <w:rFonts w:ascii="Times New Roman" w:eastAsiaTheme="minorHAnsi" w:hAnsi="Times New Roman"/>
          <w:sz w:val="28"/>
        </w:rPr>
        <w:t>Cisco</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Southwest</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Airlines</w:t>
      </w:r>
      <w:proofErr w:type="spellEnd"/>
      <w:r w:rsidRPr="00B346D9">
        <w:rPr>
          <w:rFonts w:ascii="Times New Roman" w:eastAsiaTheme="minorHAnsi" w:hAnsi="Times New Roman"/>
          <w:sz w:val="28"/>
        </w:rPr>
        <w:t xml:space="preserve"> и другие опытные в вопросах слияний и поглощений компании при анализе потенциальных сделок уделяли большое внимание сопоставимости корпоративных культур.</w:t>
      </w:r>
    </w:p>
    <w:p w:rsidR="00B346D9" w:rsidRPr="00B346D9" w:rsidRDefault="00B346D9" w:rsidP="00B346D9">
      <w:pPr>
        <w:spacing w:after="0" w:line="480" w:lineRule="auto"/>
        <w:ind w:firstLine="708"/>
        <w:jc w:val="both"/>
        <w:rPr>
          <w:rFonts w:ascii="Times New Roman" w:eastAsiaTheme="minorHAnsi" w:hAnsi="Times New Roman"/>
          <w:sz w:val="28"/>
        </w:rPr>
      </w:pPr>
      <w:r w:rsidRPr="00B346D9">
        <w:rPr>
          <w:rFonts w:ascii="Times New Roman" w:eastAsiaTheme="minorHAnsi" w:hAnsi="Times New Roman"/>
          <w:sz w:val="28"/>
        </w:rPr>
        <w:t xml:space="preserve">Так, в процессе слияния немецкой </w:t>
      </w:r>
      <w:proofErr w:type="spellStart"/>
      <w:r w:rsidRPr="00B346D9">
        <w:rPr>
          <w:rFonts w:ascii="Times New Roman" w:eastAsiaTheme="minorHAnsi" w:hAnsi="Times New Roman"/>
          <w:sz w:val="28"/>
        </w:rPr>
        <w:t>Daimler</w:t>
      </w:r>
      <w:proofErr w:type="spellEnd"/>
      <w:r w:rsidRPr="00B346D9">
        <w:rPr>
          <w:rFonts w:ascii="Times New Roman" w:eastAsiaTheme="minorHAnsi" w:hAnsi="Times New Roman"/>
          <w:sz w:val="28"/>
        </w:rPr>
        <w:t xml:space="preserve"> и американской </w:t>
      </w:r>
      <w:proofErr w:type="spellStart"/>
      <w:r w:rsidRPr="00B346D9">
        <w:rPr>
          <w:rFonts w:ascii="Times New Roman" w:eastAsiaTheme="minorHAnsi" w:hAnsi="Times New Roman"/>
          <w:sz w:val="28"/>
        </w:rPr>
        <w:t>Chrysler</w:t>
      </w:r>
      <w:proofErr w:type="spellEnd"/>
      <w:r w:rsidRPr="00B346D9">
        <w:rPr>
          <w:rFonts w:ascii="Times New Roman" w:eastAsiaTheme="minorHAnsi" w:hAnsi="Times New Roman"/>
          <w:sz w:val="28"/>
        </w:rPr>
        <w:t xml:space="preserve"> внезапно появились проблемы, которых никто не ожидал или не считал важными. Например, как вести измерения - в сантиметрах или в дюймах? Разрешить ли работникам курить и пить пиво за обедом, как привыкли немцы, или должен превалировать пуританский американский подход? Каким должен быть официальный язык компании? Каков распорядок дня в компании? Какова политика компании в области расходов и командировок?</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xml:space="preserve">Следует отметить интересный факт: именно по причине своей значимой роли культура часто лежит в основе неудач таких сделок, </w:t>
      </w:r>
      <w:r w:rsidRPr="00B346D9">
        <w:rPr>
          <w:rFonts w:ascii="Times New Roman" w:eastAsiaTheme="minorHAnsi" w:hAnsi="Times New Roman"/>
          <w:sz w:val="28"/>
        </w:rPr>
        <w:lastRenderedPageBreak/>
        <w:t xml:space="preserve">поскольку лишь очень немногие люди, ответственные за их проведение, знают наперед, что же на самом деле означает понятие «корпоративная культура» и каким образом решать этот вопрос.  В первую очередь именно размытость понятия «культура» мешает работать с ней. Наиболее осязаемый и практический подход, который удалось найти компании </w:t>
      </w:r>
      <w:proofErr w:type="spellStart"/>
      <w:r w:rsidRPr="00B346D9">
        <w:rPr>
          <w:rFonts w:ascii="Times New Roman" w:eastAsiaTheme="minorHAnsi" w:hAnsi="Times New Roman"/>
          <w:sz w:val="28"/>
        </w:rPr>
        <w:t>Mercer</w:t>
      </w:r>
      <w:proofErr w:type="spellEnd"/>
      <w:r w:rsidRPr="00B346D9">
        <w:rPr>
          <w:rFonts w:ascii="Times New Roman" w:eastAsiaTheme="minorHAnsi" w:hAnsi="Times New Roman"/>
          <w:sz w:val="28"/>
        </w:rPr>
        <w:t>, заключается в том, чтобы определять культуру с точки зрения моделей поведения. То есть рассматривать культуру как соединение индивидуальных стилей работы, которые определяют, как решаются вопросы в данной компании.</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Применение такого подхода позволяет сделать два важных вывода. Во-первых, корпоративная культура связана с конечными результатами деятельности. Во-вторых, соединение индивидуальных моделей поведения, или точнее, модель поведения любого сотрудника компании, — это ответ на конкретные побудительные мотивы.</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xml:space="preserve">Суть большинства сделок состоит в том, что две компании объединяются в одну, и это должно произойти таким образом, чтобы получившееся целое было больше суммы его частей. Но ведь компании — это не что иное, как соединение отдельных личностей, поведение которых обусловлено конкретными мотивами: прошлый опыт, ценности, организационные системы и нормы, ролевые модели и взаимоотношения с коллегами, - все, что существовало в их родной компании до слияния. </w:t>
      </w:r>
      <w:r w:rsidRPr="00B346D9">
        <w:rPr>
          <w:rFonts w:ascii="Times New Roman" w:eastAsiaTheme="minorHAnsi" w:hAnsi="Times New Roman"/>
          <w:sz w:val="28"/>
        </w:rPr>
        <w:lastRenderedPageBreak/>
        <w:t>Поэтому надеяться на мгновенные перемены, не уделив этому вопросу должного времени и внимания, по меньшей мере, наивно.</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Итак, мировой корпоративный бизнес идет по пути M&amp;A. Сделки совершаются, структуры объединяются, компании ищут синергии, дополнительные точки роста. Однако многие сделки по факту остаются лишь на бумаге. Компании не объединяются, не сливаются в единую корпоративную структуру, демонстрируя отторжение. Эффект смешения воды и сливочного масла, вода остается водой, а масло – маслом.</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Попробуем выяснить, в чем же могут быть причины и симптомы корпоративной аллергии.</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1.</w:t>
      </w:r>
      <w:r w:rsidRPr="00B346D9">
        <w:rPr>
          <w:rFonts w:ascii="Times New Roman" w:eastAsiaTheme="minorHAnsi" w:hAnsi="Times New Roman"/>
          <w:sz w:val="28"/>
        </w:rPr>
        <w:tab/>
        <w:t xml:space="preserve">Бизнесы не совместимы априори. Специализации бизнес структур </w:t>
      </w:r>
      <w:proofErr w:type="spellStart"/>
      <w:r w:rsidRPr="00B346D9">
        <w:rPr>
          <w:rFonts w:ascii="Times New Roman" w:eastAsiaTheme="minorHAnsi" w:hAnsi="Times New Roman"/>
          <w:sz w:val="28"/>
        </w:rPr>
        <w:t>нерелевантны</w:t>
      </w:r>
      <w:proofErr w:type="spellEnd"/>
      <w:r w:rsidRPr="00B346D9">
        <w:rPr>
          <w:rFonts w:ascii="Times New Roman" w:eastAsiaTheme="minorHAnsi" w:hAnsi="Times New Roman"/>
          <w:sz w:val="28"/>
        </w:rPr>
        <w:t xml:space="preserve"> друг к другу и интеграциям не подлежат. Попытка превратить горизонтальную диверсификацию в вертикальную интеграцию часто заканчивается негативным результатом.</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2.</w:t>
      </w:r>
      <w:r w:rsidRPr="00B346D9">
        <w:rPr>
          <w:rFonts w:ascii="Times New Roman" w:eastAsiaTheme="minorHAnsi" w:hAnsi="Times New Roman"/>
          <w:sz w:val="28"/>
        </w:rPr>
        <w:tab/>
        <w:t>Размывание фокуса объединенной компании. Этот тезис подразумевает кратное возрастание продуктов в объединенном портфеле, производственных программ. При этом высшим менеджментом не выставляется приоритет в реализации и производстве продукции. Система становится сложной и не управляемой.</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3.</w:t>
      </w:r>
      <w:r w:rsidRPr="00B346D9">
        <w:rPr>
          <w:rFonts w:ascii="Times New Roman" w:eastAsiaTheme="minorHAnsi" w:hAnsi="Times New Roman"/>
          <w:sz w:val="28"/>
        </w:rPr>
        <w:tab/>
        <w:t>Сложность бизнес-процессов и технологий к восприятию бизнес-структур.</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lastRenderedPageBreak/>
        <w:t>4.</w:t>
      </w:r>
      <w:r w:rsidRPr="00B346D9">
        <w:rPr>
          <w:rFonts w:ascii="Times New Roman" w:eastAsiaTheme="minorHAnsi" w:hAnsi="Times New Roman"/>
          <w:sz w:val="28"/>
        </w:rPr>
        <w:tab/>
        <w:t>Разнонаправленное отношение к слиянию менеджмента 2-х компаний, участвующих в сделке. На рис. 1 показаны показатели бизнес - настроя к сделке участников корпоративной структуры управления (высшего менеджмента компании А, компании В, менеджмента компании А, компании В). Обращает на себя внимание тот факт, что даже при позитивном настрое высшего менеджмента к сделке, средний и низший уровни управления, имея негативное отношение к слиянию, саботируют работу и способствуют срыву программы объединения бизнес структур. И наоборот, негативное отношение топ менеджмента, тормозящее принятие решений при полном позитивном отношении менеджмента низших звеньев приводят к тому же результату. Негативный фон – может быть особенностью страха людей к новому. В этой части очень важно понимать кто есть объект, а кто – субъект поглощения. Очень часто поглотитель стремиться избавиться от персонала поглощаемой компании, тем самым ставя под угрозу карьерные ожидания сотрудников последней.</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5.</w:t>
      </w:r>
      <w:r w:rsidRPr="00B346D9">
        <w:rPr>
          <w:rFonts w:ascii="Times New Roman" w:eastAsiaTheme="minorHAnsi" w:hAnsi="Times New Roman"/>
          <w:sz w:val="28"/>
        </w:rPr>
        <w:tab/>
        <w:t xml:space="preserve">Культурная непереносимость, отторжение корпоративных культур – </w:t>
      </w:r>
      <w:proofErr w:type="spellStart"/>
      <w:r w:rsidRPr="00B346D9">
        <w:rPr>
          <w:rFonts w:ascii="Times New Roman" w:eastAsiaTheme="minorHAnsi" w:hAnsi="Times New Roman"/>
          <w:sz w:val="28"/>
        </w:rPr>
        <w:t>идиосинкрозия</w:t>
      </w:r>
      <w:proofErr w:type="spellEnd"/>
      <w:r w:rsidRPr="00B346D9">
        <w:rPr>
          <w:rFonts w:ascii="Times New Roman" w:eastAsiaTheme="minorHAnsi" w:hAnsi="Times New Roman"/>
          <w:sz w:val="28"/>
        </w:rPr>
        <w:t>. Это связано со столкновением разного стиля менеджмента, ценностей корпоративных культур и человека.</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lastRenderedPageBreak/>
        <w:t xml:space="preserve"> </w:t>
      </w:r>
      <w:r w:rsidRPr="00B346D9">
        <w:rPr>
          <w:rFonts w:ascii="Times New Roman" w:eastAsiaTheme="minorHAnsi" w:hAnsi="Times New Roman"/>
          <w:noProof/>
          <w:sz w:val="28"/>
          <w:lang w:eastAsia="ru-RU"/>
        </w:rPr>
        <w:drawing>
          <wp:inline distT="0" distB="0" distL="0" distR="0" wp14:anchorId="63C559E3" wp14:editId="251639E6">
            <wp:extent cx="4762500" cy="3419475"/>
            <wp:effectExtent l="0" t="0" r="0" b="9525"/>
            <wp:docPr id="1" name="Рисунок 1" descr="C:\Users\Слава\Downloads\intolerance-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лава\Downloads\intolerance-0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3419475"/>
                    </a:xfrm>
                    <a:prstGeom prst="rect">
                      <a:avLst/>
                    </a:prstGeom>
                    <a:noFill/>
                    <a:ln>
                      <a:noFill/>
                    </a:ln>
                  </pic:spPr>
                </pic:pic>
              </a:graphicData>
            </a:graphic>
          </wp:inline>
        </w:drawing>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Рис.1                                                                                                          [1]</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Симптомы корпоративной аллергии, которая может поражать всю компанию или ее часть, функциональную зону являются общими для всех компаний. Это сокращение выручки и рост операционных затрат. В итоге «болезнь» приводит к тому, что капитализация, оборот, показатели прибыльности объединенной структуры меньше, чем у поглотителя до совершения сделки слияния и поглощения.</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xml:space="preserve">Ярким примером на практике проявления корпоративной аллергии является сделка по поглощению американской компанией AOL прогрессирующего сервиса </w:t>
      </w:r>
      <w:proofErr w:type="spellStart"/>
      <w:r w:rsidRPr="00B346D9">
        <w:rPr>
          <w:rFonts w:ascii="Times New Roman" w:eastAsiaTheme="minorHAnsi" w:hAnsi="Times New Roman"/>
          <w:sz w:val="28"/>
        </w:rPr>
        <w:t>Bebo</w:t>
      </w:r>
      <w:proofErr w:type="spellEnd"/>
      <w:r w:rsidRPr="00B346D9">
        <w:rPr>
          <w:rFonts w:ascii="Times New Roman" w:eastAsiaTheme="minorHAnsi" w:hAnsi="Times New Roman"/>
          <w:sz w:val="28"/>
        </w:rPr>
        <w:t xml:space="preserve">. В 2008 году AOL заплатила за </w:t>
      </w:r>
      <w:proofErr w:type="spellStart"/>
      <w:r w:rsidRPr="00B346D9">
        <w:rPr>
          <w:rFonts w:ascii="Times New Roman" w:eastAsiaTheme="minorHAnsi" w:hAnsi="Times New Roman"/>
          <w:sz w:val="28"/>
        </w:rPr>
        <w:t>Bebo</w:t>
      </w:r>
      <w:proofErr w:type="spellEnd"/>
      <w:r w:rsidRPr="00B346D9">
        <w:rPr>
          <w:rFonts w:ascii="Times New Roman" w:eastAsiaTheme="minorHAnsi" w:hAnsi="Times New Roman"/>
          <w:sz w:val="28"/>
        </w:rPr>
        <w:t xml:space="preserve"> 850 млн. долларов, однако в 2010 году продала за10 млн. долларов. Сделка оказалась провальной по причине неспособности поглотителя успешно интегрировать поглощаемую структуру, для успешного развития </w:t>
      </w:r>
      <w:r w:rsidRPr="00B346D9">
        <w:rPr>
          <w:rFonts w:ascii="Times New Roman" w:eastAsiaTheme="minorHAnsi" w:hAnsi="Times New Roman"/>
          <w:sz w:val="28"/>
        </w:rPr>
        <w:lastRenderedPageBreak/>
        <w:t xml:space="preserve">собственного ресурса социальной сети и конкуренции с развивающейся сетью </w:t>
      </w:r>
      <w:proofErr w:type="spellStart"/>
      <w:r w:rsidRPr="00B346D9">
        <w:rPr>
          <w:rFonts w:ascii="Times New Roman" w:eastAsiaTheme="minorHAnsi" w:hAnsi="Times New Roman"/>
          <w:sz w:val="28"/>
        </w:rPr>
        <w:t>Facebook</w:t>
      </w:r>
      <w:proofErr w:type="spellEnd"/>
      <w:r w:rsidRPr="00B346D9">
        <w:rPr>
          <w:rFonts w:ascii="Times New Roman" w:eastAsiaTheme="minorHAnsi" w:hAnsi="Times New Roman"/>
          <w:sz w:val="28"/>
        </w:rPr>
        <w:t>.</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Каковы же могут быть рекомендации во избежание корпоративной аллергии</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1.</w:t>
      </w:r>
      <w:r w:rsidRPr="00B346D9">
        <w:rPr>
          <w:rFonts w:ascii="Times New Roman" w:eastAsiaTheme="minorHAnsi" w:hAnsi="Times New Roman"/>
          <w:sz w:val="28"/>
        </w:rPr>
        <w:tab/>
        <w:t>Избегать единовременной покупки 100% доли акционерного капитала интересующего актива. Путь к контролю за компанией должен начинаться с постепенным наращиванием доли владения, и при этом, обеспечивать поэтапную интеграцию менеджмента в объединяемые бизнес-процессы. Не редки сегодня практика компаний, которые до сделок слияний и поглощений заключают так называемые «сделки взаимного обмена акциями» (</w:t>
      </w:r>
      <w:proofErr w:type="spellStart"/>
      <w:r w:rsidRPr="00B346D9">
        <w:rPr>
          <w:rFonts w:ascii="Times New Roman" w:eastAsiaTheme="minorHAnsi" w:hAnsi="Times New Roman"/>
          <w:sz w:val="28"/>
        </w:rPr>
        <w:t>mutual</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stock</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owning</w:t>
      </w:r>
      <w:proofErr w:type="spellEnd"/>
      <w:r w:rsidRPr="00B346D9">
        <w:rPr>
          <w:rFonts w:ascii="Times New Roman" w:eastAsiaTheme="minorHAnsi" w:hAnsi="Times New Roman"/>
          <w:sz w:val="28"/>
        </w:rPr>
        <w:t>), это есть своего рода «испытательный срок».</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2.</w:t>
      </w:r>
      <w:r w:rsidRPr="00B346D9">
        <w:rPr>
          <w:rFonts w:ascii="Times New Roman" w:eastAsiaTheme="minorHAnsi" w:hAnsi="Times New Roman"/>
          <w:sz w:val="28"/>
        </w:rPr>
        <w:tab/>
        <w:t xml:space="preserve">Сделку слияния и поглощения в случаях с повышенным риском корпоративной аллергии заменить на стратегический альянс, или объединение без объединения юридической (правовой) формы, такие примеры успешно существуют на рынке ТНК – ВР, Данон – </w:t>
      </w:r>
      <w:proofErr w:type="spellStart"/>
      <w:r w:rsidRPr="00B346D9">
        <w:rPr>
          <w:rFonts w:ascii="Times New Roman" w:eastAsiaTheme="minorHAnsi" w:hAnsi="Times New Roman"/>
          <w:sz w:val="28"/>
        </w:rPr>
        <w:t>Юнимилк</w:t>
      </w:r>
      <w:proofErr w:type="spellEnd"/>
      <w:r w:rsidRPr="00B346D9">
        <w:rPr>
          <w:rFonts w:ascii="Times New Roman" w:eastAsiaTheme="minorHAnsi" w:hAnsi="Times New Roman"/>
          <w:sz w:val="28"/>
        </w:rPr>
        <w:t>. Когда компании в международном масштабе остаются независимыми, но на конкретных рынках создают компании с паритетной формой владения.</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3.</w:t>
      </w:r>
      <w:r w:rsidRPr="00B346D9">
        <w:rPr>
          <w:rFonts w:ascii="Times New Roman" w:eastAsiaTheme="minorHAnsi" w:hAnsi="Times New Roman"/>
          <w:sz w:val="28"/>
        </w:rPr>
        <w:tab/>
        <w:t>Аннигиляция. При совершении сделок слияния и поглощения максимальным образом сохранить независимость бизнес структур через разделение их по формам специализаций, каждая из которых продолжает свою независимую капитализацию и может выступить впоследствии обособленной структурой субъекта/объекта M&amp;A.</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lastRenderedPageBreak/>
        <w:t>4.</w:t>
      </w:r>
      <w:r w:rsidRPr="00B346D9">
        <w:rPr>
          <w:rFonts w:ascii="Times New Roman" w:eastAsiaTheme="minorHAnsi" w:hAnsi="Times New Roman"/>
          <w:sz w:val="28"/>
        </w:rPr>
        <w:tab/>
        <w:t xml:space="preserve">Применение практики различных методик (тренинги, </w:t>
      </w:r>
      <w:proofErr w:type="spellStart"/>
      <w:r w:rsidRPr="00B346D9">
        <w:rPr>
          <w:rFonts w:ascii="Times New Roman" w:eastAsiaTheme="minorHAnsi" w:hAnsi="Times New Roman"/>
          <w:sz w:val="28"/>
        </w:rPr>
        <w:t>team</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buildings</w:t>
      </w:r>
      <w:proofErr w:type="spellEnd"/>
      <w:r w:rsidRPr="00B346D9">
        <w:rPr>
          <w:rFonts w:ascii="Times New Roman" w:eastAsiaTheme="minorHAnsi" w:hAnsi="Times New Roman"/>
          <w:sz w:val="28"/>
        </w:rPr>
        <w:t xml:space="preserve">) адаптации персонала к новой, объединенной компании. Здесь необходимо исключить у людей восприятие сделки поглощения как «сильные поглощают слабых», и поглотитель и поглощаемая структура должны в равной степени предстать перед объединенной структурой, а сотрудники проходить оценку по единым нормам и правилам. Очень часто рабочие места в условиях операционной синергии занимаются по принципу кто кого поглотил, а не по принципу профессиональной пригодности. Сделки M&amp;A должны стать профессиональной оценкой не только для </w:t>
      </w:r>
      <w:proofErr w:type="gramStart"/>
      <w:r w:rsidRPr="00B346D9">
        <w:rPr>
          <w:rFonts w:ascii="Times New Roman" w:eastAsiaTheme="minorHAnsi" w:hAnsi="Times New Roman"/>
          <w:sz w:val="28"/>
        </w:rPr>
        <w:t>тех</w:t>
      </w:r>
      <w:proofErr w:type="gramEnd"/>
      <w:r w:rsidRPr="00B346D9">
        <w:rPr>
          <w:rFonts w:ascii="Times New Roman" w:eastAsiaTheme="minorHAnsi" w:hAnsi="Times New Roman"/>
          <w:sz w:val="28"/>
        </w:rPr>
        <w:t xml:space="preserve"> кого поглощают, но и для тех кто поглощает, это обеспечит справедливую конкуренцию сотрудников за сокращенное, отграниченное количество рабочих мест.</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5.</w:t>
      </w:r>
      <w:r w:rsidRPr="00B346D9">
        <w:rPr>
          <w:rFonts w:ascii="Times New Roman" w:eastAsiaTheme="minorHAnsi" w:hAnsi="Times New Roman"/>
          <w:sz w:val="28"/>
        </w:rPr>
        <w:tab/>
        <w:t xml:space="preserve">Выработка новой корпоративной культуры. Глубокое заблуждение, что при сделках слияния и поглощения корпоративная культура компаний не меняется. Предложу идею </w:t>
      </w:r>
      <w:proofErr w:type="gramStart"/>
      <w:r w:rsidRPr="00B346D9">
        <w:rPr>
          <w:rFonts w:ascii="Times New Roman" w:eastAsiaTheme="minorHAnsi" w:hAnsi="Times New Roman"/>
          <w:sz w:val="28"/>
        </w:rPr>
        <w:t>не подчинения</w:t>
      </w:r>
      <w:proofErr w:type="gramEnd"/>
      <w:r w:rsidRPr="00B346D9">
        <w:rPr>
          <w:rFonts w:ascii="Times New Roman" w:eastAsiaTheme="minorHAnsi" w:hAnsi="Times New Roman"/>
          <w:sz w:val="28"/>
        </w:rPr>
        <w:t xml:space="preserve"> или адаптации к существующей культуре, выработку новой, основанной на успешных факторах, ценностях уже 2-х компаний, а не одной. [1]</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Для того чтобы культурная интеграция прошла успешно, необходимо позаботиться о следующем:</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Четко определить желаемые результаты; они должны быть понятны каждому.</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lastRenderedPageBreak/>
        <w:t>- Изучить и понять стереотипы поведения в каждой компании, для того чтобы уже на ранней стадии выявить возможные несоответствия и принять решение о способе их устранения.</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Проанализировать и создать рычаги воздействия (мотивы) для формирования желаемой модели поведения сотрудников в новой компании, и выстроить их таким образом, чтобы закрепить желаемые модели поведения.</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Составить и реализовать эффективный план управления изменениями, предусмотрев соответствующие механизмы контроля и обратной связи, для того чтобы обеспечить успех задуманного и своевременно вносить в план необходимые поправки. [2, с. 153]</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В самом начале пути объединения компаний не многим известно, как поступить наиболее правильно, но тем не менее начать процесс можно. Анализ корпоративной культуры на начальных этапах процесса может очень многое выявить. Одним из возможных инструментов такого анализа является аудит корпоративной культуры с точки зрения высшего руководства. Он нацелен на небольшую группу людей, осуществляющих раннее планирование сделки, и помогает понять корпоративные культуры компаний и оценить, насколько легко или трудно будет их объединить.</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 xml:space="preserve">В ходе анализа делается упор на реальные параметры поведения. Он проводится в форме интервью и/или анкетирования ведущих руководителей с каждой стороны и выявляет их предпочтения в таких аспектах, как </w:t>
      </w:r>
      <w:r w:rsidRPr="00B346D9">
        <w:rPr>
          <w:rFonts w:ascii="Times New Roman" w:eastAsiaTheme="minorHAnsi" w:hAnsi="Times New Roman"/>
          <w:sz w:val="28"/>
        </w:rPr>
        <w:lastRenderedPageBreak/>
        <w:t>индивидуальные или командные достижения, процессы или результаты, склонность к риску или консерватизм.</w:t>
      </w:r>
    </w:p>
    <w:p w:rsidR="00B346D9" w:rsidRPr="00B346D9" w:rsidRDefault="00B346D9" w:rsidP="00B346D9">
      <w:pPr>
        <w:spacing w:after="0" w:line="480" w:lineRule="auto"/>
        <w:ind w:firstLine="709"/>
        <w:jc w:val="both"/>
        <w:rPr>
          <w:rFonts w:ascii="Times New Roman" w:eastAsiaTheme="minorHAnsi" w:hAnsi="Times New Roman"/>
          <w:sz w:val="28"/>
        </w:rPr>
      </w:pPr>
      <w:r w:rsidRPr="00B346D9">
        <w:rPr>
          <w:rFonts w:ascii="Times New Roman" w:eastAsiaTheme="minorHAnsi" w:hAnsi="Times New Roman"/>
          <w:sz w:val="28"/>
        </w:rPr>
        <w:t>Очевидно, что, когда учитываются культурные различия и принимаются систематические меры по их сглаживанию, у компаний появляется гораздо больше шансов достигнуть желаемых результатов сделки и приумножить свою экономическую выгоду, что изначально и являлось целью объединения.</w:t>
      </w:r>
    </w:p>
    <w:p w:rsidR="00B346D9" w:rsidRPr="00B346D9" w:rsidRDefault="00B346D9" w:rsidP="00B346D9">
      <w:pPr>
        <w:spacing w:after="0" w:line="480" w:lineRule="auto"/>
        <w:jc w:val="both"/>
        <w:rPr>
          <w:rFonts w:ascii="Times New Roman" w:eastAsiaTheme="minorHAnsi" w:hAnsi="Times New Roman"/>
          <w:sz w:val="28"/>
        </w:rPr>
      </w:pPr>
    </w:p>
    <w:p w:rsidR="00B346D9" w:rsidRPr="00B346D9" w:rsidRDefault="00B346D9" w:rsidP="00B346D9">
      <w:pPr>
        <w:spacing w:after="0" w:line="480" w:lineRule="auto"/>
        <w:ind w:firstLine="708"/>
        <w:jc w:val="both"/>
        <w:rPr>
          <w:rFonts w:ascii="Times New Roman" w:eastAsiaTheme="minorHAnsi" w:hAnsi="Times New Roman"/>
          <w:b/>
          <w:sz w:val="28"/>
        </w:rPr>
      </w:pPr>
    </w:p>
    <w:p w:rsidR="00B346D9" w:rsidRPr="00B346D9" w:rsidRDefault="00B346D9" w:rsidP="00B346D9">
      <w:pPr>
        <w:spacing w:after="0" w:line="480" w:lineRule="auto"/>
        <w:ind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p>
    <w:p w:rsidR="00B346D9" w:rsidRPr="00B346D9" w:rsidRDefault="00B346D9" w:rsidP="00B346D9">
      <w:pPr>
        <w:spacing w:after="0" w:line="480" w:lineRule="auto"/>
        <w:ind w:left="361" w:firstLine="708"/>
        <w:jc w:val="both"/>
        <w:rPr>
          <w:rFonts w:ascii="Times New Roman" w:eastAsiaTheme="minorHAnsi" w:hAnsi="Times New Roman"/>
          <w:b/>
          <w:sz w:val="28"/>
        </w:rPr>
      </w:pPr>
      <w:r w:rsidRPr="00B346D9">
        <w:rPr>
          <w:rFonts w:ascii="Times New Roman" w:eastAsiaTheme="minorHAnsi" w:hAnsi="Times New Roman"/>
          <w:b/>
          <w:sz w:val="28"/>
        </w:rPr>
        <w:t>Список литературы</w:t>
      </w:r>
    </w:p>
    <w:p w:rsidR="00B346D9" w:rsidRPr="00B346D9" w:rsidRDefault="00B346D9" w:rsidP="00B346D9">
      <w:pPr>
        <w:numPr>
          <w:ilvl w:val="0"/>
          <w:numId w:val="2"/>
        </w:numPr>
        <w:spacing w:after="0" w:line="480" w:lineRule="auto"/>
        <w:contextualSpacing/>
        <w:jc w:val="both"/>
        <w:rPr>
          <w:rFonts w:ascii="Times New Roman" w:eastAsiaTheme="minorHAnsi" w:hAnsi="Times New Roman"/>
          <w:sz w:val="28"/>
        </w:rPr>
      </w:pPr>
      <w:r w:rsidRPr="00B346D9">
        <w:rPr>
          <w:rFonts w:ascii="Times New Roman" w:eastAsiaTheme="minorHAnsi" w:hAnsi="Times New Roman"/>
          <w:sz w:val="28"/>
        </w:rPr>
        <w:t xml:space="preserve">Корпоративная аллергия. Симптомы и методы лечения; </w:t>
      </w:r>
      <w:hyperlink r:id="rId8" w:history="1">
        <w:r w:rsidRPr="00B346D9">
          <w:rPr>
            <w:rFonts w:ascii="Times New Roman" w:eastAsiaTheme="minorHAnsi" w:hAnsi="Times New Roman"/>
            <w:color w:val="0000FF" w:themeColor="hyperlink"/>
            <w:sz w:val="28"/>
            <w:u w:val="single"/>
          </w:rPr>
          <w:t>http://www.cfin.ru/investor/m_and_a/intolerance.shtml</w:t>
        </w:r>
      </w:hyperlink>
      <w:r w:rsidRPr="00B346D9">
        <w:rPr>
          <w:rFonts w:ascii="Times New Roman" w:eastAsiaTheme="minorHAnsi" w:hAnsi="Times New Roman"/>
          <w:sz w:val="28"/>
        </w:rPr>
        <w:t xml:space="preserve"> [Электронный ресурс], дата обращения – 13.04.2015 г.</w:t>
      </w:r>
    </w:p>
    <w:p w:rsidR="00B346D9" w:rsidRPr="00B346D9" w:rsidRDefault="00B346D9" w:rsidP="00B346D9">
      <w:pPr>
        <w:numPr>
          <w:ilvl w:val="0"/>
          <w:numId w:val="2"/>
        </w:numPr>
        <w:spacing w:after="0" w:line="480" w:lineRule="auto"/>
        <w:contextualSpacing/>
        <w:jc w:val="both"/>
        <w:rPr>
          <w:rFonts w:ascii="Times New Roman" w:eastAsiaTheme="minorHAnsi" w:hAnsi="Times New Roman"/>
          <w:sz w:val="28"/>
        </w:rPr>
      </w:pPr>
      <w:r w:rsidRPr="00B346D9">
        <w:rPr>
          <w:rFonts w:ascii="Times New Roman" w:eastAsiaTheme="minorHAnsi" w:hAnsi="Times New Roman"/>
          <w:sz w:val="28"/>
        </w:rPr>
        <w:lastRenderedPageBreak/>
        <w:t xml:space="preserve">Корпоративная культура: учебник / Т.Н. </w:t>
      </w:r>
      <w:proofErr w:type="spellStart"/>
      <w:r w:rsidRPr="00B346D9">
        <w:rPr>
          <w:rFonts w:ascii="Times New Roman" w:eastAsiaTheme="minorHAnsi" w:hAnsi="Times New Roman"/>
          <w:sz w:val="28"/>
        </w:rPr>
        <w:t>Персикова</w:t>
      </w:r>
      <w:proofErr w:type="spellEnd"/>
      <w:r w:rsidRPr="00B346D9">
        <w:rPr>
          <w:rFonts w:ascii="Times New Roman" w:eastAsiaTheme="minorHAnsi" w:hAnsi="Times New Roman"/>
          <w:sz w:val="28"/>
        </w:rPr>
        <w:t>. – М.: Логос, 2011. – 288 с. – (Новая университетская библиотека)</w:t>
      </w:r>
    </w:p>
    <w:p w:rsidR="00B346D9" w:rsidRPr="00B346D9" w:rsidRDefault="00B346D9" w:rsidP="00B346D9">
      <w:pPr>
        <w:numPr>
          <w:ilvl w:val="0"/>
          <w:numId w:val="2"/>
        </w:numPr>
        <w:spacing w:after="0" w:line="480" w:lineRule="auto"/>
        <w:contextualSpacing/>
        <w:jc w:val="both"/>
        <w:rPr>
          <w:rFonts w:ascii="Times New Roman" w:eastAsiaTheme="minorHAnsi" w:hAnsi="Times New Roman"/>
          <w:sz w:val="28"/>
        </w:rPr>
      </w:pPr>
      <w:r w:rsidRPr="00B346D9">
        <w:rPr>
          <w:rFonts w:ascii="Times New Roman" w:eastAsiaTheme="minorHAnsi" w:hAnsi="Times New Roman"/>
          <w:sz w:val="28"/>
        </w:rPr>
        <w:t xml:space="preserve">Корпоративные слияния и поглощения: проблемы и перспективы правового регулирования / А.А. </w:t>
      </w:r>
      <w:proofErr w:type="spellStart"/>
      <w:r w:rsidRPr="00B346D9">
        <w:rPr>
          <w:rFonts w:ascii="Times New Roman" w:eastAsiaTheme="minorHAnsi" w:hAnsi="Times New Roman"/>
          <w:sz w:val="28"/>
        </w:rPr>
        <w:t>Бегаева</w:t>
      </w:r>
      <w:proofErr w:type="spellEnd"/>
      <w:r w:rsidRPr="00B346D9">
        <w:rPr>
          <w:rFonts w:ascii="Times New Roman" w:eastAsiaTheme="minorHAnsi" w:hAnsi="Times New Roman"/>
          <w:sz w:val="28"/>
        </w:rPr>
        <w:t>, отв. ред. Н.И. Михайлов. – М.: "</w:t>
      </w:r>
      <w:proofErr w:type="spellStart"/>
      <w:r w:rsidRPr="00B346D9">
        <w:rPr>
          <w:rFonts w:ascii="Times New Roman" w:eastAsiaTheme="minorHAnsi" w:hAnsi="Times New Roman"/>
          <w:sz w:val="28"/>
        </w:rPr>
        <w:t>Инфотропик</w:t>
      </w:r>
      <w:proofErr w:type="spellEnd"/>
      <w:r w:rsidRPr="00B346D9">
        <w:rPr>
          <w:rFonts w:ascii="Times New Roman" w:eastAsiaTheme="minorHAnsi" w:hAnsi="Times New Roman"/>
          <w:sz w:val="28"/>
        </w:rPr>
        <w:t xml:space="preserve"> Медиа", 2010 г. – 132 с.</w:t>
      </w:r>
    </w:p>
    <w:p w:rsidR="00B346D9" w:rsidRPr="00B346D9" w:rsidRDefault="00B346D9" w:rsidP="00B346D9">
      <w:pPr>
        <w:numPr>
          <w:ilvl w:val="0"/>
          <w:numId w:val="2"/>
        </w:numPr>
        <w:spacing w:after="0" w:line="480" w:lineRule="auto"/>
        <w:contextualSpacing/>
        <w:jc w:val="both"/>
        <w:rPr>
          <w:rFonts w:ascii="Times New Roman" w:eastAsiaTheme="minorHAnsi" w:hAnsi="Times New Roman"/>
          <w:sz w:val="28"/>
        </w:rPr>
      </w:pPr>
      <w:r w:rsidRPr="00B346D9">
        <w:rPr>
          <w:rFonts w:ascii="Times New Roman" w:eastAsiaTheme="minorHAnsi" w:hAnsi="Times New Roman"/>
          <w:sz w:val="28"/>
        </w:rPr>
        <w:t>Слияние и поглощение: стратегия для HR-</w:t>
      </w:r>
      <w:proofErr w:type="gramStart"/>
      <w:r w:rsidRPr="00B346D9">
        <w:rPr>
          <w:rFonts w:ascii="Times New Roman" w:eastAsiaTheme="minorHAnsi" w:hAnsi="Times New Roman"/>
          <w:sz w:val="28"/>
        </w:rPr>
        <w:t>директора ,</w:t>
      </w:r>
      <w:proofErr w:type="gramEnd"/>
      <w:r w:rsidRPr="00B346D9">
        <w:rPr>
          <w:rFonts w:ascii="Times New Roman" w:eastAsiaTheme="minorHAnsi" w:hAnsi="Times New Roman"/>
          <w:sz w:val="28"/>
        </w:rPr>
        <w:tab/>
      </w:r>
      <w:r w:rsidRPr="00B346D9">
        <w:rPr>
          <w:rFonts w:ascii="Times New Roman" w:eastAsiaTheme="minorHAnsi" w:hAnsi="Times New Roman"/>
          <w:sz w:val="28"/>
        </w:rPr>
        <w:tab/>
      </w:r>
      <w:hyperlink r:id="rId9" w:history="1">
        <w:r w:rsidRPr="00B346D9">
          <w:rPr>
            <w:rFonts w:ascii="Times New Roman" w:eastAsiaTheme="minorHAnsi" w:hAnsi="Times New Roman"/>
            <w:color w:val="0000FF" w:themeColor="hyperlink"/>
            <w:sz w:val="28"/>
            <w:u w:val="single"/>
          </w:rPr>
          <w:t>http://delovoymir.biz/ru/biznes_statyi/tag/sliyanie-i-pogloschenie/</w:t>
        </w:r>
      </w:hyperlink>
      <w:r w:rsidRPr="00B346D9">
        <w:rPr>
          <w:rFonts w:ascii="Times New Roman" w:eastAsiaTheme="minorHAnsi" w:hAnsi="Times New Roman"/>
          <w:sz w:val="28"/>
        </w:rPr>
        <w:t xml:space="preserve"> [Электронный ресурс], дата обращения – 12.04.2015 г.</w:t>
      </w:r>
    </w:p>
    <w:p w:rsidR="00B346D9" w:rsidRPr="00B346D9" w:rsidRDefault="00B346D9" w:rsidP="00B346D9">
      <w:pPr>
        <w:numPr>
          <w:ilvl w:val="0"/>
          <w:numId w:val="2"/>
        </w:numPr>
        <w:spacing w:after="0" w:line="480" w:lineRule="auto"/>
        <w:contextualSpacing/>
        <w:jc w:val="both"/>
        <w:rPr>
          <w:rFonts w:ascii="Times New Roman" w:eastAsiaTheme="minorHAnsi" w:hAnsi="Times New Roman"/>
          <w:sz w:val="28"/>
        </w:rPr>
      </w:pPr>
      <w:r w:rsidRPr="00B346D9">
        <w:rPr>
          <w:rFonts w:ascii="Times New Roman" w:eastAsiaTheme="minorHAnsi" w:hAnsi="Times New Roman"/>
          <w:sz w:val="28"/>
        </w:rPr>
        <w:t xml:space="preserve">Слияния и поглощения. Конспект лекций. / М.Р. </w:t>
      </w:r>
      <w:proofErr w:type="spellStart"/>
      <w:r w:rsidRPr="00B346D9">
        <w:rPr>
          <w:rFonts w:ascii="Times New Roman" w:eastAsiaTheme="minorHAnsi" w:hAnsi="Times New Roman"/>
          <w:sz w:val="28"/>
        </w:rPr>
        <w:t>Зайнуллина</w:t>
      </w:r>
      <w:proofErr w:type="spellEnd"/>
      <w:r w:rsidRPr="00B346D9">
        <w:rPr>
          <w:rFonts w:ascii="Times New Roman" w:eastAsiaTheme="minorHAnsi" w:hAnsi="Times New Roman"/>
          <w:sz w:val="28"/>
        </w:rPr>
        <w:t xml:space="preserve">; </w:t>
      </w:r>
      <w:proofErr w:type="spellStart"/>
      <w:r w:rsidRPr="00B346D9">
        <w:rPr>
          <w:rFonts w:ascii="Times New Roman" w:eastAsiaTheme="minorHAnsi" w:hAnsi="Times New Roman"/>
          <w:sz w:val="28"/>
        </w:rPr>
        <w:t>Каз.федер.ун</w:t>
      </w:r>
      <w:proofErr w:type="spellEnd"/>
      <w:r w:rsidRPr="00B346D9">
        <w:rPr>
          <w:rFonts w:ascii="Times New Roman" w:eastAsiaTheme="minorHAnsi" w:hAnsi="Times New Roman"/>
          <w:sz w:val="28"/>
        </w:rPr>
        <w:t>- т. - Казань, 2013: - 176 с.</w:t>
      </w:r>
    </w:p>
    <w:p w:rsidR="00B346D9" w:rsidRDefault="00B346D9"/>
    <w:sectPr w:rsidR="00B346D9">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36F" w:rsidRDefault="00D2736F" w:rsidP="00571F43">
      <w:pPr>
        <w:spacing w:after="0" w:line="240" w:lineRule="auto"/>
      </w:pPr>
      <w:r>
        <w:separator/>
      </w:r>
    </w:p>
  </w:endnote>
  <w:endnote w:type="continuationSeparator" w:id="0">
    <w:p w:rsidR="00D2736F" w:rsidRDefault="00D2736F" w:rsidP="00571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257197"/>
      <w:docPartObj>
        <w:docPartGallery w:val="Page Numbers (Bottom of Page)"/>
        <w:docPartUnique/>
      </w:docPartObj>
    </w:sdtPr>
    <w:sdtContent>
      <w:p w:rsidR="00571F43" w:rsidRDefault="00571F43">
        <w:pPr>
          <w:pStyle w:val="a5"/>
          <w:jc w:val="center"/>
        </w:pPr>
        <w:r>
          <w:fldChar w:fldCharType="begin"/>
        </w:r>
        <w:r>
          <w:instrText>PAGE   \* MERGEFORMAT</w:instrText>
        </w:r>
        <w:r>
          <w:fldChar w:fldCharType="separate"/>
        </w:r>
        <w:r>
          <w:rPr>
            <w:noProof/>
          </w:rPr>
          <w:t>15</w:t>
        </w:r>
        <w:r>
          <w:fldChar w:fldCharType="end"/>
        </w:r>
      </w:p>
    </w:sdtContent>
  </w:sdt>
  <w:p w:rsidR="00571F43" w:rsidRDefault="00571F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36F" w:rsidRDefault="00D2736F" w:rsidP="00571F43">
      <w:pPr>
        <w:spacing w:after="0" w:line="240" w:lineRule="auto"/>
      </w:pPr>
      <w:r>
        <w:separator/>
      </w:r>
    </w:p>
  </w:footnote>
  <w:footnote w:type="continuationSeparator" w:id="0">
    <w:p w:rsidR="00D2736F" w:rsidRDefault="00D2736F" w:rsidP="00571F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F43" w:rsidRDefault="00571F43">
    <w:pPr>
      <w:pStyle w:val="a3"/>
      <w:jc w:val="center"/>
    </w:pPr>
  </w:p>
  <w:p w:rsidR="00571F43" w:rsidRDefault="00571F4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0424EA"/>
    <w:multiLevelType w:val="hybridMultilevel"/>
    <w:tmpl w:val="099AAF6A"/>
    <w:lvl w:ilvl="0" w:tplc="84460A6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0900A6D"/>
    <w:multiLevelType w:val="multilevel"/>
    <w:tmpl w:val="9EF23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3E3"/>
    <w:rsid w:val="00571F43"/>
    <w:rsid w:val="006763E3"/>
    <w:rsid w:val="00B346D9"/>
    <w:rsid w:val="00CC3126"/>
    <w:rsid w:val="00D27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E07D90-D9C2-45DA-B241-F97E50307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6D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1F4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1F43"/>
    <w:rPr>
      <w:rFonts w:ascii="Calibri" w:eastAsia="Calibri" w:hAnsi="Calibri" w:cs="Times New Roman"/>
    </w:rPr>
  </w:style>
  <w:style w:type="paragraph" w:styleId="a5">
    <w:name w:val="footer"/>
    <w:basedOn w:val="a"/>
    <w:link w:val="a6"/>
    <w:uiPriority w:val="99"/>
    <w:unhideWhenUsed/>
    <w:rsid w:val="00571F4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1F4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fin.ru/investor/m_and_a/intolerance.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elovoymir.biz/ru/biznes_statyi/tag/sliyanie-i-poglosch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2258</Words>
  <Characters>12876</Characters>
  <Application>Microsoft Office Word</Application>
  <DocSecurity>0</DocSecurity>
  <Lines>107</Lines>
  <Paragraphs>30</Paragraphs>
  <ScaleCrop>false</ScaleCrop>
  <Company/>
  <LinksUpToDate>false</LinksUpToDate>
  <CharactersWithSpaces>15104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Слава</dc:creator>
  <cp:keywords/>
  <dc:description/>
  <cp:lastModifiedBy>Слава</cp:lastModifiedBy>
  <cp:revision>3</cp:revision>
  <dcterms:created xsi:type="dcterms:W3CDTF">2015-04-30T18:08:00Z</dcterms:created>
  <dcterms:modified xsi:type="dcterms:W3CDTF">2015-04-30T18:13:00Z</dcterms:modified>
</cp:coreProperties>
</file>