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theme/themeOverride4.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016" w:rsidRDefault="00245016" w:rsidP="00245016">
      <w:pPr>
        <w:jc w:val="center"/>
      </w:pPr>
      <w:r>
        <w:t xml:space="preserve">ФЕДЕРАЛЬНОЕ ГОСУДАРСТВЕННОЕ ОБРАЗОВАТЕЛЬНОЕ БЮДЖЕТНОЕ УЧРЕЖДЕНИЕ </w:t>
      </w:r>
    </w:p>
    <w:p w:rsidR="00245016" w:rsidRDefault="00245016" w:rsidP="00245016">
      <w:pPr>
        <w:jc w:val="center"/>
      </w:pPr>
      <w:r>
        <w:t>ВЫСШЕГО ПРОФЕССИОНАЛЬНОГО ОБРАЗОВАНИЯ</w:t>
      </w:r>
    </w:p>
    <w:p w:rsidR="00245016" w:rsidRDefault="00245016" w:rsidP="00245016">
      <w:pPr>
        <w:keepNext/>
        <w:jc w:val="center"/>
        <w:outlineLvl w:val="0"/>
        <w:rPr>
          <w:b/>
          <w:bCs/>
        </w:rPr>
      </w:pPr>
    </w:p>
    <w:p w:rsidR="00245016" w:rsidRDefault="00245016" w:rsidP="00245016">
      <w:pPr>
        <w:keepNext/>
        <w:jc w:val="center"/>
        <w:outlineLvl w:val="0"/>
        <w:rPr>
          <w:b/>
          <w:bCs/>
        </w:rPr>
      </w:pPr>
      <w:r>
        <w:rPr>
          <w:b/>
          <w:bCs/>
        </w:rPr>
        <w:t xml:space="preserve">ФИНАНСОВЫЙ УНИВЕРСИТЕТ </w:t>
      </w:r>
    </w:p>
    <w:p w:rsidR="00245016" w:rsidRDefault="00245016" w:rsidP="00245016">
      <w:pPr>
        <w:keepNext/>
        <w:jc w:val="center"/>
        <w:outlineLvl w:val="0"/>
        <w:rPr>
          <w:b/>
          <w:bCs/>
        </w:rPr>
      </w:pPr>
      <w:r>
        <w:rPr>
          <w:b/>
          <w:bCs/>
        </w:rPr>
        <w:t>ПРИ ПРАВИТЕЛЬСТВЕ РОССИЙСКОЙ ФЕДЕРАЦИИ</w:t>
      </w:r>
    </w:p>
    <w:p w:rsidR="00245016" w:rsidRDefault="00245016" w:rsidP="00245016">
      <w:pPr>
        <w:keepNext/>
        <w:jc w:val="center"/>
        <w:outlineLvl w:val="0"/>
        <w:rPr>
          <w:b/>
          <w:bCs/>
        </w:rPr>
      </w:pPr>
      <w:r>
        <w:rPr>
          <w:b/>
          <w:bCs/>
        </w:rPr>
        <w:t>УФИМСКИЙ ФИЛИАЛ</w:t>
      </w:r>
    </w:p>
    <w:p w:rsidR="00245016" w:rsidRDefault="00245016" w:rsidP="00245016">
      <w:pPr>
        <w:pStyle w:val="1"/>
        <w:ind w:firstLine="720"/>
        <w:jc w:val="center"/>
        <w:rPr>
          <w:b/>
          <w:sz w:val="28"/>
        </w:rPr>
      </w:pPr>
    </w:p>
    <w:p w:rsidR="00245016" w:rsidRDefault="00245016" w:rsidP="00245016">
      <w:pPr>
        <w:pStyle w:val="1"/>
        <w:ind w:firstLine="720"/>
        <w:jc w:val="right"/>
        <w:rPr>
          <w:sz w:val="28"/>
        </w:rPr>
      </w:pPr>
    </w:p>
    <w:p w:rsidR="00245016" w:rsidRDefault="00245016" w:rsidP="00245016">
      <w:pPr>
        <w:pStyle w:val="1"/>
        <w:ind w:firstLine="720"/>
        <w:jc w:val="right"/>
        <w:rPr>
          <w:sz w:val="28"/>
        </w:rPr>
      </w:pPr>
      <w:r>
        <w:rPr>
          <w:sz w:val="28"/>
        </w:rPr>
        <w:t>Кафедра Экономики,</w:t>
      </w:r>
    </w:p>
    <w:p w:rsidR="00245016" w:rsidRDefault="00245016" w:rsidP="00245016">
      <w:pPr>
        <w:pStyle w:val="1"/>
        <w:ind w:firstLine="720"/>
        <w:jc w:val="right"/>
        <w:rPr>
          <w:sz w:val="28"/>
        </w:rPr>
      </w:pPr>
      <w:r>
        <w:rPr>
          <w:sz w:val="28"/>
        </w:rPr>
        <w:t xml:space="preserve"> менеджмента и маркетинга</w:t>
      </w: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r>
        <w:rPr>
          <w:b/>
          <w:sz w:val="28"/>
        </w:rPr>
        <w:t xml:space="preserve">КОНТРОЛЬНАЯ РАБОТА </w:t>
      </w:r>
    </w:p>
    <w:p w:rsidR="00245016" w:rsidRDefault="00245016" w:rsidP="00245016">
      <w:pPr>
        <w:pStyle w:val="1"/>
        <w:ind w:firstLine="720"/>
        <w:jc w:val="center"/>
        <w:rPr>
          <w:b/>
          <w:sz w:val="28"/>
        </w:rPr>
      </w:pPr>
      <w:r>
        <w:rPr>
          <w:b/>
          <w:sz w:val="28"/>
        </w:rPr>
        <w:t xml:space="preserve">по дисциплине: Государственная политика социально-экономического </w:t>
      </w:r>
    </w:p>
    <w:p w:rsidR="00245016" w:rsidRPr="00245016" w:rsidRDefault="00245016" w:rsidP="00245016">
      <w:pPr>
        <w:pStyle w:val="1"/>
        <w:ind w:firstLine="720"/>
        <w:jc w:val="center"/>
        <w:rPr>
          <w:b/>
          <w:sz w:val="28"/>
        </w:rPr>
      </w:pPr>
      <w:r>
        <w:rPr>
          <w:b/>
          <w:sz w:val="28"/>
        </w:rPr>
        <w:t>развития России</w:t>
      </w:r>
    </w:p>
    <w:p w:rsidR="00245016" w:rsidRDefault="00A547B4" w:rsidP="00245016">
      <w:pPr>
        <w:pStyle w:val="1"/>
        <w:ind w:firstLine="720"/>
        <w:jc w:val="center"/>
        <w:rPr>
          <w:b/>
          <w:sz w:val="28"/>
        </w:rPr>
      </w:pPr>
      <w:r>
        <w:rPr>
          <w:b/>
          <w:sz w:val="28"/>
        </w:rPr>
        <w:t>на тему</w:t>
      </w:r>
      <w:r w:rsidR="00245016">
        <w:rPr>
          <w:b/>
          <w:sz w:val="28"/>
        </w:rPr>
        <w:t>: «Таможенная политика в современной России»</w:t>
      </w:r>
    </w:p>
    <w:p w:rsidR="00245016" w:rsidRDefault="00245016" w:rsidP="00245016">
      <w:pPr>
        <w:pStyle w:val="1"/>
        <w:ind w:firstLine="0"/>
        <w:jc w:val="center"/>
        <w:rPr>
          <w:b/>
          <w:sz w:val="28"/>
        </w:rPr>
      </w:pPr>
      <w:r>
        <w:rPr>
          <w:b/>
          <w:sz w:val="28"/>
        </w:rPr>
        <w:t xml:space="preserve">        </w:t>
      </w: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A547B4" w:rsidRDefault="00A547B4" w:rsidP="00A547B4">
      <w:pPr>
        <w:pStyle w:val="1"/>
        <w:ind w:firstLine="720"/>
        <w:jc w:val="center"/>
        <w:rPr>
          <w:sz w:val="28"/>
        </w:rPr>
      </w:pPr>
      <w:r>
        <w:rPr>
          <w:b/>
          <w:sz w:val="28"/>
        </w:rPr>
        <w:t xml:space="preserve">                                        </w:t>
      </w:r>
      <w:r w:rsidR="00245016">
        <w:rPr>
          <w:b/>
          <w:sz w:val="28"/>
        </w:rPr>
        <w:t>Преподаватель:</w:t>
      </w:r>
      <w:r w:rsidR="00245016">
        <w:rPr>
          <w:sz w:val="28"/>
        </w:rPr>
        <w:t xml:space="preserve">  к</w:t>
      </w:r>
      <w:r>
        <w:rPr>
          <w:sz w:val="28"/>
        </w:rPr>
        <w:t>.</w:t>
      </w:r>
      <w:r w:rsidR="00245016">
        <w:rPr>
          <w:sz w:val="28"/>
        </w:rPr>
        <w:t>э</w:t>
      </w:r>
      <w:r>
        <w:rPr>
          <w:sz w:val="28"/>
        </w:rPr>
        <w:t>.</w:t>
      </w:r>
      <w:r w:rsidR="00245016">
        <w:rPr>
          <w:sz w:val="28"/>
        </w:rPr>
        <w:t>н, доцент</w:t>
      </w:r>
      <w:r>
        <w:rPr>
          <w:sz w:val="28"/>
        </w:rPr>
        <w:t xml:space="preserve">, профессор       </w:t>
      </w:r>
    </w:p>
    <w:p w:rsidR="00245016" w:rsidRDefault="00A547B4" w:rsidP="001E1BCD">
      <w:pPr>
        <w:pStyle w:val="1"/>
        <w:ind w:firstLine="720"/>
        <w:jc w:val="center"/>
        <w:rPr>
          <w:sz w:val="28"/>
        </w:rPr>
      </w:pPr>
      <w:r>
        <w:rPr>
          <w:sz w:val="28"/>
        </w:rPr>
        <w:t xml:space="preserve">                                           </w:t>
      </w:r>
      <w:r w:rsidR="001E1BCD">
        <w:rPr>
          <w:sz w:val="28"/>
        </w:rPr>
        <w:t xml:space="preserve">                                </w:t>
      </w:r>
      <w:r>
        <w:rPr>
          <w:sz w:val="28"/>
        </w:rPr>
        <w:t>кафедры ЭМиМ</w:t>
      </w:r>
      <w:r w:rsidR="00245016">
        <w:rPr>
          <w:sz w:val="28"/>
        </w:rPr>
        <w:t xml:space="preserve"> </w:t>
      </w:r>
      <w:r>
        <w:rPr>
          <w:sz w:val="28"/>
        </w:rPr>
        <w:t>Силантьев В.Б.</w:t>
      </w:r>
    </w:p>
    <w:p w:rsidR="00245016" w:rsidRDefault="00245016" w:rsidP="00245016">
      <w:pPr>
        <w:pStyle w:val="1"/>
        <w:ind w:firstLine="720"/>
        <w:jc w:val="right"/>
        <w:rPr>
          <w:sz w:val="28"/>
        </w:rPr>
      </w:pPr>
    </w:p>
    <w:p w:rsidR="00245016" w:rsidRDefault="00245016" w:rsidP="00245016">
      <w:pPr>
        <w:pStyle w:val="1"/>
        <w:ind w:firstLine="720"/>
        <w:jc w:val="center"/>
        <w:rPr>
          <w:sz w:val="28"/>
        </w:rPr>
      </w:pPr>
      <w:r>
        <w:rPr>
          <w:b/>
          <w:sz w:val="28"/>
        </w:rPr>
        <w:t xml:space="preserve">                                       Работа выполнена:  </w:t>
      </w:r>
      <w:r>
        <w:rPr>
          <w:sz w:val="28"/>
        </w:rPr>
        <w:t xml:space="preserve">  Гильвановой Р.Д.,</w:t>
      </w:r>
    </w:p>
    <w:p w:rsidR="00245016" w:rsidRDefault="00245016" w:rsidP="00245016">
      <w:pPr>
        <w:pStyle w:val="1"/>
        <w:ind w:left="3600" w:firstLine="720"/>
        <w:jc w:val="right"/>
        <w:rPr>
          <w:sz w:val="28"/>
        </w:rPr>
      </w:pPr>
      <w:r>
        <w:rPr>
          <w:sz w:val="28"/>
        </w:rPr>
        <w:t>ф-т Экономики, личное дело</w:t>
      </w:r>
    </w:p>
    <w:p w:rsidR="00245016" w:rsidRDefault="00245016" w:rsidP="00245016">
      <w:pPr>
        <w:pStyle w:val="1"/>
        <w:ind w:left="3600" w:firstLine="720"/>
        <w:jc w:val="right"/>
        <w:rPr>
          <w:sz w:val="28"/>
        </w:rPr>
      </w:pPr>
      <w:r>
        <w:rPr>
          <w:sz w:val="28"/>
        </w:rPr>
        <w:t xml:space="preserve"> № 100.28/130041, гр. 23 БЭБ</w:t>
      </w: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Pr="00A547B4" w:rsidRDefault="00245016" w:rsidP="00245016">
      <w:pPr>
        <w:pStyle w:val="1"/>
        <w:ind w:firstLine="720"/>
        <w:jc w:val="center"/>
        <w:rPr>
          <w:b/>
          <w:sz w:val="28"/>
        </w:rPr>
      </w:pPr>
    </w:p>
    <w:p w:rsidR="00245016" w:rsidRPr="00A547B4" w:rsidRDefault="00245016" w:rsidP="00245016">
      <w:pPr>
        <w:pStyle w:val="1"/>
        <w:ind w:firstLine="720"/>
        <w:jc w:val="center"/>
        <w:rPr>
          <w:b/>
          <w:sz w:val="28"/>
        </w:rPr>
      </w:pPr>
    </w:p>
    <w:p w:rsidR="00245016" w:rsidRPr="00A547B4" w:rsidRDefault="00245016" w:rsidP="00245016">
      <w:pPr>
        <w:pStyle w:val="1"/>
        <w:ind w:firstLine="0"/>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rPr>
      </w:pPr>
    </w:p>
    <w:p w:rsidR="00245016" w:rsidRDefault="00245016" w:rsidP="00245016">
      <w:pPr>
        <w:pStyle w:val="1"/>
        <w:ind w:firstLine="720"/>
        <w:jc w:val="center"/>
        <w:rPr>
          <w:b/>
          <w:sz w:val="28"/>
          <w:lang w:val="en-US"/>
        </w:rPr>
      </w:pPr>
      <w:r>
        <w:rPr>
          <w:b/>
          <w:sz w:val="28"/>
        </w:rPr>
        <w:t>Уфа – 2013</w:t>
      </w:r>
    </w:p>
    <w:p w:rsidR="00A547B4" w:rsidRDefault="00A547B4" w:rsidP="00A547B4">
      <w:pPr>
        <w:pStyle w:val="1"/>
        <w:ind w:firstLine="720"/>
        <w:jc w:val="center"/>
        <w:rPr>
          <w:b/>
          <w:sz w:val="28"/>
        </w:rPr>
      </w:pPr>
      <w:r>
        <w:rPr>
          <w:b/>
          <w:sz w:val="28"/>
        </w:rPr>
        <w:lastRenderedPageBreak/>
        <w:t>Содержание</w:t>
      </w:r>
    </w:p>
    <w:p w:rsidR="00A547B4" w:rsidRDefault="00A547B4" w:rsidP="00A547B4">
      <w:pPr>
        <w:pStyle w:val="1"/>
        <w:ind w:firstLine="720"/>
        <w:jc w:val="center"/>
        <w:rPr>
          <w:b/>
          <w:sz w:val="28"/>
        </w:rPr>
      </w:pPr>
    </w:p>
    <w:p w:rsidR="00A547B4" w:rsidRDefault="00A547B4" w:rsidP="00A547B4">
      <w:pPr>
        <w:pStyle w:val="1"/>
        <w:spacing w:line="360" w:lineRule="auto"/>
        <w:ind w:firstLine="720"/>
        <w:jc w:val="right"/>
        <w:rPr>
          <w:sz w:val="28"/>
        </w:rPr>
      </w:pPr>
      <w:r>
        <w:rPr>
          <w:sz w:val="28"/>
        </w:rPr>
        <w:t>Стр.</w:t>
      </w:r>
    </w:p>
    <w:p w:rsidR="00A547B4" w:rsidRDefault="00A547B4" w:rsidP="00A547B4">
      <w:pPr>
        <w:keepNext/>
        <w:shd w:val="clear" w:color="auto" w:fill="FFFFFF"/>
        <w:autoSpaceDE w:val="0"/>
        <w:autoSpaceDN w:val="0"/>
        <w:adjustRightInd w:val="0"/>
        <w:spacing w:line="360" w:lineRule="auto"/>
        <w:ind w:firstLine="709"/>
      </w:pPr>
      <w:r>
        <w:t>Введение ...……………………………………………………………………</w:t>
      </w:r>
      <w:r w:rsidR="00D97433">
        <w:t>..</w:t>
      </w:r>
      <w:r>
        <w:t>…..3</w:t>
      </w:r>
    </w:p>
    <w:p w:rsidR="00A547B4" w:rsidRPr="00A547B4" w:rsidRDefault="00A547B4" w:rsidP="00D97433">
      <w:pPr>
        <w:pStyle w:val="a3"/>
        <w:numPr>
          <w:ilvl w:val="0"/>
          <w:numId w:val="1"/>
        </w:numPr>
        <w:tabs>
          <w:tab w:val="clear" w:pos="765"/>
          <w:tab w:val="num" w:pos="709"/>
        </w:tabs>
        <w:spacing w:line="360" w:lineRule="auto"/>
        <w:ind w:hanging="481"/>
        <w:rPr>
          <w:rFonts w:ascii="Times New Roman" w:hAnsi="Times New Roman" w:cs="Times New Roman"/>
          <w:sz w:val="28"/>
          <w:szCs w:val="28"/>
        </w:rPr>
      </w:pPr>
      <w:r w:rsidRPr="00A547B4">
        <w:rPr>
          <w:rFonts w:ascii="Times New Roman" w:hAnsi="Times New Roman" w:cs="Times New Roman"/>
          <w:sz w:val="28"/>
          <w:szCs w:val="28"/>
        </w:rPr>
        <w:t>Таможенная политика как часть общегосударственной политики</w:t>
      </w:r>
    </w:p>
    <w:p w:rsidR="00A547B4" w:rsidRDefault="00A547B4" w:rsidP="00A547B4">
      <w:pPr>
        <w:keepNext/>
        <w:shd w:val="clear" w:color="auto" w:fill="FFFFFF"/>
        <w:autoSpaceDE w:val="0"/>
        <w:autoSpaceDN w:val="0"/>
        <w:adjustRightInd w:val="0"/>
        <w:spacing w:line="360" w:lineRule="auto"/>
        <w:ind w:left="851" w:firstLine="0"/>
      </w:pPr>
      <w:r>
        <w:t xml:space="preserve">1.1. </w:t>
      </w:r>
      <w:r w:rsidRPr="00882C82">
        <w:rPr>
          <w:szCs w:val="28"/>
        </w:rPr>
        <w:t>Понятие «Таможенная политика»</w:t>
      </w:r>
      <w:r w:rsidR="00741513">
        <w:t xml:space="preserve">………………………………………… </w:t>
      </w:r>
      <w:r>
        <w:t>4</w:t>
      </w:r>
    </w:p>
    <w:p w:rsidR="00A547B4" w:rsidRDefault="00A547B4" w:rsidP="00A547B4">
      <w:pPr>
        <w:keepNext/>
        <w:shd w:val="clear" w:color="auto" w:fill="FFFFFF"/>
        <w:autoSpaceDE w:val="0"/>
        <w:autoSpaceDN w:val="0"/>
        <w:adjustRightInd w:val="0"/>
        <w:spacing w:line="360" w:lineRule="auto"/>
        <w:ind w:left="851" w:firstLine="0"/>
      </w:pPr>
      <w:r>
        <w:t xml:space="preserve">1.2. </w:t>
      </w:r>
      <w:r w:rsidRPr="00882C82">
        <w:rPr>
          <w:szCs w:val="28"/>
        </w:rPr>
        <w:t>Цели и задачи таможенной политики</w:t>
      </w:r>
      <w:r w:rsidR="007D24DB">
        <w:t>…………………….……………</w:t>
      </w:r>
      <w:r w:rsidR="00741513">
        <w:t>.</w:t>
      </w:r>
      <w:r w:rsidR="007D24DB">
        <w:t>…7</w:t>
      </w:r>
    </w:p>
    <w:p w:rsidR="00A547B4" w:rsidRDefault="00A547B4" w:rsidP="00A547B4">
      <w:pPr>
        <w:keepNext/>
        <w:shd w:val="clear" w:color="auto" w:fill="FFFFFF"/>
        <w:autoSpaceDE w:val="0"/>
        <w:autoSpaceDN w:val="0"/>
        <w:adjustRightInd w:val="0"/>
        <w:spacing w:line="360" w:lineRule="auto"/>
        <w:ind w:left="851" w:firstLine="0"/>
      </w:pPr>
      <w:r>
        <w:t xml:space="preserve">1.3. </w:t>
      </w:r>
      <w:r w:rsidRPr="00882C82">
        <w:rPr>
          <w:szCs w:val="28"/>
        </w:rPr>
        <w:t xml:space="preserve">Субъекты  </w:t>
      </w:r>
      <w:r>
        <w:rPr>
          <w:szCs w:val="28"/>
        </w:rPr>
        <w:t>таможенной политики………………………………………</w:t>
      </w:r>
      <w:r w:rsidR="00741513">
        <w:rPr>
          <w:szCs w:val="28"/>
        </w:rPr>
        <w:t>.</w:t>
      </w:r>
      <w:r>
        <w:rPr>
          <w:szCs w:val="28"/>
        </w:rPr>
        <w:t>…</w:t>
      </w:r>
      <w:r w:rsidR="00EE1175">
        <w:t>8</w:t>
      </w:r>
    </w:p>
    <w:p w:rsidR="00A547B4" w:rsidRDefault="00A547B4" w:rsidP="00A547B4">
      <w:pPr>
        <w:keepNext/>
        <w:shd w:val="clear" w:color="auto" w:fill="FFFFFF"/>
        <w:autoSpaceDE w:val="0"/>
        <w:autoSpaceDN w:val="0"/>
        <w:adjustRightInd w:val="0"/>
        <w:spacing w:line="360" w:lineRule="auto"/>
        <w:ind w:left="851" w:firstLine="0"/>
        <w:rPr>
          <w:szCs w:val="28"/>
        </w:rPr>
      </w:pPr>
      <w:r>
        <w:t xml:space="preserve">1.4. </w:t>
      </w:r>
      <w:r w:rsidRPr="00882C82">
        <w:rPr>
          <w:szCs w:val="28"/>
        </w:rPr>
        <w:t>Федеральная таможенная служба</w:t>
      </w:r>
      <w:r w:rsidR="00EE1175">
        <w:rPr>
          <w:szCs w:val="28"/>
        </w:rPr>
        <w:t>………………………………………</w:t>
      </w:r>
      <w:r w:rsidR="00C83A2B">
        <w:rPr>
          <w:szCs w:val="28"/>
        </w:rPr>
        <w:t>.</w:t>
      </w:r>
      <w:r w:rsidR="00741513">
        <w:rPr>
          <w:szCs w:val="28"/>
        </w:rPr>
        <w:t>…</w:t>
      </w:r>
      <w:r w:rsidR="00EE1175">
        <w:rPr>
          <w:szCs w:val="28"/>
        </w:rPr>
        <w:t>10</w:t>
      </w:r>
    </w:p>
    <w:p w:rsidR="00D97433" w:rsidRDefault="00A547B4" w:rsidP="00D97433">
      <w:pPr>
        <w:keepNext/>
        <w:shd w:val="clear" w:color="auto" w:fill="FFFFFF"/>
        <w:autoSpaceDE w:val="0"/>
        <w:autoSpaceDN w:val="0"/>
        <w:adjustRightInd w:val="0"/>
        <w:spacing w:line="360" w:lineRule="auto"/>
        <w:ind w:firstLine="284"/>
        <w:rPr>
          <w:szCs w:val="28"/>
        </w:rPr>
      </w:pPr>
      <w:r>
        <w:t xml:space="preserve">2. </w:t>
      </w:r>
      <w:r w:rsidRPr="00882C82">
        <w:rPr>
          <w:szCs w:val="28"/>
        </w:rPr>
        <w:t xml:space="preserve"> Стратегия развития таможенной политики РФ</w:t>
      </w:r>
    </w:p>
    <w:p w:rsidR="00D97433" w:rsidRDefault="00D97433" w:rsidP="00D97433">
      <w:pPr>
        <w:keepNext/>
        <w:shd w:val="clear" w:color="auto" w:fill="FFFFFF"/>
        <w:autoSpaceDE w:val="0"/>
        <w:autoSpaceDN w:val="0"/>
        <w:adjustRightInd w:val="0"/>
        <w:spacing w:line="360" w:lineRule="auto"/>
        <w:ind w:left="851" w:firstLine="0"/>
        <w:rPr>
          <w:szCs w:val="28"/>
        </w:rPr>
      </w:pPr>
      <w:r w:rsidRPr="00882C82">
        <w:rPr>
          <w:szCs w:val="28"/>
        </w:rPr>
        <w:t>2.1</w:t>
      </w:r>
      <w:r>
        <w:rPr>
          <w:szCs w:val="28"/>
        </w:rPr>
        <w:t xml:space="preserve">. </w:t>
      </w:r>
      <w:r w:rsidRPr="00882C82">
        <w:rPr>
          <w:szCs w:val="28"/>
        </w:rPr>
        <w:t xml:space="preserve"> Приоритеты </w:t>
      </w:r>
      <w:r>
        <w:rPr>
          <w:szCs w:val="28"/>
        </w:rPr>
        <w:t xml:space="preserve"> </w:t>
      </w:r>
      <w:r w:rsidRPr="00882C82">
        <w:rPr>
          <w:szCs w:val="28"/>
        </w:rPr>
        <w:t>таможенно-тарифного</w:t>
      </w:r>
      <w:r>
        <w:rPr>
          <w:szCs w:val="28"/>
        </w:rPr>
        <w:t xml:space="preserve"> </w:t>
      </w:r>
      <w:r w:rsidRPr="00882C82">
        <w:rPr>
          <w:szCs w:val="28"/>
        </w:rPr>
        <w:t xml:space="preserve"> регулирования </w:t>
      </w:r>
      <w:r>
        <w:rPr>
          <w:szCs w:val="28"/>
        </w:rPr>
        <w:t xml:space="preserve"> </w:t>
      </w:r>
      <w:r w:rsidRPr="00882C82">
        <w:rPr>
          <w:szCs w:val="28"/>
        </w:rPr>
        <w:t>в период 2014</w:t>
      </w:r>
      <w:r>
        <w:rPr>
          <w:szCs w:val="28"/>
        </w:rPr>
        <w:t xml:space="preserve"> </w:t>
      </w:r>
      <w:r w:rsidRPr="00882C82">
        <w:rPr>
          <w:szCs w:val="28"/>
        </w:rPr>
        <w:t>-</w:t>
      </w:r>
      <w:r>
        <w:rPr>
          <w:szCs w:val="28"/>
        </w:rPr>
        <w:t xml:space="preserve"> 2016 </w:t>
      </w:r>
      <w:r w:rsidRPr="00882C82">
        <w:rPr>
          <w:szCs w:val="28"/>
        </w:rPr>
        <w:t>гг</w:t>
      </w:r>
      <w:r>
        <w:rPr>
          <w:szCs w:val="28"/>
        </w:rPr>
        <w:t>………………………………………………………………………</w:t>
      </w:r>
      <w:r w:rsidR="00EE1175">
        <w:rPr>
          <w:szCs w:val="28"/>
        </w:rPr>
        <w:t>……</w:t>
      </w:r>
      <w:r w:rsidR="00741513">
        <w:rPr>
          <w:szCs w:val="28"/>
        </w:rPr>
        <w:t>.</w:t>
      </w:r>
      <w:r w:rsidR="00EE1175">
        <w:rPr>
          <w:szCs w:val="28"/>
        </w:rPr>
        <w:t>12</w:t>
      </w:r>
    </w:p>
    <w:p w:rsidR="00D97433" w:rsidRDefault="00D97433" w:rsidP="00D97433">
      <w:pPr>
        <w:keepNext/>
        <w:shd w:val="clear" w:color="auto" w:fill="FFFFFF"/>
        <w:autoSpaceDE w:val="0"/>
        <w:autoSpaceDN w:val="0"/>
        <w:adjustRightInd w:val="0"/>
        <w:spacing w:line="360" w:lineRule="auto"/>
        <w:ind w:left="851" w:firstLine="0"/>
        <w:rPr>
          <w:szCs w:val="28"/>
        </w:rPr>
      </w:pPr>
      <w:r w:rsidRPr="00882C82">
        <w:rPr>
          <w:szCs w:val="28"/>
        </w:rPr>
        <w:t>2.2 Реализация международных обязательств и национальных компетенций РФ</w:t>
      </w:r>
      <w:r>
        <w:rPr>
          <w:szCs w:val="28"/>
        </w:rPr>
        <w:t>……………………………………………………………………………</w:t>
      </w:r>
      <w:r w:rsidR="00741513">
        <w:rPr>
          <w:szCs w:val="28"/>
        </w:rPr>
        <w:t>……14</w:t>
      </w:r>
    </w:p>
    <w:p w:rsidR="00D97433" w:rsidRDefault="00D97433" w:rsidP="00D97433">
      <w:pPr>
        <w:keepNext/>
        <w:shd w:val="clear" w:color="auto" w:fill="FFFFFF"/>
        <w:autoSpaceDE w:val="0"/>
        <w:autoSpaceDN w:val="0"/>
        <w:adjustRightInd w:val="0"/>
        <w:spacing w:line="360" w:lineRule="auto"/>
        <w:ind w:left="851" w:hanging="567"/>
        <w:rPr>
          <w:szCs w:val="28"/>
        </w:rPr>
      </w:pPr>
      <w:r>
        <w:rPr>
          <w:szCs w:val="28"/>
        </w:rPr>
        <w:t>3.</w:t>
      </w:r>
      <w:r w:rsidRPr="00882C82">
        <w:rPr>
          <w:szCs w:val="28"/>
        </w:rPr>
        <w:t xml:space="preserve"> </w:t>
      </w:r>
      <w:r>
        <w:rPr>
          <w:szCs w:val="28"/>
        </w:rPr>
        <w:t xml:space="preserve">  </w:t>
      </w:r>
      <w:r w:rsidRPr="00882C82">
        <w:rPr>
          <w:szCs w:val="28"/>
        </w:rPr>
        <w:t xml:space="preserve">Реализация таможенной политики РФ </w:t>
      </w:r>
    </w:p>
    <w:p w:rsidR="00D97433" w:rsidRPr="00C83A2B" w:rsidRDefault="00D97433" w:rsidP="00D97433">
      <w:pPr>
        <w:keepNext/>
        <w:shd w:val="clear" w:color="auto" w:fill="FFFFFF"/>
        <w:autoSpaceDE w:val="0"/>
        <w:autoSpaceDN w:val="0"/>
        <w:adjustRightInd w:val="0"/>
        <w:spacing w:line="360" w:lineRule="auto"/>
        <w:ind w:left="851" w:firstLine="0"/>
        <w:rPr>
          <w:szCs w:val="28"/>
        </w:rPr>
      </w:pPr>
      <w:r w:rsidRPr="00882C82">
        <w:rPr>
          <w:szCs w:val="28"/>
        </w:rPr>
        <w:t>3.1</w:t>
      </w:r>
      <w:r>
        <w:rPr>
          <w:szCs w:val="28"/>
        </w:rPr>
        <w:t>.</w:t>
      </w:r>
      <w:r w:rsidRPr="00882C82">
        <w:rPr>
          <w:szCs w:val="28"/>
        </w:rPr>
        <w:t xml:space="preserve">  Внешнеторговый оборот  за январь-июль 2013 года</w:t>
      </w:r>
      <w:r w:rsidR="00C83A2B">
        <w:rPr>
          <w:szCs w:val="28"/>
        </w:rPr>
        <w:t>……………………27</w:t>
      </w:r>
    </w:p>
    <w:p w:rsidR="00D97433" w:rsidRDefault="00D97433" w:rsidP="00D97433">
      <w:pPr>
        <w:keepNext/>
        <w:shd w:val="clear" w:color="auto" w:fill="FFFFFF"/>
        <w:autoSpaceDE w:val="0"/>
        <w:autoSpaceDN w:val="0"/>
        <w:adjustRightInd w:val="0"/>
        <w:spacing w:line="360" w:lineRule="auto"/>
        <w:rPr>
          <w:szCs w:val="28"/>
        </w:rPr>
      </w:pPr>
      <w:r>
        <w:rPr>
          <w:szCs w:val="28"/>
        </w:rPr>
        <w:t xml:space="preserve">  </w:t>
      </w:r>
      <w:r w:rsidRPr="00882C82">
        <w:rPr>
          <w:szCs w:val="28"/>
        </w:rPr>
        <w:t>3.2</w:t>
      </w:r>
      <w:r>
        <w:rPr>
          <w:szCs w:val="28"/>
        </w:rPr>
        <w:t>.</w:t>
      </w:r>
      <w:r w:rsidRPr="00882C82">
        <w:rPr>
          <w:szCs w:val="28"/>
        </w:rPr>
        <w:t xml:space="preserve">  Анализ динамики импортных показателей за  январь-июль 2013г</w:t>
      </w:r>
      <w:r>
        <w:rPr>
          <w:szCs w:val="28"/>
        </w:rPr>
        <w:t>….</w:t>
      </w:r>
      <w:r w:rsidR="00C83A2B">
        <w:rPr>
          <w:szCs w:val="28"/>
        </w:rPr>
        <w:t>..29</w:t>
      </w:r>
    </w:p>
    <w:p w:rsidR="00A547B4" w:rsidRPr="00D97433" w:rsidRDefault="00D97433" w:rsidP="00D97433">
      <w:pPr>
        <w:keepNext/>
        <w:shd w:val="clear" w:color="auto" w:fill="FFFFFF"/>
        <w:autoSpaceDE w:val="0"/>
        <w:autoSpaceDN w:val="0"/>
        <w:adjustRightInd w:val="0"/>
        <w:spacing w:line="360" w:lineRule="auto"/>
        <w:ind w:firstLine="851"/>
        <w:rPr>
          <w:szCs w:val="28"/>
        </w:rPr>
      </w:pPr>
      <w:r>
        <w:rPr>
          <w:szCs w:val="28"/>
        </w:rPr>
        <w:t>3.3.</w:t>
      </w:r>
      <w:r w:rsidRPr="00882C82">
        <w:rPr>
          <w:szCs w:val="28"/>
        </w:rPr>
        <w:t xml:space="preserve">  Анализ динамики экспортных показателей за январь-июль 2013г</w:t>
      </w:r>
      <w:r>
        <w:rPr>
          <w:szCs w:val="28"/>
        </w:rPr>
        <w:t>…</w:t>
      </w:r>
      <w:r w:rsidR="00C83A2B">
        <w:rPr>
          <w:szCs w:val="28"/>
        </w:rPr>
        <w:t>….32</w:t>
      </w:r>
    </w:p>
    <w:p w:rsidR="00A547B4" w:rsidRDefault="00A547B4" w:rsidP="00A547B4">
      <w:pPr>
        <w:pStyle w:val="1"/>
        <w:spacing w:line="360" w:lineRule="auto"/>
        <w:ind w:firstLine="709"/>
        <w:jc w:val="both"/>
        <w:rPr>
          <w:sz w:val="28"/>
        </w:rPr>
      </w:pPr>
      <w:r>
        <w:rPr>
          <w:sz w:val="28"/>
        </w:rPr>
        <w:t>Заключен</w:t>
      </w:r>
      <w:r w:rsidR="00C83A2B">
        <w:rPr>
          <w:sz w:val="28"/>
        </w:rPr>
        <w:t>ие………………………………………………………………………...36</w:t>
      </w:r>
    </w:p>
    <w:p w:rsidR="00A547B4" w:rsidRDefault="00A547B4" w:rsidP="00A547B4">
      <w:pPr>
        <w:pStyle w:val="1"/>
        <w:spacing w:line="360" w:lineRule="auto"/>
        <w:ind w:firstLine="709"/>
        <w:jc w:val="both"/>
        <w:rPr>
          <w:sz w:val="28"/>
        </w:rPr>
      </w:pPr>
      <w:r>
        <w:rPr>
          <w:sz w:val="28"/>
        </w:rPr>
        <w:t>Список использованной литературы ……….………</w:t>
      </w:r>
      <w:r w:rsidRPr="00F6265A">
        <w:rPr>
          <w:sz w:val="28"/>
        </w:rPr>
        <w:t>.</w:t>
      </w:r>
      <w:r w:rsidR="00C83A2B">
        <w:rPr>
          <w:sz w:val="28"/>
        </w:rPr>
        <w:t>…………………………..37</w:t>
      </w:r>
    </w:p>
    <w:p w:rsidR="00A547B4" w:rsidRDefault="00A547B4" w:rsidP="00A547B4"/>
    <w:p w:rsidR="00A547B4" w:rsidRDefault="00A547B4" w:rsidP="00A547B4"/>
    <w:p w:rsidR="00A547B4" w:rsidRDefault="00A547B4" w:rsidP="00A547B4"/>
    <w:p w:rsidR="00B51C63" w:rsidRDefault="00B51C63"/>
    <w:p w:rsidR="001E1BCD" w:rsidRDefault="001E1BCD"/>
    <w:p w:rsidR="001E1BCD" w:rsidRDefault="001E1BCD"/>
    <w:p w:rsidR="001E1BCD" w:rsidRDefault="001E1BCD"/>
    <w:p w:rsidR="001E1BCD" w:rsidRDefault="001E1BCD"/>
    <w:p w:rsidR="001E1BCD" w:rsidRDefault="001E1BCD"/>
    <w:p w:rsidR="001E1BCD" w:rsidRDefault="001E1BCD"/>
    <w:p w:rsidR="001E1BCD" w:rsidRDefault="001E1BCD"/>
    <w:p w:rsidR="001E1BCD" w:rsidRDefault="001E1BCD"/>
    <w:p w:rsidR="001E1BCD" w:rsidRDefault="001E1BCD"/>
    <w:p w:rsidR="001E1BCD" w:rsidRDefault="001E1BCD"/>
    <w:p w:rsidR="001E1BCD" w:rsidRDefault="001E1BCD"/>
    <w:p w:rsidR="00741513" w:rsidRDefault="00741513"/>
    <w:p w:rsidR="001E1BCD" w:rsidRDefault="001E1BCD" w:rsidP="001E1BCD">
      <w:pPr>
        <w:ind w:firstLine="0"/>
      </w:pPr>
    </w:p>
    <w:p w:rsidR="001E1BCD" w:rsidRDefault="001E1BCD" w:rsidP="001E1BCD">
      <w:pPr>
        <w:ind w:firstLine="709"/>
        <w:rPr>
          <w:b/>
        </w:rPr>
      </w:pPr>
      <w:r w:rsidRPr="001E1BCD">
        <w:rPr>
          <w:b/>
        </w:rPr>
        <w:lastRenderedPageBreak/>
        <w:t>Введение</w:t>
      </w:r>
    </w:p>
    <w:p w:rsidR="001E1BCD" w:rsidRDefault="001E1BCD">
      <w:pPr>
        <w:rPr>
          <w:b/>
        </w:rPr>
      </w:pPr>
    </w:p>
    <w:p w:rsidR="001E1BCD" w:rsidRDefault="001E1BCD" w:rsidP="001E1BCD">
      <w:pPr>
        <w:spacing w:line="360" w:lineRule="auto"/>
        <w:ind w:firstLine="709"/>
      </w:pPr>
      <w:r>
        <w:t>Важнейшая роль в деле обеспечения экономических интересов государства принадлежит таможенной системе страны. Участвуя в регулировании внешнеторгового оборота и осуществляя фискальную функцию, таможенная служба регулярно пополняет государственный бюджет и тем самым способствует решению экономических проблем. Путем разумных протекционистских мер, таможенная служба оберегает национальную промышленность.</w:t>
      </w:r>
    </w:p>
    <w:p w:rsidR="001E1BCD" w:rsidRDefault="001E1BCD" w:rsidP="001E1BCD">
      <w:pPr>
        <w:spacing w:line="360" w:lineRule="auto"/>
        <w:ind w:firstLine="709"/>
      </w:pPr>
      <w:r>
        <w:t>В новых рыночных условиях, когда российская экономика стала «открытой», а государственные границы «прозрачными» или во многих местах «размытыми», гораздо более сложной и масштабной, чем раньше, стала проблема экономической безопасности Российской Федерации.</w:t>
      </w:r>
    </w:p>
    <w:p w:rsidR="001E1BCD" w:rsidRDefault="001E1BCD" w:rsidP="001E1BCD">
      <w:pPr>
        <w:spacing w:line="360" w:lineRule="auto"/>
        <w:ind w:firstLine="709"/>
      </w:pPr>
      <w:r>
        <w:t>В ее обеспечении зоной ответственности таможенной службы является сфера внешнеэкономической деятельности государства.</w:t>
      </w: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741513" w:rsidRDefault="00741513">
      <w:pPr>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EE1175" w:rsidRPr="00EE1175" w:rsidRDefault="00EE1175" w:rsidP="00EE1175">
      <w:pPr>
        <w:pStyle w:val="a3"/>
        <w:spacing w:line="360" w:lineRule="auto"/>
        <w:ind w:firstLine="709"/>
        <w:rPr>
          <w:rFonts w:ascii="Times New Roman" w:hAnsi="Times New Roman" w:cs="Times New Roman"/>
          <w:b/>
          <w:sz w:val="28"/>
          <w:szCs w:val="28"/>
        </w:rPr>
      </w:pPr>
      <w:r w:rsidRPr="00EE1175">
        <w:rPr>
          <w:rFonts w:ascii="Times New Roman" w:hAnsi="Times New Roman" w:cs="Times New Roman"/>
          <w:b/>
          <w:sz w:val="28"/>
          <w:szCs w:val="28"/>
        </w:rPr>
        <w:lastRenderedPageBreak/>
        <w:t>1. Таможенная политика как часть общегосударственной политики</w:t>
      </w:r>
    </w:p>
    <w:p w:rsidR="001E1BCD" w:rsidRPr="001E1BCD" w:rsidRDefault="001E1BCD" w:rsidP="00EE1175">
      <w:pPr>
        <w:pStyle w:val="a3"/>
        <w:spacing w:line="360" w:lineRule="auto"/>
        <w:ind w:firstLine="709"/>
        <w:rPr>
          <w:rFonts w:ascii="Times New Roman" w:hAnsi="Times New Roman" w:cs="Times New Roman"/>
          <w:b/>
          <w:sz w:val="28"/>
          <w:szCs w:val="28"/>
        </w:rPr>
      </w:pPr>
      <w:r w:rsidRPr="001E1BCD">
        <w:rPr>
          <w:rFonts w:ascii="Times New Roman" w:hAnsi="Times New Roman" w:cs="Times New Roman"/>
          <w:b/>
          <w:sz w:val="28"/>
          <w:szCs w:val="28"/>
        </w:rPr>
        <w:t>1.1</w:t>
      </w:r>
      <w:r>
        <w:rPr>
          <w:rFonts w:ascii="Times New Roman" w:hAnsi="Times New Roman" w:cs="Times New Roman"/>
          <w:b/>
          <w:sz w:val="28"/>
          <w:szCs w:val="28"/>
        </w:rPr>
        <w:t>.</w:t>
      </w:r>
      <w:r w:rsidRPr="001E1BCD">
        <w:rPr>
          <w:rFonts w:ascii="Times New Roman" w:hAnsi="Times New Roman" w:cs="Times New Roman"/>
          <w:b/>
          <w:sz w:val="28"/>
          <w:szCs w:val="28"/>
        </w:rPr>
        <w:t xml:space="preserve">  Понятие «Таможенная политика»</w:t>
      </w:r>
    </w:p>
    <w:p w:rsidR="001E1BCD" w:rsidRDefault="001E1BCD" w:rsidP="001E1BCD">
      <w:pPr>
        <w:pStyle w:val="a3"/>
        <w:rPr>
          <w:rFonts w:ascii="Times New Roman" w:hAnsi="Times New Roman" w:cs="Times New Roman"/>
          <w:b/>
          <w:sz w:val="28"/>
          <w:szCs w:val="28"/>
          <w:u w:val="single"/>
        </w:rPr>
      </w:pPr>
    </w:p>
    <w:p w:rsidR="001E1BCD" w:rsidRPr="001E1BCD" w:rsidRDefault="001E1BCD" w:rsidP="001E1BCD">
      <w:pPr>
        <w:pStyle w:val="a3"/>
        <w:spacing w:line="360" w:lineRule="auto"/>
        <w:ind w:firstLine="709"/>
        <w:jc w:val="both"/>
        <w:rPr>
          <w:rFonts w:ascii="Times New Roman" w:hAnsi="Times New Roman" w:cs="Times New Roman"/>
          <w:b/>
          <w:sz w:val="28"/>
          <w:szCs w:val="28"/>
          <w:u w:val="single"/>
        </w:rPr>
      </w:pPr>
      <w:r w:rsidRPr="00882C82">
        <w:rPr>
          <w:rFonts w:ascii="Times New Roman" w:hAnsi="Times New Roman" w:cs="Times New Roman"/>
          <w:b/>
          <w:bCs/>
          <w:i/>
          <w:sz w:val="28"/>
          <w:szCs w:val="28"/>
        </w:rPr>
        <w:t xml:space="preserve">Таможенная политика </w:t>
      </w:r>
      <w:r w:rsidRPr="00882C82">
        <w:rPr>
          <w:rFonts w:ascii="Times New Roman" w:hAnsi="Times New Roman" w:cs="Times New Roman"/>
          <w:i/>
          <w:sz w:val="28"/>
          <w:szCs w:val="28"/>
        </w:rPr>
        <w:t xml:space="preserve">- это комплекс  мер и направлений в сфере внешнеэкономической деятельности, осуществляемых через таможенную систему. </w:t>
      </w:r>
    </w:p>
    <w:p w:rsidR="001E1BCD" w:rsidRPr="00882C82" w:rsidRDefault="001E1BCD" w:rsidP="001E1BCD">
      <w:pPr>
        <w:spacing w:line="360" w:lineRule="auto"/>
        <w:ind w:firstLine="709"/>
        <w:rPr>
          <w:szCs w:val="28"/>
        </w:rPr>
      </w:pPr>
      <w:r w:rsidRPr="00882C82">
        <w:rPr>
          <w:szCs w:val="28"/>
        </w:rPr>
        <w:t>Исторически она стала первой формой государственного регулирования внешней торговли. Сущность таможенной политики проявляется в таможенно-тарифном законодательстве, организации таможенных союзов, заключении таможенных конвенций, создании свободных таможенных зон и т.д. Таможенная политика - неотъемлемая часть экономической и внешнеторговой политики государства, и поэтому она зависит от целей и задач общей экономической стратегии правительства.</w:t>
      </w:r>
    </w:p>
    <w:p w:rsidR="001E1BCD" w:rsidRPr="001E1BCD" w:rsidRDefault="001E1BCD" w:rsidP="001E1BCD">
      <w:pPr>
        <w:pStyle w:val="a3"/>
        <w:spacing w:line="360" w:lineRule="auto"/>
        <w:ind w:firstLine="709"/>
        <w:jc w:val="both"/>
        <w:rPr>
          <w:rFonts w:ascii="Times New Roman" w:hAnsi="Times New Roman" w:cs="Times New Roman"/>
          <w:sz w:val="28"/>
          <w:szCs w:val="28"/>
        </w:rPr>
      </w:pPr>
      <w:r w:rsidRPr="001E1BCD">
        <w:rPr>
          <w:rFonts w:ascii="Times New Roman" w:hAnsi="Times New Roman" w:cs="Times New Roman"/>
          <w:sz w:val="28"/>
          <w:szCs w:val="28"/>
        </w:rPr>
        <w:t>Таможенная политика РФ обеспечивает эффективное использование инструментов таможенного контроля по защите российского рынка, стимулирует развитие национальной экономики, содействует проведению структурной перестройки и иным целям, определенным Федеральным собранием РФ, Президентом РФ и Правительством РФ в соответствии с ТК ТС и другими законодательными актами РФ.</w:t>
      </w:r>
    </w:p>
    <w:p w:rsidR="001E1BCD" w:rsidRPr="001E1BCD" w:rsidRDefault="001E1BCD" w:rsidP="001E1BCD">
      <w:pPr>
        <w:pStyle w:val="a3"/>
        <w:spacing w:line="360" w:lineRule="auto"/>
        <w:ind w:firstLine="709"/>
        <w:jc w:val="both"/>
        <w:rPr>
          <w:rFonts w:ascii="Times New Roman" w:hAnsi="Times New Roman" w:cs="Times New Roman"/>
          <w:sz w:val="28"/>
          <w:szCs w:val="28"/>
        </w:rPr>
      </w:pPr>
      <w:r w:rsidRPr="001E1BCD">
        <w:rPr>
          <w:rFonts w:ascii="Times New Roman" w:hAnsi="Times New Roman" w:cs="Times New Roman"/>
          <w:sz w:val="28"/>
          <w:szCs w:val="28"/>
        </w:rPr>
        <w:t xml:space="preserve">Формирование таможенной политики любого государства предполагает два важных подхода к определению ее направленности: </w:t>
      </w:r>
    </w:p>
    <w:p w:rsidR="001E1BCD" w:rsidRPr="00882C82" w:rsidRDefault="001E1BCD" w:rsidP="001E1BCD">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Протекционизм</w:t>
      </w:r>
      <w:r w:rsidRPr="00882C82">
        <w:rPr>
          <w:rFonts w:ascii="Times New Roman" w:hAnsi="Times New Roman" w:cs="Times New Roman"/>
          <w:sz w:val="28"/>
          <w:szCs w:val="28"/>
        </w:rPr>
        <w:t xml:space="preserve"> - это политика, направленная на защиту собственной промышленности, сельского хозяйства от иностранной конкуренции на внутреннем рынке. Протекционистская таможенная политика направлена на создание наиболее благоприятных условий для развития отечественного производства и внутреннего рынка. Ее основные цели достигаются путем установления высокого уровня таможенного обложения на импортируемые товары и ограничением импорта.</w:t>
      </w:r>
    </w:p>
    <w:p w:rsidR="001E1BCD" w:rsidRPr="00882C82" w:rsidRDefault="001E1BCD" w:rsidP="001E1BCD">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Фритредерство</w:t>
      </w:r>
      <w:r w:rsidRPr="00882C82">
        <w:rPr>
          <w:rFonts w:ascii="Times New Roman" w:hAnsi="Times New Roman" w:cs="Times New Roman"/>
          <w:sz w:val="28"/>
          <w:szCs w:val="28"/>
        </w:rPr>
        <w:t xml:space="preserve"> - это политика свободной торговли. Она устраняет всякие помехи во внешнеторговых отношениях и достигается путем минимизации каких-либо ограничений на внешнеторговый оборот, что ведет к его росту, а также способствует более выгодному международному разделению труда и удовлетворению потребностей рынка. В отличие от протекционизма политика </w:t>
      </w:r>
      <w:r w:rsidRPr="00882C82">
        <w:rPr>
          <w:rFonts w:ascii="Times New Roman" w:hAnsi="Times New Roman" w:cs="Times New Roman"/>
          <w:sz w:val="28"/>
          <w:szCs w:val="28"/>
        </w:rPr>
        <w:lastRenderedPageBreak/>
        <w:t>свободной торговли предполагает минимальный уровень таможенных пошлин и направлена на всемерное поощрение ввоза иностранных товаров на внутренний рынок страны.</w:t>
      </w:r>
    </w:p>
    <w:p w:rsidR="001E1BCD" w:rsidRPr="001E1BCD" w:rsidRDefault="001E1BCD" w:rsidP="001E1BCD">
      <w:pPr>
        <w:spacing w:line="360" w:lineRule="auto"/>
        <w:ind w:firstLine="709"/>
        <w:rPr>
          <w:szCs w:val="28"/>
        </w:rPr>
      </w:pPr>
      <w:r w:rsidRPr="001E1BCD">
        <w:rPr>
          <w:szCs w:val="28"/>
        </w:rPr>
        <w:t>Основными средствами (инструментами) реализации таможенной политики являются:</w:t>
      </w:r>
    </w:p>
    <w:p w:rsidR="001E1BCD" w:rsidRDefault="001E1BCD" w:rsidP="001E1BCD">
      <w:pPr>
        <w:spacing w:after="200" w:line="360" w:lineRule="auto"/>
        <w:rPr>
          <w:szCs w:val="28"/>
        </w:rPr>
      </w:pPr>
      <w:r>
        <w:rPr>
          <w:szCs w:val="28"/>
        </w:rPr>
        <w:t>-</w:t>
      </w:r>
      <w:r w:rsidRPr="001E1BCD">
        <w:rPr>
          <w:szCs w:val="28"/>
        </w:rPr>
        <w:t xml:space="preserve"> таможенные пошлины - обязательный платеж, взимаемый таможенными органами в связи с перемещением товаров через таможенную границу. (ст. 4, пункт 1 ТК Таможенного союза);</w:t>
      </w:r>
    </w:p>
    <w:p w:rsidR="001E1BCD" w:rsidRDefault="001E1BCD" w:rsidP="001E1BCD">
      <w:pPr>
        <w:spacing w:after="200" w:line="360" w:lineRule="auto"/>
        <w:rPr>
          <w:szCs w:val="28"/>
        </w:rPr>
      </w:pPr>
      <w:r>
        <w:rPr>
          <w:szCs w:val="28"/>
        </w:rPr>
        <w:t xml:space="preserve">- </w:t>
      </w:r>
      <w:r w:rsidRPr="001E1BCD">
        <w:rPr>
          <w:szCs w:val="28"/>
        </w:rPr>
        <w:t>сборы (тарифное, или экономическое, регулирование);</w:t>
      </w:r>
    </w:p>
    <w:p w:rsidR="001E1BCD" w:rsidRDefault="001E1BCD" w:rsidP="001E1BCD">
      <w:pPr>
        <w:spacing w:after="200" w:line="360" w:lineRule="auto"/>
        <w:rPr>
          <w:szCs w:val="28"/>
        </w:rPr>
      </w:pPr>
      <w:r>
        <w:rPr>
          <w:szCs w:val="28"/>
        </w:rPr>
        <w:t xml:space="preserve">- </w:t>
      </w:r>
      <w:r w:rsidRPr="001E1BCD">
        <w:rPr>
          <w:szCs w:val="28"/>
        </w:rPr>
        <w:t>процедура таможенного оформления и таможенного контроля;</w:t>
      </w:r>
    </w:p>
    <w:p w:rsidR="001E1BCD" w:rsidRPr="001E1BCD" w:rsidRDefault="001E1BCD" w:rsidP="001E1BCD">
      <w:pPr>
        <w:spacing w:after="200" w:line="360" w:lineRule="auto"/>
        <w:rPr>
          <w:szCs w:val="28"/>
        </w:rPr>
      </w:pPr>
      <w:r>
        <w:rPr>
          <w:szCs w:val="28"/>
        </w:rPr>
        <w:t xml:space="preserve">- </w:t>
      </w:r>
      <w:r w:rsidRPr="001E1BCD">
        <w:rPr>
          <w:szCs w:val="28"/>
        </w:rPr>
        <w:t xml:space="preserve">различные таможенные ограничения и формальности, связанные с практикой внешнеторгового лицензирования и квотирования (нетарифное, или административное, регулирование). </w:t>
      </w:r>
    </w:p>
    <w:p w:rsidR="001E1BCD" w:rsidRPr="001E1BCD" w:rsidRDefault="001E1BCD" w:rsidP="001E1BCD">
      <w:pPr>
        <w:spacing w:line="360" w:lineRule="auto"/>
        <w:ind w:firstLine="709"/>
        <w:rPr>
          <w:szCs w:val="28"/>
        </w:rPr>
      </w:pPr>
      <w:r w:rsidRPr="001E1BCD">
        <w:rPr>
          <w:b/>
          <w:bCs/>
          <w:szCs w:val="28"/>
        </w:rPr>
        <w:t xml:space="preserve">Таможенная политика </w:t>
      </w:r>
      <w:r w:rsidRPr="001E1BCD">
        <w:rPr>
          <w:szCs w:val="28"/>
        </w:rPr>
        <w:t>должна быть: относительно стабильна и предсказуема; прозрачна для деловых кругов, понимаема ими; управление ею должно носить государственный характер и быть свободным от амбиций, лоббирования (цивилизованное лоббирование не исключается - оно неизбежно), подчинена обеспечению экономической безопасности.</w:t>
      </w:r>
    </w:p>
    <w:p w:rsidR="001E1BCD" w:rsidRDefault="001E1BCD" w:rsidP="001E1BCD">
      <w:pPr>
        <w:spacing w:line="360" w:lineRule="auto"/>
        <w:ind w:firstLine="709"/>
        <w:rPr>
          <w:szCs w:val="28"/>
        </w:rPr>
      </w:pPr>
      <w:r w:rsidRPr="001E1BCD">
        <w:rPr>
          <w:szCs w:val="28"/>
        </w:rPr>
        <w:t xml:space="preserve">К </w:t>
      </w:r>
      <w:r w:rsidRPr="001E1BCD">
        <w:rPr>
          <w:b/>
          <w:bCs/>
          <w:szCs w:val="28"/>
        </w:rPr>
        <w:t xml:space="preserve">таможенным платежам </w:t>
      </w:r>
      <w:r w:rsidRPr="001E1BCD">
        <w:rPr>
          <w:szCs w:val="28"/>
        </w:rPr>
        <w:t>относятся:</w:t>
      </w:r>
    </w:p>
    <w:p w:rsidR="001E1BCD" w:rsidRDefault="001E1BCD" w:rsidP="001E1BCD">
      <w:pPr>
        <w:spacing w:line="360" w:lineRule="auto"/>
        <w:ind w:firstLine="709"/>
        <w:rPr>
          <w:szCs w:val="28"/>
        </w:rPr>
      </w:pPr>
      <w:r>
        <w:rPr>
          <w:szCs w:val="28"/>
        </w:rPr>
        <w:t xml:space="preserve">- </w:t>
      </w:r>
      <w:r w:rsidRPr="001E1BCD">
        <w:rPr>
          <w:szCs w:val="28"/>
        </w:rPr>
        <w:t>ввозная таможенная пошлина;</w:t>
      </w:r>
    </w:p>
    <w:p w:rsidR="001E1BCD" w:rsidRDefault="001E1BCD" w:rsidP="001E1BCD">
      <w:pPr>
        <w:spacing w:line="360" w:lineRule="auto"/>
        <w:ind w:firstLine="709"/>
        <w:rPr>
          <w:szCs w:val="28"/>
        </w:rPr>
      </w:pPr>
      <w:r>
        <w:rPr>
          <w:szCs w:val="28"/>
        </w:rPr>
        <w:t xml:space="preserve">- </w:t>
      </w:r>
      <w:r w:rsidRPr="001E1BCD">
        <w:rPr>
          <w:szCs w:val="28"/>
        </w:rPr>
        <w:t>вывозная таможенная пошлина;</w:t>
      </w:r>
    </w:p>
    <w:p w:rsidR="001E1BCD" w:rsidRDefault="001E1BCD" w:rsidP="001E1BCD">
      <w:pPr>
        <w:spacing w:line="360" w:lineRule="auto"/>
        <w:ind w:firstLine="709"/>
        <w:rPr>
          <w:szCs w:val="28"/>
        </w:rPr>
      </w:pPr>
      <w:r>
        <w:rPr>
          <w:szCs w:val="28"/>
        </w:rPr>
        <w:t xml:space="preserve">- </w:t>
      </w:r>
      <w:r w:rsidRPr="001E1BCD">
        <w:rPr>
          <w:szCs w:val="28"/>
        </w:rPr>
        <w:t>налог на добавленную стоимость, взимаемый при ввозе товаров на таможенную территорию таможенного союза;</w:t>
      </w:r>
    </w:p>
    <w:p w:rsidR="001E1BCD" w:rsidRDefault="001E1BCD" w:rsidP="001E1BCD">
      <w:pPr>
        <w:spacing w:line="360" w:lineRule="auto"/>
        <w:ind w:firstLine="709"/>
        <w:rPr>
          <w:szCs w:val="28"/>
        </w:rPr>
      </w:pPr>
      <w:r>
        <w:rPr>
          <w:szCs w:val="28"/>
        </w:rPr>
        <w:t xml:space="preserve">- </w:t>
      </w:r>
      <w:r w:rsidRPr="001E1BCD">
        <w:rPr>
          <w:szCs w:val="28"/>
        </w:rPr>
        <w:t>акциз (акцизы), взимаемый (взимаемые) при ввозе товаров на таможенную территорию таможенного союза; </w:t>
      </w:r>
    </w:p>
    <w:p w:rsidR="001E1BCD" w:rsidRPr="001E1BCD" w:rsidRDefault="001E1BCD" w:rsidP="001E1BCD">
      <w:pPr>
        <w:spacing w:line="360" w:lineRule="auto"/>
        <w:ind w:firstLine="709"/>
        <w:rPr>
          <w:szCs w:val="28"/>
        </w:rPr>
      </w:pPr>
      <w:r>
        <w:rPr>
          <w:szCs w:val="28"/>
        </w:rPr>
        <w:t xml:space="preserve">- </w:t>
      </w:r>
      <w:r w:rsidRPr="001E1BCD">
        <w:rPr>
          <w:szCs w:val="28"/>
        </w:rPr>
        <w:t xml:space="preserve">таможенные сборы. </w:t>
      </w:r>
    </w:p>
    <w:p w:rsidR="001E1BCD" w:rsidRPr="001E1BCD" w:rsidRDefault="001E1BCD" w:rsidP="001E1BCD">
      <w:pPr>
        <w:spacing w:line="360" w:lineRule="auto"/>
        <w:ind w:firstLine="709"/>
        <w:rPr>
          <w:szCs w:val="28"/>
        </w:rPr>
      </w:pPr>
      <w:r w:rsidRPr="001E1BCD">
        <w:rPr>
          <w:b/>
          <w:bCs/>
          <w:szCs w:val="28"/>
        </w:rPr>
        <w:t xml:space="preserve">      Виды ставок таможенных пошлин:</w:t>
      </w:r>
    </w:p>
    <w:p w:rsidR="001E1BCD" w:rsidRDefault="001E1BCD" w:rsidP="001E1BCD">
      <w:pPr>
        <w:spacing w:line="360" w:lineRule="auto"/>
        <w:ind w:firstLine="709"/>
        <w:rPr>
          <w:szCs w:val="28"/>
        </w:rPr>
      </w:pPr>
      <w:r w:rsidRPr="001E1BCD">
        <w:rPr>
          <w:szCs w:val="28"/>
        </w:rPr>
        <w:t> Ставки таможенных пошлин подразделяются на следующие виды: </w:t>
      </w:r>
    </w:p>
    <w:p w:rsidR="001E1BCD" w:rsidRDefault="001E1BCD" w:rsidP="001E1BCD">
      <w:pPr>
        <w:spacing w:line="360" w:lineRule="auto"/>
        <w:ind w:firstLine="709"/>
        <w:rPr>
          <w:szCs w:val="28"/>
        </w:rPr>
      </w:pPr>
      <w:r>
        <w:rPr>
          <w:szCs w:val="28"/>
        </w:rPr>
        <w:lastRenderedPageBreak/>
        <w:t>-</w:t>
      </w:r>
      <w:r w:rsidRPr="001E1BCD">
        <w:rPr>
          <w:szCs w:val="28"/>
        </w:rPr>
        <w:t xml:space="preserve"> </w:t>
      </w:r>
      <w:r w:rsidRPr="001E1BCD">
        <w:rPr>
          <w:b/>
          <w:bCs/>
          <w:szCs w:val="28"/>
        </w:rPr>
        <w:t>адвалорные</w:t>
      </w:r>
      <w:r w:rsidRPr="001E1BCD">
        <w:rPr>
          <w:szCs w:val="28"/>
        </w:rPr>
        <w:t xml:space="preserve"> - установленные в процентах к таможенной стоимости облагаемых товаров;</w:t>
      </w:r>
    </w:p>
    <w:p w:rsidR="001E1BCD" w:rsidRDefault="001E1BCD" w:rsidP="001E1BCD">
      <w:pPr>
        <w:spacing w:line="360" w:lineRule="auto"/>
        <w:ind w:firstLine="709"/>
        <w:rPr>
          <w:szCs w:val="28"/>
        </w:rPr>
      </w:pPr>
      <w:r>
        <w:rPr>
          <w:szCs w:val="28"/>
        </w:rPr>
        <w:t xml:space="preserve">- </w:t>
      </w:r>
      <w:r w:rsidRPr="001E1BCD">
        <w:rPr>
          <w:b/>
          <w:bCs/>
          <w:szCs w:val="28"/>
        </w:rPr>
        <w:t>специфические</w:t>
      </w:r>
      <w:r w:rsidRPr="001E1BCD">
        <w:rPr>
          <w:szCs w:val="28"/>
        </w:rPr>
        <w:t xml:space="preserve"> - установленные в зависимости от физических характеристик в натуральном выражении (количества, массы, объема или иных характеристик);</w:t>
      </w:r>
    </w:p>
    <w:p w:rsidR="001E1BCD" w:rsidRPr="001E1BCD" w:rsidRDefault="001E1BCD" w:rsidP="001E1BCD">
      <w:pPr>
        <w:spacing w:line="360" w:lineRule="auto"/>
        <w:ind w:firstLine="709"/>
        <w:rPr>
          <w:szCs w:val="28"/>
        </w:rPr>
      </w:pPr>
      <w:r>
        <w:rPr>
          <w:szCs w:val="28"/>
        </w:rPr>
        <w:t xml:space="preserve">- </w:t>
      </w:r>
      <w:r w:rsidRPr="001E1BCD">
        <w:rPr>
          <w:b/>
          <w:bCs/>
          <w:szCs w:val="28"/>
        </w:rPr>
        <w:t>комбинированные</w:t>
      </w:r>
      <w:r w:rsidRPr="001E1BCD">
        <w:rPr>
          <w:szCs w:val="28"/>
        </w:rPr>
        <w:t xml:space="preserve"> - сочетающие оба вышеназванных вида таможенного обложения. </w:t>
      </w:r>
    </w:p>
    <w:p w:rsidR="001E1BCD" w:rsidRPr="00882C82" w:rsidRDefault="001E1BCD" w:rsidP="001E1BCD">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И, наконец, к ввозимым на таможенную территорию РФ товарам могут временно применяться особые виды пошлин: специальные, антидемпинг</w:t>
      </w:r>
      <w:r>
        <w:rPr>
          <w:rFonts w:ascii="Times New Roman" w:hAnsi="Times New Roman" w:cs="Times New Roman"/>
          <w:sz w:val="28"/>
          <w:szCs w:val="28"/>
        </w:rPr>
        <w:t>овые, компенсационные</w:t>
      </w:r>
      <w:r w:rsidRPr="00882C82">
        <w:rPr>
          <w:rFonts w:ascii="Times New Roman" w:hAnsi="Times New Roman" w:cs="Times New Roman"/>
          <w:sz w:val="28"/>
          <w:szCs w:val="28"/>
        </w:rPr>
        <w:t xml:space="preserve">. </w:t>
      </w:r>
    </w:p>
    <w:p w:rsidR="001E1BCD" w:rsidRPr="00882C82" w:rsidRDefault="001E1BCD" w:rsidP="001E1BCD">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 Ставки особых пошлин устанавливает правительство РФ. Следует отметить, что применение особых видов пошлин довольно затруднительно, т.к. требует предварительного и сложного расследования, осуществляемого по инициативе государственных органов управления РФ. </w:t>
      </w:r>
    </w:p>
    <w:p w:rsidR="001E1BCD" w:rsidRPr="00882C82" w:rsidRDefault="001E1BCD" w:rsidP="001E1BCD">
      <w:pPr>
        <w:pStyle w:val="a3"/>
        <w:spacing w:line="360" w:lineRule="auto"/>
        <w:ind w:firstLine="709"/>
        <w:jc w:val="both"/>
        <w:rPr>
          <w:rFonts w:ascii="Times New Roman" w:hAnsi="Times New Roman" w:cs="Times New Roman"/>
          <w:sz w:val="28"/>
          <w:szCs w:val="28"/>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741513" w:rsidRDefault="00741513"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7D24DB" w:rsidRDefault="001E1BCD" w:rsidP="007D24DB">
      <w:pPr>
        <w:spacing w:line="276" w:lineRule="auto"/>
        <w:rPr>
          <w:b/>
        </w:rPr>
      </w:pPr>
      <w:r w:rsidRPr="007D24DB">
        <w:rPr>
          <w:b/>
        </w:rPr>
        <w:lastRenderedPageBreak/>
        <w:t>1.2</w:t>
      </w:r>
      <w:r w:rsidR="007D24DB" w:rsidRPr="007D24DB">
        <w:rPr>
          <w:b/>
        </w:rPr>
        <w:t>.</w:t>
      </w:r>
      <w:r w:rsidRPr="007D24DB">
        <w:rPr>
          <w:b/>
        </w:rPr>
        <w:t xml:space="preserve">  Цели и задачи таможенной политики</w:t>
      </w:r>
    </w:p>
    <w:p w:rsidR="007D24DB" w:rsidRPr="007D24DB" w:rsidRDefault="007D24DB" w:rsidP="007D24DB">
      <w:pPr>
        <w:spacing w:line="276" w:lineRule="auto"/>
        <w:rPr>
          <w:b/>
        </w:rPr>
      </w:pPr>
    </w:p>
    <w:p w:rsidR="001E1BCD" w:rsidRPr="001E1BCD" w:rsidRDefault="001E1BCD" w:rsidP="007D24DB">
      <w:pPr>
        <w:spacing w:line="360" w:lineRule="auto"/>
      </w:pPr>
      <w:r w:rsidRPr="007D24DB">
        <w:rPr>
          <w:b/>
          <w:bCs/>
        </w:rPr>
        <w:t>Цель</w:t>
      </w:r>
      <w:r w:rsidRPr="001E1BCD">
        <w:t xml:space="preserve"> - повышение глобальной конкурентноспособности российской экономики за счет эффективного применения инструментов  таможенно-тарифного и нетарифного регулирования.</w:t>
      </w:r>
    </w:p>
    <w:p w:rsidR="001E1BCD" w:rsidRPr="001E1BCD" w:rsidRDefault="001E1BCD" w:rsidP="007D24DB">
      <w:pPr>
        <w:pStyle w:val="a3"/>
        <w:spacing w:line="360" w:lineRule="auto"/>
        <w:ind w:firstLine="709"/>
        <w:jc w:val="both"/>
        <w:rPr>
          <w:rFonts w:ascii="Times New Roman" w:hAnsi="Times New Roman" w:cs="Times New Roman"/>
          <w:sz w:val="28"/>
          <w:szCs w:val="28"/>
        </w:rPr>
      </w:pPr>
      <w:r w:rsidRPr="001E1BCD">
        <w:rPr>
          <w:rFonts w:ascii="Times New Roman" w:hAnsi="Times New Roman" w:cs="Times New Roman"/>
          <w:b/>
          <w:bCs/>
          <w:sz w:val="28"/>
          <w:szCs w:val="28"/>
        </w:rPr>
        <w:t>Задачи:</w:t>
      </w:r>
    </w:p>
    <w:p w:rsidR="001E1BCD" w:rsidRPr="001E1BCD" w:rsidRDefault="001E1BCD" w:rsidP="007D24DB">
      <w:pPr>
        <w:pStyle w:val="a3"/>
        <w:spacing w:line="360" w:lineRule="auto"/>
        <w:ind w:firstLine="709"/>
        <w:jc w:val="both"/>
        <w:rPr>
          <w:rFonts w:ascii="Times New Roman" w:hAnsi="Times New Roman" w:cs="Times New Roman"/>
          <w:sz w:val="28"/>
          <w:szCs w:val="28"/>
        </w:rPr>
      </w:pPr>
      <w:r w:rsidRPr="001E1BCD">
        <w:rPr>
          <w:rFonts w:ascii="Times New Roman" w:hAnsi="Times New Roman" w:cs="Times New Roman"/>
          <w:sz w:val="28"/>
          <w:szCs w:val="28"/>
        </w:rPr>
        <w:t>1) Содействие технологической модернизации российской экономики за счет облегчения доступа к использованию передовых иностранных технологий и оборудования. </w:t>
      </w:r>
    </w:p>
    <w:p w:rsidR="001E1BCD" w:rsidRPr="001E1BCD" w:rsidRDefault="001E1BCD" w:rsidP="007D24DB">
      <w:pPr>
        <w:pStyle w:val="a3"/>
        <w:spacing w:line="360" w:lineRule="auto"/>
        <w:ind w:firstLine="709"/>
        <w:jc w:val="both"/>
        <w:rPr>
          <w:rFonts w:ascii="Times New Roman" w:hAnsi="Times New Roman" w:cs="Times New Roman"/>
          <w:sz w:val="28"/>
          <w:szCs w:val="28"/>
        </w:rPr>
      </w:pPr>
      <w:r w:rsidRPr="001E1BCD">
        <w:rPr>
          <w:rFonts w:ascii="Times New Roman" w:hAnsi="Times New Roman" w:cs="Times New Roman"/>
          <w:sz w:val="28"/>
          <w:szCs w:val="28"/>
        </w:rPr>
        <w:t>2) Стимулирование развития производственно-технологической коопераций российских и иностранных компаний, содействие переносу глобально ориентированных обрабатывающих производств на территорию РФ.</w:t>
      </w:r>
    </w:p>
    <w:p w:rsidR="001E1BCD" w:rsidRPr="001E1BCD" w:rsidRDefault="001E1BCD" w:rsidP="007D24DB">
      <w:pPr>
        <w:pStyle w:val="a3"/>
        <w:spacing w:line="360" w:lineRule="auto"/>
        <w:ind w:firstLine="709"/>
        <w:jc w:val="both"/>
        <w:rPr>
          <w:rFonts w:ascii="Times New Roman" w:hAnsi="Times New Roman" w:cs="Times New Roman"/>
          <w:sz w:val="28"/>
          <w:szCs w:val="28"/>
        </w:rPr>
      </w:pPr>
      <w:r w:rsidRPr="001E1BCD">
        <w:rPr>
          <w:rFonts w:ascii="Times New Roman" w:hAnsi="Times New Roman" w:cs="Times New Roman"/>
          <w:sz w:val="28"/>
          <w:szCs w:val="28"/>
        </w:rPr>
        <w:t>3) Повышение конкурентности российских рынков, защита развивающихся рынков, уязвимых для импорта.</w:t>
      </w:r>
    </w:p>
    <w:p w:rsidR="001E1BCD" w:rsidRPr="001E1BCD" w:rsidRDefault="001E1BCD" w:rsidP="007D24DB">
      <w:pPr>
        <w:pStyle w:val="a3"/>
        <w:spacing w:line="360" w:lineRule="auto"/>
        <w:ind w:firstLine="709"/>
        <w:jc w:val="both"/>
        <w:rPr>
          <w:rFonts w:ascii="Times New Roman" w:hAnsi="Times New Roman" w:cs="Times New Roman"/>
          <w:sz w:val="28"/>
          <w:szCs w:val="28"/>
        </w:rPr>
      </w:pPr>
      <w:r w:rsidRPr="001E1BCD">
        <w:rPr>
          <w:rFonts w:ascii="Times New Roman" w:hAnsi="Times New Roman" w:cs="Times New Roman"/>
          <w:sz w:val="28"/>
          <w:szCs w:val="28"/>
        </w:rPr>
        <w:t>4) Унификация таможенной политики со странами, формирующиеми ТС в рамках ЕврАзЭС.</w:t>
      </w:r>
    </w:p>
    <w:p w:rsidR="001E1BCD" w:rsidRDefault="001E1BCD" w:rsidP="007D24DB">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rsidP="001E1BCD">
      <w:pPr>
        <w:spacing w:line="360" w:lineRule="auto"/>
        <w:ind w:firstLine="709"/>
        <w:rPr>
          <w:b/>
        </w:rPr>
      </w:pPr>
    </w:p>
    <w:p w:rsidR="001E1BCD" w:rsidRDefault="001E1BCD">
      <w:pPr>
        <w:rPr>
          <w:b/>
        </w:rPr>
      </w:pPr>
    </w:p>
    <w:p w:rsidR="001E1BCD" w:rsidRDefault="001E1BCD">
      <w:pPr>
        <w:rPr>
          <w:b/>
        </w:rPr>
      </w:pPr>
    </w:p>
    <w:p w:rsidR="001E1BCD" w:rsidRDefault="001E1BCD">
      <w:pPr>
        <w:rPr>
          <w:b/>
        </w:rPr>
      </w:pPr>
    </w:p>
    <w:p w:rsidR="001E1BCD" w:rsidRDefault="001E1BCD">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pPr>
        <w:rPr>
          <w:b/>
        </w:rPr>
      </w:pPr>
    </w:p>
    <w:p w:rsidR="007D24DB" w:rsidRDefault="007D24DB" w:rsidP="007D24DB">
      <w:pPr>
        <w:pStyle w:val="a3"/>
        <w:spacing w:line="276" w:lineRule="auto"/>
        <w:ind w:firstLine="709"/>
        <w:rPr>
          <w:rFonts w:ascii="Times New Roman" w:hAnsi="Times New Roman" w:cs="Times New Roman"/>
          <w:b/>
          <w:sz w:val="28"/>
          <w:szCs w:val="28"/>
        </w:rPr>
      </w:pPr>
      <w:r w:rsidRPr="007D24DB">
        <w:rPr>
          <w:rFonts w:ascii="Times New Roman" w:hAnsi="Times New Roman" w:cs="Times New Roman"/>
          <w:b/>
          <w:sz w:val="28"/>
          <w:szCs w:val="28"/>
        </w:rPr>
        <w:lastRenderedPageBreak/>
        <w:t>1.3  Субъекты  таможенной политики</w:t>
      </w:r>
    </w:p>
    <w:p w:rsidR="007D24DB" w:rsidRPr="007D24DB" w:rsidRDefault="007D24DB" w:rsidP="007D24DB">
      <w:pPr>
        <w:pStyle w:val="a3"/>
        <w:spacing w:line="276" w:lineRule="auto"/>
        <w:ind w:firstLine="709"/>
        <w:rPr>
          <w:rFonts w:ascii="Times New Roman" w:hAnsi="Times New Roman" w:cs="Times New Roman"/>
          <w:b/>
          <w:sz w:val="28"/>
          <w:szCs w:val="28"/>
        </w:rPr>
      </w:pPr>
    </w:p>
    <w:p w:rsidR="007D24DB" w:rsidRPr="00882C82" w:rsidRDefault="007D24DB" w:rsidP="007D24DB">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К субъектам таможенной политики относятся законодательные и исполнительные органы государства: институты таможни, правовые и административные институты власти, а также группы интересов и группы политики, связанные с внешнеэкономической сферой деятельности. К ее объектам относятся участники ВЭД, социальные слои, группы, на которых распространяется или оказывает воздействие таможенная политика.</w:t>
      </w:r>
    </w:p>
    <w:p w:rsidR="007D24DB" w:rsidRDefault="007D24DB" w:rsidP="007D24DB">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К субъектам таможенной политики, формирующим ее, прямо или косвенно принимающим участие в се реализации, относятся:</w:t>
      </w:r>
    </w:p>
    <w:p w:rsidR="007D24DB" w:rsidRDefault="007D24DB" w:rsidP="007D24DB">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о</w:t>
      </w:r>
      <w:r w:rsidRPr="00882C82">
        <w:rPr>
          <w:rFonts w:ascii="Times New Roman" w:hAnsi="Times New Roman" w:cs="Times New Roman"/>
          <w:b/>
          <w:sz w:val="28"/>
          <w:szCs w:val="28"/>
        </w:rPr>
        <w:t>рганы общей компетенции:</w:t>
      </w:r>
      <w:r w:rsidRPr="00882C82">
        <w:rPr>
          <w:rFonts w:ascii="Times New Roman" w:hAnsi="Times New Roman" w:cs="Times New Roman"/>
          <w:sz w:val="28"/>
          <w:szCs w:val="28"/>
        </w:rPr>
        <w:t xml:space="preserve"> Президент, Федеральное собрание, Правительство РФ (утверждение целевых программ, заключение международных договоров в сфере ВЭД, принятие мер по защите внутреннего рынка, установление постановлением Правительства РФ ставок таможенного тарифа).</w:t>
      </w:r>
    </w:p>
    <w:p w:rsidR="007D24DB" w:rsidRPr="007D24DB" w:rsidRDefault="007D24DB" w:rsidP="007D24DB">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w:t>
      </w:r>
      <w:r w:rsidRPr="00882C82">
        <w:rPr>
          <w:rFonts w:ascii="Times New Roman" w:hAnsi="Times New Roman" w:cs="Times New Roman"/>
          <w:b/>
          <w:sz w:val="28"/>
          <w:szCs w:val="28"/>
        </w:rPr>
        <w:t>пециальные государственные органы</w:t>
      </w:r>
      <w:r>
        <w:rPr>
          <w:rFonts w:ascii="Times New Roman" w:hAnsi="Times New Roman" w:cs="Times New Roman"/>
          <w:b/>
          <w:sz w:val="28"/>
          <w:szCs w:val="28"/>
        </w:rPr>
        <w:t xml:space="preserve">: </w:t>
      </w:r>
      <w:r w:rsidRPr="007D24DB">
        <w:rPr>
          <w:rFonts w:ascii="Times New Roman" w:hAnsi="Times New Roman" w:cs="Times New Roman"/>
          <w:sz w:val="28"/>
          <w:szCs w:val="28"/>
        </w:rPr>
        <w:t>Министерство промышленности и торговли РФ,</w:t>
      </w:r>
      <w:r>
        <w:rPr>
          <w:rFonts w:ascii="Times New Roman" w:hAnsi="Times New Roman" w:cs="Times New Roman"/>
          <w:sz w:val="28"/>
          <w:szCs w:val="28"/>
        </w:rPr>
        <w:t xml:space="preserve"> </w:t>
      </w:r>
      <w:r w:rsidRPr="007D24DB">
        <w:rPr>
          <w:rFonts w:ascii="Times New Roman" w:hAnsi="Times New Roman" w:cs="Times New Roman"/>
          <w:sz w:val="28"/>
          <w:szCs w:val="28"/>
        </w:rPr>
        <w:t>Министерство</w:t>
      </w:r>
      <w:r>
        <w:rPr>
          <w:rFonts w:ascii="Times New Roman" w:hAnsi="Times New Roman" w:cs="Times New Roman"/>
          <w:sz w:val="28"/>
          <w:szCs w:val="28"/>
        </w:rPr>
        <w:t xml:space="preserve"> экономического развития РФ, </w:t>
      </w:r>
      <w:r w:rsidRPr="007D24DB">
        <w:rPr>
          <w:rFonts w:ascii="Times New Roman" w:hAnsi="Times New Roman" w:cs="Times New Roman"/>
          <w:sz w:val="28"/>
          <w:szCs w:val="28"/>
        </w:rPr>
        <w:t>Министерство</w:t>
      </w:r>
      <w:r>
        <w:rPr>
          <w:rFonts w:ascii="Times New Roman" w:hAnsi="Times New Roman" w:cs="Times New Roman"/>
          <w:sz w:val="28"/>
          <w:szCs w:val="28"/>
        </w:rPr>
        <w:t xml:space="preserve"> финансов РФ, </w:t>
      </w:r>
      <w:r w:rsidRPr="007D24DB">
        <w:rPr>
          <w:rFonts w:ascii="Times New Roman" w:hAnsi="Times New Roman" w:cs="Times New Roman"/>
          <w:sz w:val="28"/>
          <w:szCs w:val="28"/>
        </w:rPr>
        <w:t>Министерство</w:t>
      </w:r>
      <w:r>
        <w:rPr>
          <w:rFonts w:ascii="Times New Roman" w:hAnsi="Times New Roman" w:cs="Times New Roman"/>
          <w:sz w:val="28"/>
          <w:szCs w:val="28"/>
        </w:rPr>
        <w:t xml:space="preserve"> транспорта РФ, Федеральная таможенная служба.</w:t>
      </w:r>
    </w:p>
    <w:p w:rsidR="007D24DB" w:rsidRPr="00882C82" w:rsidRDefault="007D24DB" w:rsidP="007D24DB">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с</w:t>
      </w:r>
      <w:r w:rsidRPr="00882C82">
        <w:rPr>
          <w:rFonts w:ascii="Times New Roman" w:hAnsi="Times New Roman" w:cs="Times New Roman"/>
          <w:b/>
          <w:sz w:val="28"/>
          <w:szCs w:val="28"/>
        </w:rPr>
        <w:t>одействующие организации:</w:t>
      </w:r>
      <w:r>
        <w:rPr>
          <w:rFonts w:ascii="Times New Roman" w:hAnsi="Times New Roman" w:cs="Times New Roman"/>
          <w:b/>
          <w:sz w:val="28"/>
          <w:szCs w:val="28"/>
        </w:rPr>
        <w:t xml:space="preserve"> </w:t>
      </w:r>
      <w:r>
        <w:rPr>
          <w:rFonts w:ascii="Times New Roman" w:hAnsi="Times New Roman" w:cs="Times New Roman"/>
          <w:sz w:val="28"/>
          <w:szCs w:val="28"/>
        </w:rPr>
        <w:t xml:space="preserve">Банки, </w:t>
      </w:r>
      <w:r w:rsidRPr="00882C82">
        <w:rPr>
          <w:rFonts w:ascii="Times New Roman" w:hAnsi="Times New Roman" w:cs="Times New Roman"/>
          <w:sz w:val="28"/>
          <w:szCs w:val="28"/>
        </w:rPr>
        <w:t>Неправительственные и негосударстве</w:t>
      </w:r>
      <w:r>
        <w:rPr>
          <w:rFonts w:ascii="Times New Roman" w:hAnsi="Times New Roman" w:cs="Times New Roman"/>
          <w:sz w:val="28"/>
          <w:szCs w:val="28"/>
        </w:rPr>
        <w:t>нные международные организации  (</w:t>
      </w:r>
      <w:r w:rsidRPr="00882C82">
        <w:rPr>
          <w:rFonts w:ascii="Times New Roman" w:hAnsi="Times New Roman" w:cs="Times New Roman"/>
          <w:sz w:val="28"/>
          <w:szCs w:val="28"/>
        </w:rPr>
        <w:t>Международная торговая палата; экономические форумы; институты ООН, регулирующие ВЭД: ВТО ГАТТ, МВФ, ЮНКТАД (конференция ООН по торговле и развитию), Всемирная таможенная организация, а также международные советы, международные консультативные комитеты и гру</w:t>
      </w:r>
      <w:r>
        <w:rPr>
          <w:rFonts w:ascii="Times New Roman" w:hAnsi="Times New Roman" w:cs="Times New Roman"/>
          <w:sz w:val="28"/>
          <w:szCs w:val="28"/>
        </w:rPr>
        <w:t>ппы, действующие под эгидой ООН). Э</w:t>
      </w:r>
      <w:r w:rsidRPr="00882C82">
        <w:rPr>
          <w:rFonts w:ascii="Times New Roman" w:hAnsi="Times New Roman" w:cs="Times New Roman"/>
          <w:sz w:val="28"/>
          <w:szCs w:val="28"/>
        </w:rPr>
        <w:t>ти международные структуры формируют механизмы международного регулирования и координации в сфере таможенного дела, настраивающиеся на интересы доминирующих субъектов геополитики и геоэкономики, и реализуют институционально-экономические формы организации потоков трансграничных перемещений и контроля за ними.</w:t>
      </w:r>
    </w:p>
    <w:p w:rsidR="007D24DB" w:rsidRPr="007D24DB" w:rsidRDefault="007D24DB" w:rsidP="007D24DB">
      <w:pPr>
        <w:pStyle w:val="a3"/>
        <w:spacing w:line="360" w:lineRule="auto"/>
        <w:ind w:firstLine="709"/>
        <w:jc w:val="both"/>
        <w:rPr>
          <w:rFonts w:ascii="Times New Roman" w:hAnsi="Times New Roman" w:cs="Times New Roman"/>
          <w:sz w:val="28"/>
          <w:szCs w:val="28"/>
        </w:rPr>
      </w:pPr>
      <w:r w:rsidRPr="007D24DB">
        <w:rPr>
          <w:rFonts w:ascii="Times New Roman" w:hAnsi="Times New Roman" w:cs="Times New Roman"/>
          <w:sz w:val="28"/>
          <w:szCs w:val="28"/>
        </w:rPr>
        <w:t>С точки зрения реализационного подхода в таможенной политике выделяют следующие основные составляющие: правовую (властную), организационную (институциональную), экономическую, психоэтическую, технико-технологическую, коммуникационную.</w:t>
      </w:r>
    </w:p>
    <w:p w:rsidR="007D24DB" w:rsidRPr="00882C82" w:rsidRDefault="007D24DB" w:rsidP="007D24DB">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lastRenderedPageBreak/>
        <w:t>Правовая составляющая</w:t>
      </w:r>
      <w:r w:rsidRPr="00882C82">
        <w:rPr>
          <w:rFonts w:ascii="Times New Roman" w:hAnsi="Times New Roman" w:cs="Times New Roman"/>
          <w:sz w:val="28"/>
          <w:szCs w:val="28"/>
        </w:rPr>
        <w:t>: обретение, удержание и использование государственной власти в сфере регулирования ВЭД. С этой точки зрения таможенная политика - система, комплекс мер, правил регулирования, способов упорядочения ВЭД посредством нормативно-законодательной базы и мерами административно-властного характера, которыми наделены таможенные органы. Однако многие из действующих ныне законов содержат правовые нормы непрямого действия. Это включает механизм ведомственного нормотворчества. Многие конкретные стороны таможенного, валютного, налогового регулирования внешней торговли определяются путем издания ведомственных инструкций, приказов, чем обуславливается запутанность, неразбериха. Реальная практика исполнения всего этого директивного материала стала осязаемым барьером в торговле и породила специфические методы его преодоления - коррупцию. Таможенный тариф должен быть экономически обоснованным, сбалансированным, стабильным и эффективным инструментом защиты экономических интересов России: необходим также четкий механизм доведения всех изменений ставок пошлин до потребителей.</w:t>
      </w:r>
    </w:p>
    <w:p w:rsidR="007D24DB" w:rsidRPr="00882C82" w:rsidRDefault="007D24DB" w:rsidP="007D24DB">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Организационная</w:t>
      </w:r>
      <w:r w:rsidRPr="00882C82">
        <w:rPr>
          <w:rFonts w:ascii="Times New Roman" w:hAnsi="Times New Roman" w:cs="Times New Roman"/>
          <w:sz w:val="28"/>
          <w:szCs w:val="28"/>
        </w:rPr>
        <w:t xml:space="preserve"> (институциональная) характеристика таможенной политики проявляется через госучреждения, институты, в которых она разрабатывается, определяется, реализуется через запретительно-разрешительные или ограничительные системы по трансграничному перемещению товаров, транспорта, людей.</w:t>
      </w:r>
    </w:p>
    <w:p w:rsidR="007D24DB" w:rsidRPr="00882C82" w:rsidRDefault="007D24DB" w:rsidP="007D24DB">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Экономическая компонента</w:t>
      </w:r>
      <w:r w:rsidRPr="00882C82">
        <w:rPr>
          <w:rFonts w:ascii="Times New Roman" w:hAnsi="Times New Roman" w:cs="Times New Roman"/>
          <w:sz w:val="28"/>
          <w:szCs w:val="28"/>
        </w:rPr>
        <w:t xml:space="preserve"> (составляющая) связана с обеспечением реализации внешней и внутренней экономической политики, через протекционизм, свободу торговли преференции и другие средства таможенного регулирования.</w:t>
      </w:r>
    </w:p>
    <w:p w:rsidR="007D24DB" w:rsidRPr="00882C82" w:rsidRDefault="007D24DB" w:rsidP="007D24DB">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Психоэтическая компонента</w:t>
      </w:r>
      <w:r w:rsidRPr="00882C82">
        <w:rPr>
          <w:rFonts w:ascii="Times New Roman" w:hAnsi="Times New Roman" w:cs="Times New Roman"/>
          <w:sz w:val="28"/>
          <w:szCs w:val="28"/>
        </w:rPr>
        <w:t xml:space="preserve"> (составляющая) - разработанная система сценариев, определяющих характер конфликтно-консенсусных шагов, маневров, уступок и т.д. при разрешении противоречий.</w:t>
      </w:r>
    </w:p>
    <w:p w:rsidR="007D24DB" w:rsidRPr="00882C82" w:rsidRDefault="007D24DB" w:rsidP="007D24DB">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Технико-технологическая</w:t>
      </w:r>
      <w:r w:rsidRPr="00882C82">
        <w:rPr>
          <w:rFonts w:ascii="Times New Roman" w:hAnsi="Times New Roman" w:cs="Times New Roman"/>
          <w:sz w:val="28"/>
          <w:szCs w:val="28"/>
        </w:rPr>
        <w:t xml:space="preserve"> составляющая таможенной политики - установленные процедуры таможенного контроля, таможенного оформления, сбора таможенных платежей.</w:t>
      </w:r>
    </w:p>
    <w:p w:rsidR="007D24DB" w:rsidRDefault="007D24DB" w:rsidP="007D24DB">
      <w:pPr>
        <w:pStyle w:val="a3"/>
        <w:spacing w:line="360" w:lineRule="auto"/>
        <w:ind w:firstLine="709"/>
        <w:rPr>
          <w:rFonts w:ascii="Times New Roman" w:hAnsi="Times New Roman" w:cs="Times New Roman"/>
          <w:b/>
          <w:sz w:val="28"/>
          <w:szCs w:val="28"/>
          <w:u w:val="single"/>
        </w:rPr>
      </w:pPr>
    </w:p>
    <w:p w:rsidR="00741513" w:rsidRPr="00882C82" w:rsidRDefault="00741513" w:rsidP="007D24DB">
      <w:pPr>
        <w:pStyle w:val="a3"/>
        <w:spacing w:line="360" w:lineRule="auto"/>
        <w:ind w:firstLine="709"/>
        <w:rPr>
          <w:rFonts w:ascii="Times New Roman" w:hAnsi="Times New Roman" w:cs="Times New Roman"/>
          <w:b/>
          <w:sz w:val="28"/>
          <w:szCs w:val="28"/>
          <w:u w:val="single"/>
        </w:rPr>
      </w:pPr>
    </w:p>
    <w:p w:rsidR="00EE1175" w:rsidRDefault="00EE1175" w:rsidP="00EE1175">
      <w:pPr>
        <w:pStyle w:val="a3"/>
        <w:spacing w:line="276" w:lineRule="auto"/>
        <w:ind w:firstLine="709"/>
        <w:jc w:val="both"/>
        <w:rPr>
          <w:rFonts w:ascii="Times New Roman" w:hAnsi="Times New Roman" w:cs="Times New Roman"/>
          <w:b/>
          <w:sz w:val="28"/>
          <w:szCs w:val="28"/>
        </w:rPr>
      </w:pPr>
      <w:r w:rsidRPr="00EE1175">
        <w:rPr>
          <w:rFonts w:ascii="Times New Roman" w:hAnsi="Times New Roman" w:cs="Times New Roman"/>
          <w:b/>
          <w:sz w:val="28"/>
          <w:szCs w:val="28"/>
        </w:rPr>
        <w:lastRenderedPageBreak/>
        <w:t>1.4  Федеральная таможенная служба</w:t>
      </w:r>
    </w:p>
    <w:p w:rsidR="00EE1175" w:rsidRPr="00EE1175" w:rsidRDefault="00EE1175" w:rsidP="00EE1175">
      <w:pPr>
        <w:pStyle w:val="a3"/>
        <w:spacing w:line="276" w:lineRule="auto"/>
        <w:ind w:firstLine="709"/>
        <w:jc w:val="both"/>
        <w:rPr>
          <w:rFonts w:ascii="Times New Roman" w:hAnsi="Times New Roman" w:cs="Times New Roman"/>
          <w:b/>
          <w:sz w:val="28"/>
          <w:szCs w:val="28"/>
        </w:rPr>
      </w:pPr>
    </w:p>
    <w:p w:rsidR="00EE1175" w:rsidRPr="00EE1175" w:rsidRDefault="00EE1175" w:rsidP="00EE1175">
      <w:pPr>
        <w:pStyle w:val="a3"/>
        <w:spacing w:line="360" w:lineRule="auto"/>
        <w:ind w:firstLine="709"/>
        <w:jc w:val="both"/>
        <w:rPr>
          <w:rFonts w:ascii="Times New Roman" w:hAnsi="Times New Roman" w:cs="Times New Roman"/>
          <w:sz w:val="28"/>
          <w:szCs w:val="28"/>
        </w:rPr>
      </w:pPr>
      <w:r w:rsidRPr="00EE1175">
        <w:rPr>
          <w:rFonts w:ascii="Times New Roman" w:hAnsi="Times New Roman" w:cs="Times New Roman"/>
          <w:sz w:val="28"/>
          <w:szCs w:val="28"/>
        </w:rPr>
        <w:t xml:space="preserve"> Указом президента Российской Федерации от 9 марта 2004 года №314 "О системе и структуре федеральных органов исполнительной власти" Государственный таможенный комитет РФ преобразовали в Федеральную таможенную службу (ФТС).  </w:t>
      </w:r>
    </w:p>
    <w:p w:rsidR="00EE1175" w:rsidRDefault="00EE1175" w:rsidP="00EE1175">
      <w:pPr>
        <w:pStyle w:val="a3"/>
        <w:spacing w:line="360" w:lineRule="auto"/>
        <w:ind w:firstLine="709"/>
        <w:jc w:val="both"/>
        <w:rPr>
          <w:rFonts w:ascii="Times New Roman" w:hAnsi="Times New Roman" w:cs="Times New Roman"/>
          <w:sz w:val="28"/>
          <w:szCs w:val="28"/>
        </w:rPr>
      </w:pPr>
      <w:r w:rsidRPr="00EE1175">
        <w:rPr>
          <w:rFonts w:ascii="Times New Roman" w:hAnsi="Times New Roman" w:cs="Times New Roman"/>
          <w:sz w:val="28"/>
          <w:szCs w:val="28"/>
        </w:rPr>
        <w:t>11 мая 2006 указом Президента Российской Федерации Федеральная таможенная служба передана в подчинение Правительству Российской Федерации. Ранее ФТС России была подчинена Министерству экономического развития и торговли.</w:t>
      </w:r>
    </w:p>
    <w:p w:rsidR="00EE1175" w:rsidRDefault="00EE1175" w:rsidP="00EE1175">
      <w:pPr>
        <w:pStyle w:val="a3"/>
        <w:spacing w:line="360" w:lineRule="auto"/>
        <w:ind w:firstLine="709"/>
        <w:jc w:val="both"/>
        <w:rPr>
          <w:rFonts w:ascii="Times New Roman" w:hAnsi="Times New Roman" w:cs="Times New Roman"/>
          <w:sz w:val="28"/>
          <w:szCs w:val="28"/>
        </w:rPr>
      </w:pPr>
      <w:r w:rsidRPr="00EE1175">
        <w:rPr>
          <w:rFonts w:ascii="Times New Roman" w:hAnsi="Times New Roman" w:cs="Times New Roman"/>
          <w:noProof/>
          <w:sz w:val="28"/>
          <w:szCs w:val="28"/>
          <w:lang w:eastAsia="ru-RU"/>
        </w:rPr>
        <w:drawing>
          <wp:inline distT="0" distB="0" distL="0" distR="0">
            <wp:extent cx="2240639" cy="2571768"/>
            <wp:effectExtent l="19050" t="0" r="7261" b="0"/>
            <wp:docPr id="1" name="Рисунок 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8" cstate="print"/>
                    <a:srcRect/>
                    <a:stretch>
                      <a:fillRect/>
                    </a:stretch>
                  </pic:blipFill>
                  <pic:spPr bwMode="auto">
                    <a:xfrm>
                      <a:off x="0" y="0"/>
                      <a:ext cx="2240639" cy="2571768"/>
                    </a:xfrm>
                    <a:prstGeom prst="rect">
                      <a:avLst/>
                    </a:prstGeom>
                    <a:noFill/>
                    <a:ln w="9525">
                      <a:noFill/>
                      <a:miter lim="800000"/>
                      <a:headEnd/>
                      <a:tailEnd/>
                    </a:ln>
                    <a:effectLst/>
                  </pic:spPr>
                </pic:pic>
              </a:graphicData>
            </a:graphic>
          </wp:inline>
        </w:drawing>
      </w:r>
      <w:r w:rsidRPr="00EE1175">
        <w:rPr>
          <w:rFonts w:ascii="Times New Roman" w:hAnsi="Times New Roman" w:cs="Times New Roman"/>
          <w:noProof/>
          <w:sz w:val="28"/>
          <w:szCs w:val="28"/>
          <w:lang w:eastAsia="ru-RU"/>
        </w:rPr>
        <w:drawing>
          <wp:inline distT="0" distB="0" distL="0" distR="0">
            <wp:extent cx="2428892" cy="1857388"/>
            <wp:effectExtent l="19050" t="0" r="9508" b="0"/>
            <wp:docPr id="3" name="Рисунок 3"/>
            <wp:cNvGraphicFramePr/>
            <a:graphic xmlns:a="http://schemas.openxmlformats.org/drawingml/2006/main">
              <a:graphicData uri="http://schemas.openxmlformats.org/drawingml/2006/picture">
                <pic:pic xmlns:pic="http://schemas.openxmlformats.org/drawingml/2006/picture">
                  <pic:nvPicPr>
                    <pic:cNvPr id="1035" name="Picture 11"/>
                    <pic:cNvPicPr>
                      <a:picLocks noChangeAspect="1" noChangeArrowheads="1"/>
                    </pic:cNvPicPr>
                  </pic:nvPicPr>
                  <pic:blipFill>
                    <a:blip r:embed="rId9" cstate="print"/>
                    <a:srcRect/>
                    <a:stretch>
                      <a:fillRect/>
                    </a:stretch>
                  </pic:blipFill>
                  <pic:spPr bwMode="auto">
                    <a:xfrm>
                      <a:off x="0" y="0"/>
                      <a:ext cx="2428892" cy="1857388"/>
                    </a:xfrm>
                    <a:prstGeom prst="rect">
                      <a:avLst/>
                    </a:prstGeom>
                    <a:noFill/>
                    <a:ln w="9525">
                      <a:noFill/>
                      <a:miter lim="800000"/>
                      <a:headEnd/>
                      <a:tailEnd/>
                    </a:ln>
                    <a:effectLst/>
                  </pic:spPr>
                </pic:pic>
              </a:graphicData>
            </a:graphic>
          </wp:inline>
        </w:drawing>
      </w:r>
    </w:p>
    <w:p w:rsidR="00EE1175" w:rsidRDefault="00EE1175" w:rsidP="00EE1175">
      <w:pPr>
        <w:pStyle w:val="a3"/>
        <w:spacing w:line="360" w:lineRule="auto"/>
        <w:ind w:firstLine="709"/>
        <w:jc w:val="both"/>
        <w:rPr>
          <w:rFonts w:ascii="Times New Roman" w:hAnsi="Times New Roman" w:cs="Times New Roman"/>
          <w:sz w:val="28"/>
          <w:szCs w:val="28"/>
        </w:rPr>
      </w:pPr>
      <w:r w:rsidRPr="00EE1175">
        <w:rPr>
          <w:rFonts w:ascii="Times New Roman" w:hAnsi="Times New Roman" w:cs="Times New Roman"/>
          <w:noProof/>
          <w:sz w:val="28"/>
          <w:szCs w:val="28"/>
          <w:lang w:eastAsia="ru-RU"/>
        </w:rPr>
        <w:drawing>
          <wp:inline distT="0" distB="0" distL="0" distR="0">
            <wp:extent cx="2081212" cy="221014"/>
            <wp:effectExtent l="19050" t="0" r="0" b="0"/>
            <wp:docPr id="2" name="Рисунок 2"/>
            <wp:cNvGraphicFramePr/>
            <a:graphic xmlns:a="http://schemas.openxmlformats.org/drawingml/2006/main">
              <a:graphicData uri="http://schemas.openxmlformats.org/drawingml/2006/picture">
                <pic:pic xmlns:pic="http://schemas.openxmlformats.org/drawingml/2006/picture">
                  <pic:nvPicPr>
                    <pic:cNvPr id="1034" name="Picture 10"/>
                    <pic:cNvPicPr>
                      <a:picLocks noChangeAspect="1" noChangeArrowheads="1"/>
                    </pic:cNvPicPr>
                  </pic:nvPicPr>
                  <pic:blipFill>
                    <a:blip r:embed="rId10" cstate="print"/>
                    <a:srcRect/>
                    <a:stretch>
                      <a:fillRect/>
                    </a:stretch>
                  </pic:blipFill>
                  <pic:spPr bwMode="auto">
                    <a:xfrm>
                      <a:off x="0" y="0"/>
                      <a:ext cx="2081212" cy="221014"/>
                    </a:xfrm>
                    <a:prstGeom prst="rect">
                      <a:avLst/>
                    </a:prstGeom>
                    <a:noFill/>
                    <a:ln w="9525">
                      <a:noFill/>
                      <a:miter lim="800000"/>
                      <a:headEnd/>
                      <a:tailEnd/>
                    </a:ln>
                    <a:effectLst/>
                  </pic:spPr>
                </pic:pic>
              </a:graphicData>
            </a:graphic>
          </wp:inline>
        </w:drawing>
      </w:r>
    </w:p>
    <w:p w:rsidR="00EE1175" w:rsidRPr="00EE1175" w:rsidRDefault="00EE1175" w:rsidP="00EE1175">
      <w:pPr>
        <w:pStyle w:val="a3"/>
        <w:spacing w:line="360" w:lineRule="auto"/>
        <w:jc w:val="both"/>
        <w:rPr>
          <w:rFonts w:ascii="Times New Roman" w:hAnsi="Times New Roman" w:cs="Times New Roman"/>
          <w:sz w:val="28"/>
          <w:szCs w:val="28"/>
        </w:rPr>
      </w:pPr>
    </w:p>
    <w:p w:rsidR="00EE1175" w:rsidRDefault="00EE1175" w:rsidP="00EE1175">
      <w:pPr>
        <w:spacing w:line="360" w:lineRule="auto"/>
        <w:ind w:firstLine="709"/>
        <w:rPr>
          <w:bCs/>
          <w:szCs w:val="28"/>
        </w:rPr>
      </w:pPr>
      <w:r w:rsidRPr="00EE1175">
        <w:rPr>
          <w:bCs/>
          <w:szCs w:val="28"/>
        </w:rPr>
        <w:t xml:space="preserve">БЕЛЬЯНИНОВ  АНДРЕЙ  ЮРЬЕВИЧ  -  </w:t>
      </w:r>
      <w:r>
        <w:rPr>
          <w:bCs/>
          <w:szCs w:val="28"/>
        </w:rPr>
        <w:t>р</w:t>
      </w:r>
      <w:r w:rsidRPr="00EE1175">
        <w:rPr>
          <w:bCs/>
          <w:szCs w:val="28"/>
        </w:rPr>
        <w:t>уководитель Федеральной таможенной службы.</w:t>
      </w:r>
      <w:r>
        <w:rPr>
          <w:bCs/>
          <w:szCs w:val="28"/>
        </w:rPr>
        <w:t xml:space="preserve"> </w:t>
      </w:r>
      <w:r w:rsidRPr="00EE1175">
        <w:rPr>
          <w:bCs/>
          <w:szCs w:val="28"/>
        </w:rPr>
        <w:t xml:space="preserve">Родился  </w:t>
      </w:r>
      <w:r>
        <w:rPr>
          <w:bCs/>
          <w:szCs w:val="28"/>
        </w:rPr>
        <w:t xml:space="preserve">14 июля 1957 году в г. Москве. </w:t>
      </w:r>
      <w:r w:rsidRPr="00EE1175">
        <w:rPr>
          <w:bCs/>
          <w:szCs w:val="28"/>
        </w:rPr>
        <w:t>Окончил Московский институт народного хозяйства им.Плеханова.</w:t>
      </w:r>
      <w:r>
        <w:rPr>
          <w:bCs/>
          <w:szCs w:val="28"/>
        </w:rPr>
        <w:t xml:space="preserve"> </w:t>
      </w:r>
      <w:r w:rsidRPr="00EE1175">
        <w:rPr>
          <w:bCs/>
          <w:szCs w:val="28"/>
        </w:rPr>
        <w:t>Работал в финансово-банковском секторе, Службе внешней разведки Российской Федерации. Занимался вопросами военно-технического сотрудничества России с зарубежными странами в должности заместителя генерального директора по экономике ФГУП "Промэкспорт" (1999-2000гг.) и генерального директора ФГУП "Рособоронэкспорт" (2000-2004гг.)</w:t>
      </w:r>
    </w:p>
    <w:p w:rsidR="00EE1175" w:rsidRDefault="00EE1175" w:rsidP="00EE1175">
      <w:pPr>
        <w:spacing w:line="360" w:lineRule="auto"/>
        <w:ind w:firstLine="709"/>
        <w:rPr>
          <w:bCs/>
          <w:szCs w:val="28"/>
        </w:rPr>
      </w:pPr>
      <w:r w:rsidRPr="00EE1175">
        <w:rPr>
          <w:bCs/>
          <w:szCs w:val="28"/>
        </w:rPr>
        <w:t>2004 – 2006 г.г. директор Федеральной службы по оборонному заказу.</w:t>
      </w:r>
    </w:p>
    <w:p w:rsidR="00EE1175" w:rsidRPr="00EE1175" w:rsidRDefault="00EE1175" w:rsidP="00EE1175">
      <w:pPr>
        <w:spacing w:line="360" w:lineRule="auto"/>
        <w:ind w:firstLine="709"/>
        <w:rPr>
          <w:bCs/>
          <w:szCs w:val="28"/>
        </w:rPr>
      </w:pPr>
      <w:r w:rsidRPr="00EE1175">
        <w:rPr>
          <w:bCs/>
          <w:szCs w:val="28"/>
        </w:rPr>
        <w:lastRenderedPageBreak/>
        <w:t>С 12 мая 20</w:t>
      </w:r>
      <w:r>
        <w:rPr>
          <w:bCs/>
          <w:szCs w:val="28"/>
        </w:rPr>
        <w:t>06 г. – руководитель ФТС России</w:t>
      </w:r>
      <w:r w:rsidRPr="00EE1175">
        <w:rPr>
          <w:bCs/>
          <w:szCs w:val="28"/>
        </w:rPr>
        <w:t>.</w:t>
      </w:r>
      <w:r>
        <w:rPr>
          <w:bCs/>
          <w:szCs w:val="28"/>
        </w:rPr>
        <w:t xml:space="preserve"> </w:t>
      </w:r>
      <w:r w:rsidRPr="00EE1175">
        <w:rPr>
          <w:bCs/>
          <w:szCs w:val="28"/>
        </w:rPr>
        <w:t>Действительный государственный советник таможенной службы Российской Федерации.</w:t>
      </w:r>
      <w:r>
        <w:rPr>
          <w:bCs/>
          <w:szCs w:val="28"/>
        </w:rPr>
        <w:t xml:space="preserve"> </w:t>
      </w:r>
      <w:r w:rsidRPr="00EE1175">
        <w:rPr>
          <w:bCs/>
          <w:szCs w:val="28"/>
        </w:rPr>
        <w:t xml:space="preserve">Доктор экономических наук, Заслуженный экономист России. </w:t>
      </w:r>
    </w:p>
    <w:p w:rsidR="00EE1175" w:rsidRDefault="00EE1175" w:rsidP="00EE1175">
      <w:pPr>
        <w:spacing w:line="360" w:lineRule="auto"/>
        <w:ind w:firstLine="709"/>
        <w:rPr>
          <w:szCs w:val="28"/>
        </w:rPr>
      </w:pPr>
      <w:r w:rsidRPr="00EE1175">
        <w:rPr>
          <w:b/>
          <w:szCs w:val="28"/>
        </w:rPr>
        <w:t>Территориальная структура ФТС</w:t>
      </w:r>
      <w:r>
        <w:rPr>
          <w:szCs w:val="28"/>
        </w:rPr>
        <w:t xml:space="preserve"> </w:t>
      </w:r>
    </w:p>
    <w:p w:rsidR="00EE1175" w:rsidRDefault="00EE1175" w:rsidP="00EE1175">
      <w:pPr>
        <w:spacing w:line="360" w:lineRule="auto"/>
        <w:ind w:firstLine="709"/>
        <w:rPr>
          <w:szCs w:val="28"/>
        </w:rPr>
      </w:pPr>
      <w:r w:rsidRPr="00EE1175">
        <w:rPr>
          <w:szCs w:val="28"/>
        </w:rPr>
        <w:t>В настоящее время на территории Российской Федерации функционирует 8  таможенных управлений , 72 таможни, 50</w:t>
      </w:r>
      <w:r>
        <w:rPr>
          <w:szCs w:val="28"/>
        </w:rPr>
        <w:t>5 таможенных поста</w:t>
      </w:r>
      <w:r w:rsidRPr="00EE1175">
        <w:rPr>
          <w:szCs w:val="28"/>
        </w:rPr>
        <w:t xml:space="preserve">. </w:t>
      </w:r>
    </w:p>
    <w:p w:rsidR="00EE1175" w:rsidRDefault="00EE1175" w:rsidP="00EE1175">
      <w:pPr>
        <w:spacing w:line="360" w:lineRule="auto"/>
        <w:ind w:firstLine="709"/>
        <w:rPr>
          <w:szCs w:val="28"/>
        </w:rPr>
      </w:pPr>
      <w:r>
        <w:rPr>
          <w:szCs w:val="28"/>
        </w:rPr>
        <w:t xml:space="preserve">- </w:t>
      </w:r>
      <w:r w:rsidRPr="00EE1175">
        <w:rPr>
          <w:szCs w:val="28"/>
        </w:rPr>
        <w:t>Региональные таможенные управления (соответствуют федеральным округам РФ: Центральное, Северо-западное, Южное, Приволжское, Уральское, Сибирское, Дальневосточное, Северо-Кавказское)</w:t>
      </w:r>
      <w:r>
        <w:rPr>
          <w:szCs w:val="28"/>
        </w:rPr>
        <w:t>.</w:t>
      </w:r>
      <w:r w:rsidRPr="00EE1175">
        <w:rPr>
          <w:szCs w:val="28"/>
        </w:rPr>
        <w:t xml:space="preserve"> </w:t>
      </w:r>
    </w:p>
    <w:p w:rsidR="00EE1175" w:rsidRDefault="00EE1175" w:rsidP="00EE1175">
      <w:pPr>
        <w:spacing w:line="360" w:lineRule="auto"/>
        <w:ind w:firstLine="709"/>
        <w:rPr>
          <w:szCs w:val="28"/>
        </w:rPr>
      </w:pPr>
      <w:r>
        <w:rPr>
          <w:szCs w:val="28"/>
        </w:rPr>
        <w:t xml:space="preserve">- </w:t>
      </w:r>
      <w:r w:rsidRPr="00EE1175">
        <w:rPr>
          <w:szCs w:val="28"/>
        </w:rPr>
        <w:t>Региональные таможни (часто, но не всегда соответствуют субъектам Российской Федерации)</w:t>
      </w:r>
      <w:r>
        <w:rPr>
          <w:szCs w:val="28"/>
        </w:rPr>
        <w:t>.</w:t>
      </w:r>
      <w:r w:rsidRPr="00EE1175">
        <w:rPr>
          <w:szCs w:val="28"/>
        </w:rPr>
        <w:t xml:space="preserve"> </w:t>
      </w:r>
    </w:p>
    <w:p w:rsidR="00EE1175" w:rsidRDefault="00EE1175" w:rsidP="00EE1175">
      <w:pPr>
        <w:spacing w:line="360" w:lineRule="auto"/>
        <w:ind w:firstLine="709"/>
        <w:rPr>
          <w:szCs w:val="28"/>
        </w:rPr>
      </w:pPr>
      <w:r>
        <w:rPr>
          <w:szCs w:val="28"/>
        </w:rPr>
        <w:t xml:space="preserve">- </w:t>
      </w:r>
      <w:r w:rsidRPr="00EE1175">
        <w:rPr>
          <w:szCs w:val="28"/>
        </w:rPr>
        <w:t>Таможенные посты</w:t>
      </w:r>
      <w:r>
        <w:rPr>
          <w:szCs w:val="28"/>
        </w:rPr>
        <w:t>.</w:t>
      </w:r>
    </w:p>
    <w:p w:rsidR="00EE1175" w:rsidRPr="00EE1175" w:rsidRDefault="00EE1175" w:rsidP="00EE1175">
      <w:pPr>
        <w:spacing w:line="360" w:lineRule="auto"/>
        <w:ind w:firstLine="709"/>
        <w:rPr>
          <w:szCs w:val="28"/>
        </w:rPr>
      </w:pPr>
      <w:r>
        <w:rPr>
          <w:szCs w:val="28"/>
        </w:rPr>
        <w:t xml:space="preserve">- </w:t>
      </w:r>
      <w:r w:rsidRPr="00EE1175">
        <w:rPr>
          <w:szCs w:val="28"/>
        </w:rPr>
        <w:t>Таможни центрального подчинения (например, таможни московских аэропортов, Центральная акцизная таможня и др.)</w:t>
      </w:r>
      <w:r>
        <w:rPr>
          <w:szCs w:val="28"/>
        </w:rPr>
        <w:t>.</w:t>
      </w:r>
    </w:p>
    <w:p w:rsidR="00EE1175" w:rsidRPr="00EE1175" w:rsidRDefault="00EE1175" w:rsidP="00EE1175">
      <w:pPr>
        <w:spacing w:line="360" w:lineRule="auto"/>
        <w:ind w:firstLine="709"/>
        <w:rPr>
          <w:szCs w:val="28"/>
        </w:rPr>
      </w:pPr>
    </w:p>
    <w:p w:rsidR="007D24DB" w:rsidRPr="00EE1175" w:rsidRDefault="00EE1175" w:rsidP="00EE1175">
      <w:pPr>
        <w:spacing w:line="360" w:lineRule="auto"/>
        <w:ind w:firstLine="709"/>
      </w:pPr>
      <w:r w:rsidRPr="00EE1175">
        <w:rPr>
          <w:noProof/>
        </w:rPr>
        <w:drawing>
          <wp:inline distT="0" distB="0" distL="0" distR="0">
            <wp:extent cx="5097806" cy="2928958"/>
            <wp:effectExtent l="19050" t="0" r="7594" b="0"/>
            <wp:docPr id="4" name="Рисунок 4"/>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cstate="print">
                      <a:lum bright="-3000" contrast="13000"/>
                    </a:blip>
                    <a:srcRect/>
                    <a:stretch>
                      <a:fillRect/>
                    </a:stretch>
                  </pic:blipFill>
                  <pic:spPr bwMode="auto">
                    <a:xfrm>
                      <a:off x="0" y="0"/>
                      <a:ext cx="5097806" cy="2928958"/>
                    </a:xfrm>
                    <a:prstGeom prst="rect">
                      <a:avLst/>
                    </a:prstGeom>
                    <a:noFill/>
                    <a:ln w="9525">
                      <a:noFill/>
                      <a:miter lim="800000"/>
                      <a:headEnd/>
                      <a:tailEnd/>
                    </a:ln>
                    <a:effectLst/>
                  </pic:spPr>
                </pic:pic>
              </a:graphicData>
            </a:graphic>
          </wp:inline>
        </w:drawing>
      </w:r>
    </w:p>
    <w:p w:rsidR="001E1BCD" w:rsidRDefault="001E1BCD" w:rsidP="00EE1175">
      <w:pPr>
        <w:spacing w:line="360" w:lineRule="auto"/>
        <w:ind w:firstLine="0"/>
        <w:rPr>
          <w:b/>
        </w:rPr>
      </w:pPr>
    </w:p>
    <w:p w:rsidR="001E1BCD" w:rsidRDefault="001E1BCD">
      <w:pPr>
        <w:rPr>
          <w:b/>
        </w:rPr>
      </w:pPr>
    </w:p>
    <w:p w:rsidR="00741513" w:rsidRDefault="00741513">
      <w:pPr>
        <w:rPr>
          <w:b/>
        </w:rPr>
      </w:pPr>
    </w:p>
    <w:p w:rsidR="00741513" w:rsidRDefault="00741513">
      <w:pPr>
        <w:rPr>
          <w:b/>
        </w:rPr>
      </w:pPr>
    </w:p>
    <w:p w:rsidR="00741513" w:rsidRDefault="00741513">
      <w:pPr>
        <w:rPr>
          <w:b/>
        </w:rPr>
      </w:pPr>
    </w:p>
    <w:p w:rsidR="00741513" w:rsidRDefault="00741513">
      <w:pPr>
        <w:rPr>
          <w:b/>
        </w:rPr>
      </w:pPr>
    </w:p>
    <w:p w:rsidR="00741513" w:rsidRDefault="00741513">
      <w:pPr>
        <w:rPr>
          <w:b/>
        </w:rPr>
      </w:pPr>
    </w:p>
    <w:p w:rsidR="001E1BCD" w:rsidRDefault="001E1BCD">
      <w:pPr>
        <w:rPr>
          <w:b/>
        </w:rPr>
      </w:pPr>
    </w:p>
    <w:p w:rsidR="00EE1175" w:rsidRPr="00882C82" w:rsidRDefault="00EE1175" w:rsidP="00EE1175">
      <w:pPr>
        <w:spacing w:line="360" w:lineRule="auto"/>
        <w:ind w:firstLine="709"/>
        <w:rPr>
          <w:b/>
          <w:szCs w:val="28"/>
        </w:rPr>
      </w:pPr>
      <w:r w:rsidRPr="00882C82">
        <w:rPr>
          <w:b/>
          <w:szCs w:val="28"/>
        </w:rPr>
        <w:lastRenderedPageBreak/>
        <w:t xml:space="preserve">2.  Таможенно-тарифное  регулирование в 2014-2016  годах </w:t>
      </w:r>
    </w:p>
    <w:p w:rsidR="00EE1175" w:rsidRDefault="00EE1175" w:rsidP="00EE1175">
      <w:pPr>
        <w:spacing w:line="360" w:lineRule="auto"/>
        <w:ind w:firstLine="709"/>
        <w:rPr>
          <w:b/>
          <w:szCs w:val="28"/>
        </w:rPr>
      </w:pPr>
      <w:r w:rsidRPr="00882C82">
        <w:rPr>
          <w:b/>
          <w:szCs w:val="28"/>
        </w:rPr>
        <w:t xml:space="preserve">2.1.  Общие факторы формирования таможенно-тарифной политики </w:t>
      </w:r>
    </w:p>
    <w:p w:rsidR="00EE1175" w:rsidRPr="00882C82" w:rsidRDefault="00EE1175" w:rsidP="00EE1175">
      <w:pPr>
        <w:ind w:firstLine="709"/>
        <w:rPr>
          <w:b/>
          <w:szCs w:val="28"/>
        </w:rPr>
      </w:pP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 В 2014-2016 годах реализация таможенно-тарифной политики будет тесно  увязана с решением приоритетных  задач  в сфере  модернизации и диверсификации (расширение ассортимента выпускаемой продукции и переориентация рынков сбыта)экономики, повышения конкурентоспособности и эффективности отечественных производств, что необходимо для успешной  работы на глобальном рынке.   </w:t>
      </w: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Таможенно-тарифное регулирование будет осуществляться под влиянием  совокупности факторов институционального характера, обеспечивающих  дальнейшей рост открытости национальной экономики и развитие внутренней  конкурентной среды. Наиболее значимыми среди таких факторов являются:  </w:t>
      </w: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повышение транспарентности (не содержащий секретов и недомолвок, "прозрачный" для других) и предсказуемости таможенно-тарифной  политики при общей тенденции к снижению уровня тарифной защиты в  процессе выполнения обязательств по ВТО;</w:t>
      </w: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 – следование принципам единой торговой политики государств-участников  Таможенного союза во взаимоотношениях с иностранными государствами и их  объединениями на площадке ВТО, а также других международных  экономических организаций; </w:t>
      </w: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 разработка промышленной и аграрной политики, согласованной с мерами  таможенно-тарифного регулирования импорта и экспорта, в целях поддержания  отраслевых приоритетов в рамках Единого экономического пространства.  </w:t>
      </w: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Меры таможенно-тарифной политики должны быть нацелены на решение  задач модернизации и повышения конкурентоспособности российских отраслей  промышленности и сельскохозяйственного производства, которые в  перспективе могли бы сформировать экспортный потенциал экономики  (нанотехнологии, ядерная энергетика, машиностроение и микро-  и  оптоэлектроника электроника, биотехнологии, медицинская техника и  фармацевтика и прочие), а также служить целям обеспечения продовольственной безопасности  страны.  </w:t>
      </w: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lastRenderedPageBreak/>
        <w:t xml:space="preserve">Определенные подходы к реализации политики будут обусловлены  происходящими в мировой экономике процессами. Несмотря на имеющиеся  глобальные и локальные риски,  мировое экономическое развитие в  среднесрочной перспективе оценивается как умеренно благоприятное. С 2014  года ожидается некоторое улучшение экономической динамики в США и  странах  –  членах ЕС. Главными локомотивами мировой экономики останутся  Китай со среднегодовым темпом прироста ВВП в размере 7,5% в 2014-2016 гг.  и Индия – 6,7%. </w:t>
      </w: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По сравнению с 2012 годом в 2013 году, и особенно начиная с 2014 года,  ожидается оживление международной торговли. По оценкам Международного  валютного фонда (МВФ), в физическом выражении ее увеличение  составит  5,5% в 2014 году, при этом быстрее всего будут расти импорт и экспорт  развивающихся стран: почти на 8% и 7% соответственно в 2014 году.  </w:t>
      </w:r>
    </w:p>
    <w:p w:rsidR="00EE1175" w:rsidRPr="00882C82"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Ожидается также рост на 4,5% экспорта развитых государств. Это будет  означать увеличение конкурентного давления на российских производителей  для внутреннего рынка и экспортеров в условиях реализации стимулирующих стратегий развития экспорта странами-партнерами.  В силу вялого спроса, в ряде случаев избыточного предложения и высокого  уровня запасов в среднесрочной перспективе существенного роста мировых  цен  на крупнейшие позиции российского экспорта и импорта не ожидается.  Маловероятно и сильное падение цен, поскольку прогнозируется высокий  спрос со стороны развивающихся рынков. Вместе с тем возможны временные  скачки цен на рынках стратегического промышленного сырья и продовольствия под влиянием военно-политических, финансовых (для биржевых товаров) и  климатических факторов. </w:t>
      </w:r>
    </w:p>
    <w:p w:rsidR="00EE1175" w:rsidRDefault="00EE1175" w:rsidP="00EE11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В структуре экспорта в рассматриваемый период увеличатся доли  продовольствия, машин и оборудования, химической продукции, металлов и  изделий из них, доля минеральных продуктов к 2016 году несколько снизится.  </w:t>
      </w:r>
    </w:p>
    <w:p w:rsidR="00741513" w:rsidRPr="00741513" w:rsidRDefault="00EE1175" w:rsidP="00741513">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В импорте сохранится тенденция постепенного снижения доли продовольствия, текстиля, металлов, и  химической продукции  при  увеличении доли машин, оборудования и транспортных средств. </w:t>
      </w:r>
    </w:p>
    <w:p w:rsidR="00EE1175" w:rsidRDefault="00EE1175" w:rsidP="00EE1175">
      <w:pPr>
        <w:spacing w:line="360" w:lineRule="auto"/>
        <w:ind w:firstLine="709"/>
        <w:rPr>
          <w:b/>
        </w:rPr>
      </w:pPr>
    </w:p>
    <w:p w:rsidR="00EE1175" w:rsidRDefault="00EE1175" w:rsidP="00741513">
      <w:pPr>
        <w:spacing w:line="360" w:lineRule="auto"/>
        <w:rPr>
          <w:b/>
          <w:szCs w:val="28"/>
        </w:rPr>
      </w:pPr>
      <w:r w:rsidRPr="00882C82">
        <w:rPr>
          <w:b/>
          <w:szCs w:val="28"/>
        </w:rPr>
        <w:lastRenderedPageBreak/>
        <w:t xml:space="preserve">2.2.  Реализация международных обязательств и национальных компетенций Российской Федерации  </w:t>
      </w:r>
    </w:p>
    <w:p w:rsidR="00741513" w:rsidRPr="00882C82" w:rsidRDefault="00741513" w:rsidP="00741513">
      <w:pPr>
        <w:rPr>
          <w:b/>
          <w:szCs w:val="28"/>
        </w:rPr>
      </w:pPr>
    </w:p>
    <w:p w:rsidR="00EE1175" w:rsidRPr="00741513" w:rsidRDefault="00EE1175" w:rsidP="00741513">
      <w:pPr>
        <w:spacing w:line="360" w:lineRule="auto"/>
        <w:rPr>
          <w:i/>
          <w:szCs w:val="28"/>
        </w:rPr>
      </w:pPr>
      <w:r w:rsidRPr="00741513">
        <w:rPr>
          <w:i/>
          <w:szCs w:val="28"/>
        </w:rPr>
        <w:t>Принципы формирования российской позиции при осуществлении таможенно-тарифной политики Таможенного союза</w:t>
      </w:r>
      <w:r w:rsidR="00741513" w:rsidRPr="00741513">
        <w:rPr>
          <w:i/>
          <w:szCs w:val="28"/>
        </w:rPr>
        <w:t>.</w:t>
      </w:r>
      <w:r w:rsidRPr="00741513">
        <w:rPr>
          <w:i/>
          <w:szCs w:val="28"/>
        </w:rPr>
        <w:t xml:space="preserve">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Особенности реализации таможенно-тарифной политики в 2014-2016 годах будут определяться растущей привлекательностью России и Единого экономического пространства как крупного рынка сбыта для несырьевой продукции зарубежных стран, в первую очередь товаров высокой степени переработки.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Среди задач и мер по адаптации экономик государств-членов Таможенного союза к условиям членства в ВТО и функционирования в рамках Единого экономического пространства необходимо выделить следующие: </w:t>
      </w:r>
    </w:p>
    <w:p w:rsidR="00EE1175" w:rsidRPr="00882C82" w:rsidRDefault="00EE1175" w:rsidP="00741513">
      <w:pPr>
        <w:pStyle w:val="a3"/>
        <w:spacing w:line="360" w:lineRule="auto"/>
        <w:ind w:firstLine="720"/>
        <w:jc w:val="both"/>
        <w:rPr>
          <w:rFonts w:ascii="Times New Roman" w:hAnsi="Times New Roman" w:cs="Times New Roman"/>
          <w:b/>
          <w:sz w:val="28"/>
          <w:szCs w:val="28"/>
        </w:rPr>
      </w:pPr>
      <w:r w:rsidRPr="00882C82">
        <w:rPr>
          <w:rFonts w:ascii="Times New Roman" w:hAnsi="Times New Roman" w:cs="Times New Roman"/>
          <w:b/>
          <w:sz w:val="28"/>
          <w:szCs w:val="28"/>
        </w:rPr>
        <w:t xml:space="preserve">а) содействие диверсификации российской экономики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Реализация таможенно-тарифной политики должна быть нацелена на достижение результатов по диверсификации экономики, привлечению в нее высоких технологий и ускоренному развитию экспортноориентированных промышленных производств. В этой связи принципиальными задачами в сфере таможенно-тарифного регулирования представляются следующие: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содействие увеличению добавленной стоимости, создаваемой на территории Российской Федерации и в целом на единой таможенной территории Таможенного союза;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содействие повышению конкурентоспособности выпускаемой в Российской Федерации и других государствах-членах Таможенного союза готовой продукции;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устранение барьеров для развития конкуренции, а также создание условий для  замещения  отсталых технологий в высококонцентрированных отраслях, где преобладает небольшое  количество производителей.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Указанные принципы должны лечь в основу практической реализации подходов, изложенных в принятых государственных программах: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в сфере  автомобильной промышленности  –  развитие проектов промышленной сборки, где основным подходом должна стать реализация тарифных </w:t>
      </w:r>
      <w:r w:rsidRPr="00882C82">
        <w:rPr>
          <w:rFonts w:ascii="Times New Roman" w:hAnsi="Times New Roman" w:cs="Times New Roman"/>
          <w:sz w:val="28"/>
          <w:szCs w:val="28"/>
        </w:rPr>
        <w:lastRenderedPageBreak/>
        <w:t xml:space="preserve">и нетарифных мер по ограничению импорта в соответствии с правилами ВТО с учетом компетенции в данных вопросах ЕЭК;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в сфере  транспортного машиностроения  –  установление льготных таможенных пошлин на ввоз деталей и комплектующих для совместных отраслевых предприятий на срок вплоть до полной локализации их производства;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в сфере  тяжелого, в  том числе  энергетического машиностроения, химической и нефтехимической промышленности  –  корректировка ставок ввозных таможенных пошлин на готовую продукцию, узлы, комплектующие и технологическое оборудование, не производимое отечественными производителями; вывозных таможенных пошлин на удобрения, а также корректировка ставок на синтетический каучук;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в сфере  авиационной промышленности  –  регулирование ввоза подержанной иностранной авиатехники в соответствии с правилами ВТО;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в сфере лесопромышленного комплекса – унификация внеквотных ставок вывозных таможенных пошлин на хвойную древесину.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Таможенно-тарифное регулирование  агропромышленного и рыбохозяйственного комплексов должно осуществляться с учетом достижения продовольственной безопасности страны, исходя из реального роста производства и притока инвестиций в сельское хозяйство, а также условий международной конкуренции и ситуации на внешнем рынке. Должно быть также активизировано применение мер нетарифного регулирования и продолжено использование согласованных с ВТО инструментов тарифных квот в отношении импорта мяса, мясо-  и молокопродуктов. При этом главным инструментом по адаптации российского агра</w:t>
      </w:r>
      <w:r w:rsidR="00F857E4">
        <w:rPr>
          <w:rFonts w:ascii="Times New Roman" w:hAnsi="Times New Roman" w:cs="Times New Roman"/>
          <w:sz w:val="28"/>
          <w:szCs w:val="28"/>
        </w:rPr>
        <w:t>рного сектора к условиям ВТО</w:t>
      </w:r>
      <w:r w:rsidRPr="00882C82">
        <w:rPr>
          <w:rFonts w:ascii="Times New Roman" w:hAnsi="Times New Roman" w:cs="Times New Roman"/>
          <w:sz w:val="28"/>
          <w:szCs w:val="28"/>
        </w:rPr>
        <w:t xml:space="preserve"> является реализация Государственной  программы развития сельского хозяйства и регулирования рынков сельскохозяйственной продукции, сырья и продовольствия на 2013-2020 годы.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Наряду с учетом национальных отраслевых и секторальных приоритетов развития среднесрочная таможенно-тарифная политика Российской Федерации в  Таможенном  союзе  должна обеспечивать и поддерживать согласованные направления промышленного сотрудничества, сформулированные в Решении Высшего  Евразийского экономического совета «Об основных направлениях </w:t>
      </w:r>
      <w:r w:rsidRPr="00882C82">
        <w:rPr>
          <w:rFonts w:ascii="Times New Roman" w:hAnsi="Times New Roman" w:cs="Times New Roman"/>
          <w:sz w:val="28"/>
          <w:szCs w:val="28"/>
        </w:rPr>
        <w:lastRenderedPageBreak/>
        <w:t xml:space="preserve">координации национальных промышленных политик Республики Беларусь, Республики Казахстан и Российской Федерации» от 30 января 2013 г. №4. </w:t>
      </w:r>
    </w:p>
    <w:p w:rsidR="00EE1175" w:rsidRPr="00882C82" w:rsidRDefault="00EE1175" w:rsidP="00741513">
      <w:pPr>
        <w:pStyle w:val="a3"/>
        <w:spacing w:line="360" w:lineRule="auto"/>
        <w:ind w:firstLine="720"/>
        <w:jc w:val="both"/>
        <w:rPr>
          <w:rFonts w:ascii="Times New Roman" w:hAnsi="Times New Roman" w:cs="Times New Roman"/>
          <w:b/>
          <w:sz w:val="28"/>
          <w:szCs w:val="28"/>
        </w:rPr>
      </w:pPr>
      <w:r w:rsidRPr="00882C82">
        <w:rPr>
          <w:rFonts w:ascii="Times New Roman" w:hAnsi="Times New Roman" w:cs="Times New Roman"/>
          <w:b/>
          <w:sz w:val="28"/>
          <w:szCs w:val="28"/>
        </w:rPr>
        <w:t xml:space="preserve">б)  либерализация импортного режима в рамках  выполнения обязательств России и Таможенного союза перед ВТО.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Определяющее влияние на таможенно-тарифное регулирование импорта Таможенного союза будут оказывать обязательства России  в ВТО.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Средневзвешенный уровень тарифной защиты, зафиксированный в ЕТТ ТС, по промышленным товарам  снизится с 8,5 до 6,0%,  а по продовольственным  –  с 11,2 до 8,7% в среднем до 2016 года.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Ежегодно, начиная с 2013 года, будет проводиться процедура приведения к равному уровню адвалорных и специфических составляющих комбинированных ставок пошлин, как это предусматривается параграфом 313 Доклада Рабочей группы по присоединению Российской Федерации к ВТО.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Первый этап такой работы будет закончен в конце 2013 года. Несмотря на общее снижение  уровня тарифной защиты в ближайшие годы, ее  изменение для разных категорий товаров будет осуществляться в различных временных периодах, что должно создавать условия для постепенной адаптации отраслей и секторов российской экономики к новым условиям. Как следует из обязательств России в ВТО, средний  срок адаптации к новым тарифам составляет 3 года, при этом он существенно выше по продовольственной группе товаров: например, по мясу, молоку, растительным маслам, изделиям из сахара, винам срок адаптации достигает 5-8 лет. Наиболее короткий переходный период  –  2 года  в продовольственной группе товаров предусмотрен в отношении импорта цветов, тропических фруктов, кофе, семян некоторых масличных, тропических масел, мюсли и соков, а также – для шерсти.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условиях  выполнения  тарифных обязательств России в ВТО  будет продолжен начатый в 2012 году мониторинг импорта чувствительных товаров. Перечень таких товаров составлен с учетом пожеланий делового сообщества и может быть расширен. В случае подтверждения фактов оказания негативного влияния роста импорта на состояние товаропроизводителей в Таможенном союзе по </w:t>
      </w:r>
      <w:r w:rsidRPr="00882C82">
        <w:rPr>
          <w:rFonts w:ascii="Times New Roman" w:hAnsi="Times New Roman" w:cs="Times New Roman"/>
          <w:sz w:val="28"/>
          <w:szCs w:val="28"/>
        </w:rPr>
        <w:lastRenderedPageBreak/>
        <w:t xml:space="preserve">их инициативе могут быть начаты процедуры применения мер защиты внутреннего рынка Таможенного союза;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b/>
          <w:sz w:val="28"/>
          <w:szCs w:val="28"/>
        </w:rPr>
        <w:t xml:space="preserve">в)  совершенствование  Единой  системы преференций Таможенного </w:t>
      </w:r>
      <w:r w:rsidRPr="00F857E4">
        <w:rPr>
          <w:rFonts w:ascii="Times New Roman" w:hAnsi="Times New Roman" w:cs="Times New Roman"/>
          <w:b/>
          <w:sz w:val="28"/>
          <w:szCs w:val="28"/>
        </w:rPr>
        <w:t>союза</w:t>
      </w:r>
      <w:r w:rsidRPr="00882C82">
        <w:rPr>
          <w:rFonts w:ascii="Times New Roman" w:hAnsi="Times New Roman" w:cs="Times New Roman"/>
          <w:sz w:val="28"/>
          <w:szCs w:val="28"/>
        </w:rPr>
        <w:t xml:space="preserve"> (преференция</w:t>
      </w:r>
      <w:r w:rsidR="00F857E4" w:rsidRPr="00F857E4">
        <w:rPr>
          <w:rFonts w:ascii="Times New Roman" w:hAnsi="Times New Roman" w:cs="Times New Roman"/>
          <w:sz w:val="28"/>
          <w:szCs w:val="28"/>
        </w:rPr>
        <w:t xml:space="preserve"> </w:t>
      </w:r>
      <w:r w:rsidRPr="00882C82">
        <w:rPr>
          <w:rFonts w:ascii="Times New Roman" w:hAnsi="Times New Roman" w:cs="Times New Roman"/>
          <w:sz w:val="28"/>
          <w:szCs w:val="28"/>
        </w:rPr>
        <w:t>- льгота или предоставление особого налогового режима для группы хозяйствующих субъектов, позволяющее им в течение указанного времени не нести часть налоговых обязательств)</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Действующий в соответствии с Протоколом о  единой системе тарифных преференций в Таможенном союзе от 12 декабря 2008 г. и Решением Коллегии ЕЭК от 16 мая 2012 г. № 46 преференциальный режим применяется в отношении импорта отдельных промышленных и сельскохозяйственных товаров, происходящих из 151 развивающихся и наименее развитых стран дальнего зарубежья, и распространяется на импорт товаров, классифицируемых по 300 товарным линиям ТН ВЭД ТС на уровне 4-го знака.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перечень преференциальных товаров входят преимущественно сельхозпродукция, отдельные  виды промышленной продукции в виде сырья и полуфабрикатов, а также изделия с  низкой степенью переработки.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Основными странами-бенефициарами этой системы являются Китай, Бразилия, Турция.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Совершенствование системы тарифных преференций будет происходить за счет упорядочения стран-бенефициаров и оптимизации предоставления тарифных</w:t>
      </w:r>
      <w:r w:rsidR="00741513">
        <w:rPr>
          <w:rFonts w:ascii="Times New Roman" w:hAnsi="Times New Roman" w:cs="Times New Roman"/>
          <w:sz w:val="28"/>
          <w:szCs w:val="28"/>
        </w:rPr>
        <w:t xml:space="preserve"> </w:t>
      </w:r>
      <w:r w:rsidRPr="00882C82">
        <w:rPr>
          <w:rFonts w:ascii="Times New Roman" w:hAnsi="Times New Roman" w:cs="Times New Roman"/>
          <w:sz w:val="28"/>
          <w:szCs w:val="28"/>
        </w:rPr>
        <w:t xml:space="preserve">преференций развивающимся и наименее развитым странам, направленным на их вовлечение в международную торговлю.  </w:t>
      </w:r>
    </w:p>
    <w:p w:rsidR="00EE1175" w:rsidRPr="00882C82" w:rsidRDefault="00EE1175" w:rsidP="00741513">
      <w:pPr>
        <w:pStyle w:val="a3"/>
        <w:spacing w:line="360" w:lineRule="auto"/>
        <w:ind w:firstLine="720"/>
        <w:jc w:val="both"/>
        <w:rPr>
          <w:rFonts w:ascii="Times New Roman" w:hAnsi="Times New Roman" w:cs="Times New Roman"/>
          <w:b/>
          <w:sz w:val="28"/>
          <w:szCs w:val="28"/>
        </w:rPr>
      </w:pPr>
      <w:r w:rsidRPr="00882C82">
        <w:rPr>
          <w:rFonts w:ascii="Times New Roman" w:hAnsi="Times New Roman" w:cs="Times New Roman"/>
          <w:b/>
          <w:sz w:val="28"/>
          <w:szCs w:val="28"/>
        </w:rPr>
        <w:t xml:space="preserve">г) совершенствование таможенного администрирования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российском законодательстве заложены основы для продолжения работы по созданию благоприятных условий внешнеэкономической деятельности для предпринимателей, упрощению таможенных процедур, внедрению электронного документооборота, сокращению необходимых документов и сроков совершения таможенных операций.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Сохраняет актуальность задача совершенствования правоприменительной практики,  решение которой осложняется необходимостью одновременно проводить </w:t>
      </w:r>
      <w:r w:rsidRPr="00882C82">
        <w:rPr>
          <w:rFonts w:ascii="Times New Roman" w:hAnsi="Times New Roman" w:cs="Times New Roman"/>
          <w:sz w:val="28"/>
          <w:szCs w:val="28"/>
        </w:rPr>
        <w:lastRenderedPageBreak/>
        <w:t xml:space="preserve">унификацию таможенного регулирования с государствами  – членами Таможенного союза.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Для комплексного решения данной задачи распоряжением Правительства Российской Федерации от 29 июня 2012 г. №  1125-р утвержден План мероприятий «Совершенствование  таможенного администрирования» (далее – «Дорожная карта»).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b/>
          <w:sz w:val="28"/>
          <w:szCs w:val="28"/>
        </w:rPr>
        <w:t>«Дорожная карта»</w:t>
      </w:r>
      <w:r w:rsidRPr="00882C82">
        <w:rPr>
          <w:rFonts w:ascii="Times New Roman" w:hAnsi="Times New Roman" w:cs="Times New Roman"/>
          <w:sz w:val="28"/>
          <w:szCs w:val="28"/>
        </w:rPr>
        <w:t xml:space="preserve">  направлена на ускорение и упрощение, обеспечение прозрачности таможенных операций и процедур, на повышение эффективности таможенного контроля за счет применения современных информационных технологий и смещения акцентов таможенного контроля на этап после выпуска товаров. В результате должны быть существенно сокращены издержки предпринимателей, связанные с осуществлением внешнеэкономической деятельности. В сроки, установленные  «Дорожной  картой», ожидается достижение следующих результатов:</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  сокращение количества документов, требуемых для совершения таможенных операций и таможенных процедур при ввозе товаров и транспортных средств в  Российскую Федерацию и их вывозе из Российской Федерации (с 10 в 2012 году до 4 в 2018 году при импорте и с 8 в 2012 году до 4 в 2018 году при экспорте);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сокращение сроков подготовки и получения документов, необходимых для завершения процедуры экспорта и импорта товаров (с 25 дней в 2012 году до 7 дней в 2018 году);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сокращение сроков прохождения таможенных операций и таможенных процедур для товаров, которые не подлежат дополнительным видам государственного контроля и не идентифицированы как рисковые  поставки, требующие дополнительной проверки (с 96 часов в 2012 году до 2 часов в 2018 году при импорте и с 72 часов в 2012 году до 2 часов в 2018 году при экспорте). В рамках исполнения  «Дорожной  карты»  принимаются меры, направленные на совершенствование условий осуществления деятельности в области таможенного дела, совершенствование системы разрешения таможенных споров, вырабатываются подходы к внедрению персональной ответственности сотрудников таможенных </w:t>
      </w:r>
      <w:r w:rsidRPr="00882C82">
        <w:rPr>
          <w:rFonts w:ascii="Times New Roman" w:hAnsi="Times New Roman" w:cs="Times New Roman"/>
          <w:sz w:val="28"/>
          <w:szCs w:val="28"/>
        </w:rPr>
        <w:lastRenderedPageBreak/>
        <w:t xml:space="preserve">органов за принимаемые решения. В соответствии с поручением Правительства Российской Федерации ведется работа по упрощению ввоза и вывоза материалов для лабораторных и научных исследований.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Одновременно проводится работа по доработке Таможенного кодекса Таможенного союза с целью устранения выявленных недостатков и дальнейшей модернизации таможенного законодательства Таможенного союза.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2014-2016 годах будет продолжена реализация мероприятий, предусмотренных «Дорожной картой», важнейшими из которых являются:\  полномасштабный переход на межведомственное электронное взаимодействие и отказ от дублирования электронных документов бумажными при декларировании;  ускорение выдачи  разрешительных документов;  внедрение генеральной финансовой гарантии и по результатам этой работы принятие решения об установлении права декларантов уплачивать таможенные платежи после выпуска товаров;  качественное совершенствование системы управления рисками и др.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Важным направлением работы в области повышения качества таможенного администрирования должно стать усиление контроля за добросовестностью декларирования участниками ВЭД стоимости ввозимого товара. Снижение объемов фактического занижения таможенной стоимости не только положительно отразится на уровне поступлений в бюджет, но и необходимо для проведения корректной работы по приведению в соответствие адвалорных и специфических частей тарифных обязательств в предстоящие годы, а также позволит качественным образом усовершенствовать фактологическую базу доказательства корректности применяемых специфических ставок ввозных таможенных пошлин в случае оспаривания их соответствия тарифным обязательствам Российской Федерации членами ВТО.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Кроме того, необходимо развивать систему статистического учета внешнеэкономической деятельности Таможенного союза. При существующем уровне статистического обеспечения функционирования Таможенного союза, основанного преимущественно на оценке стоимостных показателей взаимной торговли без привязки к ее физическим объемам, существенно затрудняется оценка влияния идущих интеграционных процессов на развитие отраслей экономики </w:t>
      </w:r>
      <w:r w:rsidRPr="00882C82">
        <w:rPr>
          <w:rFonts w:ascii="Times New Roman" w:hAnsi="Times New Roman" w:cs="Times New Roman"/>
          <w:sz w:val="28"/>
          <w:szCs w:val="28"/>
        </w:rPr>
        <w:lastRenderedPageBreak/>
        <w:t xml:space="preserve">России. Решением данной задачи должно стать, в том числе, размещение  на сайте Евразийской экономической комиссии  в сети Интернет соответствующих количественных и стоимостных данных статистики взаимной торговли государств-членов Таможенного союза.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предстоящей период существенно повысится роль такого направления работы таможенных органов и национальных органов регулирования стран-членов Таможенного союза,  как обеспечение эффективного контроля таможенных границ по внешнему контуру, в частности, для минимизации масштабов проблемы ухода импорта  продукции из  государств, не являющихся членами Таможенного союза  в «серую» зону.  В этих целях необходимо обеспечить проведение целенаправленной работы в рамках Таможенного союза по унификации налогового законодательства, соответствующих процедур таможенного оформления, сертификации и контроля; </w:t>
      </w:r>
    </w:p>
    <w:p w:rsidR="00EE1175" w:rsidRPr="00882C82" w:rsidRDefault="00EE1175" w:rsidP="00741513">
      <w:pPr>
        <w:pStyle w:val="a3"/>
        <w:spacing w:line="360" w:lineRule="auto"/>
        <w:ind w:firstLine="720"/>
        <w:jc w:val="both"/>
        <w:rPr>
          <w:rFonts w:ascii="Times New Roman" w:hAnsi="Times New Roman" w:cs="Times New Roman"/>
          <w:b/>
          <w:sz w:val="28"/>
          <w:szCs w:val="28"/>
        </w:rPr>
      </w:pPr>
      <w:r w:rsidRPr="00882C82">
        <w:rPr>
          <w:rFonts w:ascii="Times New Roman" w:hAnsi="Times New Roman" w:cs="Times New Roman"/>
          <w:b/>
          <w:sz w:val="28"/>
          <w:szCs w:val="28"/>
        </w:rPr>
        <w:t xml:space="preserve">д) заключение соглашений о преференциальной торговле.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Одно из главных направлений торговой, в том числе  в  таможенно-тарифной  политике  Таможенного союза в среднесрочной перспективе  – совершенствование позиционирования Таможенного союза в международной торговой системе для получения преимуществ от расширения торговли и улучшения доступа на внешние рынки.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рассматриваемый период  предстоит завершить консультации о присоединении к  Договору о свободной торговле СНГ    Узбекистана, в результате чего  зона свободной торговли  СНГ охватит свыше 95% взаимной торговли стран Содружества. Реализация Договора о свободной торговле СНГ станет основой для постепенной либерализации других сфер экономического сотрудничества государств Содружества, включая торговлю услугами.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Расширение зоны преференциальной торговли для  государств-членов Таможенного союза путем заключения соглашений о свободной торговле с третьими странами становится важной задачей современной торговой политики Таможенного союза и требует четкой расстановки приоритетов. Соглашения о свободной торговле должны заключаться, прежде всего, в целях достижения значимого экономического эффекта для отечественных компаний и страны в целом  через улучшение и расширение доступа на зарубежные рынки, привлечение </w:t>
      </w:r>
      <w:r w:rsidRPr="00882C82">
        <w:rPr>
          <w:rFonts w:ascii="Times New Roman" w:hAnsi="Times New Roman" w:cs="Times New Roman"/>
          <w:sz w:val="28"/>
          <w:szCs w:val="28"/>
        </w:rPr>
        <w:lastRenderedPageBreak/>
        <w:t xml:space="preserve">передовых технологий и создание новых рабочих мест  при обеспечении интересов импортозамещающих национальных производств (например, сельское хозяйство).   Российская сторона заинтересована  в разработке более глубокого режима преференциальной торговли, включающего положения о сотрудничестве в сфере услуг и инвестиций, создающие благоприятные условия для  расширения коммерческого присутствия отечественных компаний и банков в странах-партнерах.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среднесрочной перспективе возможно расширение состава Таможенного союза за счет других членов ЕврАзЭС, что окажет определенное влияние на параметры таможенно-тарифной политики ТС. В настоящее время ведется работа по присоединению  Киргизской Республики  к Таможенному союзу, в ноябре 2013 года на рассмотрение Совета ЕЭК планируется внести проект соответствующей дорожной карты. Аналогичное желание присоединиться к Таможенному союзу демонстрирует Таджикистан.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Особенностью работы по этому направлению станет статус указанных стран как членов в ВТО, который диктует необходимость гармонизации тарифных обязательств в ЕТТ ТС в рамках классических модальностей формирования членами ВТО таможенных союзов и их расширения, определенных в  Статье XXVIII ГАТТ/ВТО. При этом  должна быть учтена длительность таких переговоров, а также то, что они могут привести к снижению отдельных ставок ввозных таможенных пошлин ЕТТ ТС. </w:t>
      </w:r>
    </w:p>
    <w:p w:rsidR="00EE1175" w:rsidRPr="00882C82" w:rsidRDefault="00EE1175" w:rsidP="00741513">
      <w:pPr>
        <w:pStyle w:val="a3"/>
        <w:spacing w:line="360" w:lineRule="auto"/>
        <w:ind w:firstLine="720"/>
        <w:jc w:val="both"/>
        <w:rPr>
          <w:rFonts w:ascii="Times New Roman" w:hAnsi="Times New Roman" w:cs="Times New Roman"/>
          <w:b/>
          <w:sz w:val="28"/>
          <w:szCs w:val="28"/>
        </w:rPr>
      </w:pPr>
      <w:r w:rsidRPr="00882C82">
        <w:rPr>
          <w:rFonts w:ascii="Times New Roman" w:hAnsi="Times New Roman" w:cs="Times New Roman"/>
          <w:b/>
          <w:sz w:val="28"/>
          <w:szCs w:val="28"/>
        </w:rPr>
        <w:t xml:space="preserve"> е)  отладка наднационального механизма взаимодействия и принятия решений в сфере внешнеторгового регулирования ЕЭК для своевременного введения мер защиты внутреннего рынка и интересов отечественных производителей.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самое ближайшее время необходимо приступить к практической реализации инициатив по совершенствованию наднационального механизма разработки и реализации таможенно-тарифной политики.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соответствии с Регламентом работы ЕЭК рассмотрение вопросов и подготовку проектов решений обеспечивает консультативный орган при ЕЭК – Подкомитет по таможенно-тарифному, нетарифному регулированию и защитным мерам Консультативного комитета по торговле. Практика 2012 года показала, что </w:t>
      </w:r>
      <w:r w:rsidRPr="00882C82">
        <w:rPr>
          <w:rFonts w:ascii="Times New Roman" w:hAnsi="Times New Roman" w:cs="Times New Roman"/>
          <w:sz w:val="28"/>
          <w:szCs w:val="28"/>
        </w:rPr>
        <w:lastRenderedPageBreak/>
        <w:t xml:space="preserve">средний срок рассмотрения вопросов с даты направления материалов в ЕЭК до принятия решения Коллегией ЕЭК составляет 5 месяцев, при этом по отдельным товарам процедура принятия решений достигла  срока до 7-9 месяцев. В связи с этим следует разработать и реализовать комплекс мер, направленных на сокращение времени согласования и принятия решений. При этом для принятия решений на наднациональном уровне требуется определить объективные критерии к обоснованию предложений об изменении уровня тарифной защиты, в основе которых должны  находиться  приоритеты промышленной и агропромышленной политики, а также бюджетные последствия принимаемых решений.  Представляется необходимым задействовать на наднациональном уровне систему мониторинга эффективности мер таможенно-тарифного регулирования. Будет проведена работа по оптимизации перечня чувствительных товаров, в отношении которого решения об изменении ставок ввозных таможенных пошлин принимаются только при наличии согласия всех государств-членов Таможенного союза. В основу данной работы будет положен принцип создания транспарентных  механизмов защиты интересов производителей с учетом фискальной составляющей данной работы.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С учетом вышеизложенного в краткосрочной перспективе необходимо разработать основные принципы, подходы и направления таможенно-тарифной политики Таможенного союза, в основу которой должны  быть положены национальные таможенно-тарифные политики государств-членов Таможенного союза; </w:t>
      </w:r>
    </w:p>
    <w:p w:rsidR="00EE1175" w:rsidRPr="00882C82" w:rsidRDefault="00EE1175" w:rsidP="00741513">
      <w:pPr>
        <w:pStyle w:val="a3"/>
        <w:spacing w:line="360" w:lineRule="auto"/>
        <w:ind w:firstLine="720"/>
        <w:jc w:val="both"/>
        <w:rPr>
          <w:rFonts w:ascii="Times New Roman" w:hAnsi="Times New Roman" w:cs="Times New Roman"/>
          <w:b/>
          <w:sz w:val="28"/>
          <w:szCs w:val="28"/>
        </w:rPr>
      </w:pPr>
      <w:r w:rsidRPr="00882C82">
        <w:rPr>
          <w:rFonts w:ascii="Times New Roman" w:hAnsi="Times New Roman" w:cs="Times New Roman"/>
          <w:b/>
          <w:sz w:val="28"/>
          <w:szCs w:val="28"/>
        </w:rPr>
        <w:t xml:space="preserve">ж)  адаптация будущих тарифных обязательств Казахстана перед ВТО в законодательство Таможенного союза;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Договоренности Республики Казахстан отличаются от договоренностей, достигнутых Российской Федерацией при присоединении к ВТО. Так, из 4 116 ставок начального уровня связывания по 1 885 тарифным линиям обязательства Казахстана являются более либеральными,  из  5 032  ставок конечного уровня связывания аналогичная ситуация складывается по 2 490 тарифным линиям.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целях минимизации негативных эффектов от снижения ставок ЕТТ ТС ввиду начала применения обязательств Казахстана в ВТО представляется необходимым  рассчитать ставки  начального и конечного уровней связывания </w:t>
      </w:r>
      <w:r w:rsidRPr="00882C82">
        <w:rPr>
          <w:rFonts w:ascii="Times New Roman" w:hAnsi="Times New Roman" w:cs="Times New Roman"/>
          <w:sz w:val="28"/>
          <w:szCs w:val="28"/>
        </w:rPr>
        <w:lastRenderedPageBreak/>
        <w:t xml:space="preserve">консолидированных тарифных обязательств России и Казахстана в ВТО путем взвешивания объемов импорта каждого государства в совокупном объеме их импорта.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случае соблюдения указанного подхода на основании предварительных расчетов можно констатировать, что по большинству тарифных линий величины гармонизированных ставок ввозного тарифа  будут  отклоняться от показателей российских обязательств в пределах одного процентного пункта. В то же время по незначительному количеству тарифных позиций снижение ставок пошлин может достигать 50 и более процентов.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целом Россия должна будет занять активную позицию в данной работе, направленную на минимизацию негативных последствий от возможного снижения тарифной защиты.  </w:t>
      </w:r>
    </w:p>
    <w:p w:rsidR="00EE1175" w:rsidRPr="00882C82" w:rsidRDefault="00EE1175" w:rsidP="00741513">
      <w:pPr>
        <w:pStyle w:val="a3"/>
        <w:spacing w:line="360" w:lineRule="auto"/>
        <w:ind w:firstLine="720"/>
        <w:jc w:val="both"/>
        <w:rPr>
          <w:rFonts w:ascii="Times New Roman" w:hAnsi="Times New Roman" w:cs="Times New Roman"/>
          <w:b/>
          <w:sz w:val="28"/>
          <w:szCs w:val="28"/>
        </w:rPr>
      </w:pPr>
      <w:r w:rsidRPr="00882C82">
        <w:rPr>
          <w:rFonts w:ascii="Times New Roman" w:hAnsi="Times New Roman" w:cs="Times New Roman"/>
          <w:b/>
          <w:sz w:val="28"/>
          <w:szCs w:val="28"/>
        </w:rPr>
        <w:t xml:space="preserve">Принципы таможенно-тарифного регулирования экспорта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сфере тарифного регулирования экспорта  в 2013 и последующих годах продолжится постепенное снижение ставок вывозных таможенных пошлин в соответствии с обязательствами Российской Федерации  в  ВТО.  Так, предусмотрена полная отмена экспортных пошлин по 495 тарифным линиям по истечении переходных периодов  в  1-5 лет на все товары, облагаемые действующими вывозными пошлинами, за исключением: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минерального топлива (нефть, нефтепродукты, газ);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лесоматериалов необработанных и некоторых видов обработанных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лесоматериалов из ценных пород древесины;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лома черных и цветных металлов;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семян масличных культур, необработанных шкур и выделанной кожи;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 осей железнодорожных локомотивов.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По этим товарам (кроме топливно-энергетической группы) пошлины либо остаются на начальном уровне связывания, либо снижаются, но не до нуля. По товарам, не вошедшим в закрытый перечень тарифных обязательств по экспортным пошлинам, Российская Федерация в целом сохраняет автономность в регулировании экспортного тарифа.  Вместе с тем необходимо будет придерживаться  положений Соглашения в форме обмена письмами между Российской Федерацией и </w:t>
      </w:r>
      <w:r w:rsidRPr="00882C82">
        <w:rPr>
          <w:rFonts w:ascii="Times New Roman" w:hAnsi="Times New Roman" w:cs="Times New Roman"/>
          <w:sz w:val="28"/>
          <w:szCs w:val="28"/>
        </w:rPr>
        <w:lastRenderedPageBreak/>
        <w:t xml:space="preserve">Европейским  союзом о введении или  повышении экспортных пошлин на сырьевые товары, которым введен механизм предварительных консультаций  перед повышением  вывозных таможенных пошлин на товары, которые не связаны ограничениями многосторонней торговой системы и по которым доля России на мировом  рынке превышает 10%.  При этом импорт таких товаров должен  являться чувствительным для внутреннего рынка торгового партнера.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Другим направлением работы станет  реализация положений статьи 77 Таможенного кодекса Таможенного союза по подготовке сводного перечня товаров, в отношении которых в государствах  –  членах Таможенного союза применяются ставки вывозных таможенных пошлин (в том числе с обязанностью при их экспорте предъявлять документы для подтверждения страны происхождения). Данная работа будет направлена на  урегулирование ситуации с реэкспортом российских налогооблагаемых товаров через территорию  государств-членов Таможенного союза, а также  постепенное сближение позиций  в Таможенном союзе  по вопросу установления  единых вывозных  таможенных  пошлин  в развитие Соглашения Таможенного союза о вывозных таможенных пошлинах в отношении третьих стран от 25 января 2008 г., а также двусторонних соглашений по нефти и нефтепродуктам с Белоруссией и Казахстаном.  Поскольку  вывозные  таможенные  пошлины играют важную роль  в формировании  федерального бюджета,  основным вопросом при унификации  является необходимость полного и своевременного перечисления вывозных пошлин в страну происхождения  экспортируемых товаров.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области регулирования экспорта  нефти, нефтепродуктов и газа обязательствами в ВТО предусмотрено применение особой формулы расчета ставок на нефть и нефтепродукты, что допускает возможность их небольшого повышения (не более 5-7%) по сравнению с действующими вывозными таможенными пошлинами. На природный газ (а также сжиженный углеводородный газ) зафиксирована предельная ставка вывозной таможенной пошлины в размере  30% от таможенной стоимости, на сжиженный природный газ – на уровне 21%, но не более 40 евро за 1 т без обязательств по ее снижению.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среднесрочной перспективе основой системы налогообложения экспорта в нефтяной отрасли станут параметры введенного в 2011  году режима «60-66», </w:t>
      </w:r>
      <w:r w:rsidRPr="00882C82">
        <w:rPr>
          <w:rFonts w:ascii="Times New Roman" w:hAnsi="Times New Roman" w:cs="Times New Roman"/>
          <w:sz w:val="28"/>
          <w:szCs w:val="28"/>
        </w:rPr>
        <w:lastRenderedPageBreak/>
        <w:t xml:space="preserve">предполагающего создание стимулирующих условий для развития добычи нефти в традиционных регионах (Западная Сибирь, Поволжье), ускоренного инвестирования в процессы вторичной переработки нефти вместо развития выпуска продуктов первичного передела – мазута, нафты и битумов. Реализация такого сценария должна стать подготовкой к внесению изменений в систему налогообложения отрасли.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При этом решение об изменении ставок пошлин для бензинов будет осуществлено с учетом хода фактической реализации программ модернизации российской нефтепереработки.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В краткосрочной перспективе в целях восполнения возможного  дефицита</w:t>
      </w:r>
      <w:r w:rsidR="00C83A2B" w:rsidRPr="00C83A2B">
        <w:rPr>
          <w:rFonts w:ascii="Times New Roman" w:hAnsi="Times New Roman" w:cs="Times New Roman"/>
          <w:sz w:val="28"/>
          <w:szCs w:val="28"/>
        </w:rPr>
        <w:t xml:space="preserve"> </w:t>
      </w:r>
      <w:r w:rsidRPr="00882C82">
        <w:rPr>
          <w:rFonts w:ascii="Times New Roman" w:hAnsi="Times New Roman" w:cs="Times New Roman"/>
          <w:sz w:val="28"/>
          <w:szCs w:val="28"/>
        </w:rPr>
        <w:t xml:space="preserve">бензинов будет рассмотрена целесообразность повышения ставок вывозных таможенных пошлин на октаноповышающие добавки. В течение 2013-2014 годов на постоянной основе будет проводиться мониторинг производства, экспорта и потребления нефтяного кокса для подготовки предложений по оптимизации таможенно-тарифного режима в отношении  экспорта некальцинированного нефтяного кокса  в случае наличия дисбаланса на внутреннем рынке.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К 2015-2016 годам в отношении экспорта сжиженных углеводородных газопо мере реализации проектов нефтехимических предприятий по запуску пиролизных мощностей и в целях обеспечения преимущественной поставки сырья на внутренний рынок планируется пересмотреть механизм и уровень ставки вывозной пошлины. Конкретные параметры изменений будут определеныс учетом складывающейся рыночной конъюнктуры.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Одним из направлений работы станет углубление сотрудничества с партнерами по Таможенному союзу в области урегулирования вопросов по поставке нефти и нефтепродуктов. С учетом Соглашения Таможенного союза о порядке организации, управления, функционирования и развития общих рынков нефти и нефтепродуктов Республики Беларусь, Республики Казахстан и Российской Федерации  от  9 декабря 2010 г.  планируется оптимизировать соответствующие  механизмы двусторонних отношений. Указанная работа будет касаться продления срока действия Соглашения между Правительством Республики Беларусь и Правительством Российской Федерации «Об определении порядка уплаты вывозных </w:t>
      </w:r>
      <w:r w:rsidRPr="00882C82">
        <w:rPr>
          <w:rFonts w:ascii="Times New Roman" w:hAnsi="Times New Roman" w:cs="Times New Roman"/>
          <w:sz w:val="28"/>
          <w:szCs w:val="28"/>
        </w:rPr>
        <w:lastRenderedPageBreak/>
        <w:t xml:space="preserve">таможенных пошлин (иных пошлин, налогов и сборов, имеющих эквивалентное действие) при вывозе нефти и нефтепродуктов с территории Республики Беларусь за пределы таможенной территории Таможенного союза»  от  9 декабря 2010 г., а также уточнения положений Соглашения между Правительством Российской Федерации и Правительством Республики Казахстан о торгово-экономическом сотрудничестве в области поставок нефти и нефтепродуктов в Республику Казахстан.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При экспорте углеводородов  в  СНГ, включая  Киргизию и  Таджикистан, планируется предоставлять беспошлинный режим вывоза российской нефти и нефтепродуктов  при гарантиях соблюдения и фактическом обеспечении экономических интересов Российской  Федерации, в том числе  в отношении реэкспорта  российских товаров.  В краткосрочной перспективе  ожидается подписание  двусторонних соглашений  о сотрудничестве в сфере  поставки нефти и нефтепродуктов,  предусматривающих беспошлинный режим поставок в рамках утвержденных годовых балансов, обеспечивающих потребности внутреннего рынка указанных государств. </w:t>
      </w:r>
    </w:p>
    <w:p w:rsidR="00EE1175" w:rsidRPr="00882C82" w:rsidRDefault="00EE1175"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 xml:space="preserve">В области регулирования экспорта  металлургического сырья  планируетсясохранить  действующий  порядок установления экспортных пошлин  на  медьрафинированную  и никель нелегированный. В случае возникновения дисбалансов внутреннего рынка будут рассмотрены варианты введения пошлин на иные металлы.  </w:t>
      </w:r>
    </w:p>
    <w:p w:rsidR="00741513" w:rsidRPr="00C83A2B" w:rsidRDefault="00EE1175" w:rsidP="00C83A2B">
      <w:pPr>
        <w:pStyle w:val="a3"/>
        <w:spacing w:line="360" w:lineRule="auto"/>
        <w:ind w:firstLine="720"/>
        <w:jc w:val="both"/>
        <w:rPr>
          <w:rFonts w:ascii="Times New Roman" w:hAnsi="Times New Roman" w:cs="Times New Roman"/>
          <w:sz w:val="28"/>
          <w:szCs w:val="28"/>
          <w:lang w:val="en-US"/>
        </w:rPr>
      </w:pPr>
      <w:r w:rsidRPr="00882C82">
        <w:rPr>
          <w:rFonts w:ascii="Times New Roman" w:hAnsi="Times New Roman" w:cs="Times New Roman"/>
          <w:sz w:val="28"/>
          <w:szCs w:val="28"/>
        </w:rPr>
        <w:t>В  лесопромышленном комплексе  будут сохранены  экспортные  тарифные квоты на отдельные виды лесоматериалов хвойных пород с целью создания стимулирующих условий для развития отечественной лесопереработки с обеспечением достаточным объемом сырья зарубежных покупателей. Указанный режим будет осуществляться в рамках постановления Правительства Российской Федерации «О  тарифных квотах на отдельные виды лесоматериалов хвойных пород, вывозимых за пределы территории Российской Федерации и территории государств – участников соглашений о Таможенном союзе» от 30 июля 2012 г.№ 779.</w:t>
      </w:r>
    </w:p>
    <w:p w:rsidR="00741513" w:rsidRDefault="00741513">
      <w:pPr>
        <w:rPr>
          <w:b/>
        </w:rPr>
      </w:pPr>
    </w:p>
    <w:p w:rsidR="00741513" w:rsidRDefault="00741513" w:rsidP="00741513">
      <w:pPr>
        <w:spacing w:line="360" w:lineRule="auto"/>
        <w:rPr>
          <w:b/>
          <w:szCs w:val="28"/>
        </w:rPr>
      </w:pPr>
      <w:r w:rsidRPr="00741513">
        <w:rPr>
          <w:b/>
          <w:szCs w:val="28"/>
        </w:rPr>
        <w:lastRenderedPageBreak/>
        <w:t>3.1 Внешнеторговый оборот за янв-июль 2013 года</w:t>
      </w:r>
    </w:p>
    <w:p w:rsidR="00741513" w:rsidRPr="00741513" w:rsidRDefault="00741513" w:rsidP="00741513">
      <w:pPr>
        <w:rPr>
          <w:b/>
          <w:szCs w:val="28"/>
        </w:rPr>
      </w:pPr>
    </w:p>
    <w:p w:rsidR="00741513" w:rsidRPr="00882C82" w:rsidRDefault="00741513"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По данным таможенной статистики в январе-июне 2013 года  внешнеторговый  оборот России составил 404,6 млрд.долларов США и по сравнению с январем-июнем 2012 года снизился на 0,5%. Со странами дальнего зарубежья внешнеторговый оборот составил 351,0 млрд.долларов США, со странами СНГ – 53,6 млрд.долларов США.</w:t>
      </w:r>
    </w:p>
    <w:p w:rsidR="00741513" w:rsidRPr="00882C82" w:rsidRDefault="00741513"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Сальдо торгового баланса сложилось положительное в размере 103,3 млрд.долларов США, что на 12,1 млрд. долларов США меньше, чем в январе-июне 2012 года. При этом в торговле со странами дальнего зарубежья сальдо равнялось 90,5 млрд.долларов США (снижение на 7,4 млрд.долларов США), со странами СНГ – 12,8 млрд. долл. США1 (снижение на 4,6 млрд.долларов США).</w:t>
      </w:r>
    </w:p>
    <w:p w:rsidR="00741513" w:rsidRPr="00882C82" w:rsidRDefault="00741513" w:rsidP="00741513">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b/>
          <w:sz w:val="28"/>
          <w:szCs w:val="28"/>
        </w:rPr>
        <w:t xml:space="preserve">В страновой структуре внешней торговли России </w:t>
      </w:r>
      <w:r w:rsidRPr="00882C82">
        <w:rPr>
          <w:rFonts w:ascii="Times New Roman" w:hAnsi="Times New Roman" w:cs="Times New Roman"/>
          <w:bCs/>
          <w:sz w:val="28"/>
          <w:szCs w:val="28"/>
        </w:rPr>
        <w:t>особое место</w:t>
      </w:r>
      <w:r w:rsidRPr="00882C82">
        <w:rPr>
          <w:rFonts w:ascii="Times New Roman" w:hAnsi="Times New Roman" w:cs="Times New Roman"/>
          <w:sz w:val="28"/>
          <w:szCs w:val="28"/>
        </w:rPr>
        <w:t xml:space="preserve"> занимает Европейский Союз, как крупнейший экономический партнер страны. На долю Европейского Союза в январе-июле 2013 года приходилось 49,9% российского товарооборота (в январе-июле 2012 года – 48,8%). На страны СНГ в январе-июле 2013 года приходилось 13,3% российского товарооборота (в январе-июле 2012 года – 14,5%), на страны Таможенного союза – 7,2% (7,5%), на страны ЕврАзЭС – 7,5% (7,8%), на страны АТЭС – 24,5% (23,9%).</w:t>
      </w:r>
    </w:p>
    <w:p w:rsidR="00561DAF" w:rsidRDefault="00741513" w:rsidP="00561DAF">
      <w:pPr>
        <w:pStyle w:val="a3"/>
        <w:spacing w:line="360" w:lineRule="auto"/>
        <w:ind w:firstLine="720"/>
        <w:jc w:val="both"/>
        <w:rPr>
          <w:rFonts w:ascii="Times New Roman" w:hAnsi="Times New Roman" w:cs="Times New Roman"/>
          <w:sz w:val="28"/>
          <w:szCs w:val="28"/>
        </w:rPr>
      </w:pPr>
      <w:r w:rsidRPr="00882C82">
        <w:rPr>
          <w:rFonts w:ascii="Times New Roman" w:hAnsi="Times New Roman" w:cs="Times New Roman"/>
          <w:sz w:val="28"/>
          <w:szCs w:val="28"/>
        </w:rPr>
        <w:t>Основными торговыми партнерами России в январе-июле 2013 года среди стран дальнего зарубежья были: Китай, товарооборот с которым составил 49,7 млрд.долларов США (100,1% к январю-июлю 2012 года), Нидерланды – 45,0 млрд.долл.США (91,1%), Германия – 41,3 млрд.долл.США (97,4%), Италия – 30,9 млрд.долл.США (124,9%), Япония – 18,8 млрд.долл.США (107,2%), Турция – 18,1 млрд.долл.США (93,5%), Польша – 15,2 млрд.долл.США (95,7%), Соединенные Штаты – 15,2 млрд.долл.США (91,9%), Корея, Республика – 14,2 млрд.долл.США (101,0%), Франция – 13,9 млрд.долл.США (98,9%).</w:t>
      </w:r>
    </w:p>
    <w:p w:rsidR="00561DAF" w:rsidRPr="00882C82" w:rsidRDefault="00561DAF" w:rsidP="00561DAF">
      <w:pPr>
        <w:pStyle w:val="a3"/>
        <w:spacing w:line="360" w:lineRule="auto"/>
        <w:ind w:firstLine="720"/>
        <w:jc w:val="both"/>
        <w:rPr>
          <w:rFonts w:ascii="Times New Roman" w:hAnsi="Times New Roman" w:cs="Times New Roman"/>
          <w:sz w:val="28"/>
          <w:szCs w:val="28"/>
        </w:rPr>
      </w:pPr>
      <w:r w:rsidRPr="00561DAF">
        <w:rPr>
          <w:rFonts w:ascii="Times New Roman" w:hAnsi="Times New Roman" w:cs="Times New Roman"/>
          <w:sz w:val="28"/>
          <w:szCs w:val="28"/>
        </w:rPr>
        <w:t xml:space="preserve"> </w:t>
      </w:r>
      <w:r w:rsidRPr="00882C82">
        <w:rPr>
          <w:rFonts w:ascii="Times New Roman" w:hAnsi="Times New Roman" w:cs="Times New Roman"/>
          <w:sz w:val="28"/>
          <w:szCs w:val="28"/>
        </w:rPr>
        <w:t>Объемы торговли со странами СНГ в январе-июле 2013 года приведены ниже (миллионов долларов США):</w:t>
      </w:r>
    </w:p>
    <w:p w:rsidR="00561DAF" w:rsidRPr="001E1BCD" w:rsidRDefault="00561DAF" w:rsidP="00561DAF">
      <w:pPr>
        <w:spacing w:line="360" w:lineRule="auto"/>
        <w:ind w:firstLine="0"/>
        <w:rPr>
          <w:b/>
        </w:rPr>
      </w:pPr>
    </w:p>
    <w:p w:rsidR="00741513" w:rsidRPr="00882C82" w:rsidRDefault="00741513" w:rsidP="00741513">
      <w:pPr>
        <w:pStyle w:val="a3"/>
        <w:spacing w:line="360" w:lineRule="auto"/>
        <w:ind w:firstLine="720"/>
        <w:jc w:val="both"/>
        <w:rPr>
          <w:rFonts w:ascii="Times New Roman" w:hAnsi="Times New Roman" w:cs="Times New Roman"/>
          <w:sz w:val="28"/>
          <w:szCs w:val="28"/>
        </w:rPr>
      </w:pPr>
    </w:p>
    <w:tbl>
      <w:tblPr>
        <w:tblW w:w="9038" w:type="dxa"/>
        <w:jc w:val="center"/>
        <w:tblLook w:val="04A0"/>
      </w:tblPr>
      <w:tblGrid>
        <w:gridCol w:w="1951"/>
        <w:gridCol w:w="1583"/>
        <w:gridCol w:w="1819"/>
        <w:gridCol w:w="1701"/>
        <w:gridCol w:w="1984"/>
      </w:tblGrid>
      <w:tr w:rsidR="00561DAF" w:rsidRPr="00882C82" w:rsidTr="00561DAF">
        <w:trPr>
          <w:trHeight w:val="42"/>
          <w:jc w:val="center"/>
        </w:trPr>
        <w:tc>
          <w:tcPr>
            <w:tcW w:w="1951" w:type="dxa"/>
            <w:tcBorders>
              <w:top w:val="single" w:sz="4" w:space="0" w:color="000000"/>
              <w:left w:val="single" w:sz="4" w:space="0" w:color="000000"/>
              <w:bottom w:val="single" w:sz="4" w:space="0" w:color="000000"/>
              <w:right w:val="single" w:sz="4" w:space="0" w:color="000000"/>
            </w:tcBorders>
          </w:tcPr>
          <w:p w:rsidR="00561DAF" w:rsidRPr="00882C82" w:rsidRDefault="00561DAF" w:rsidP="00561DAF">
            <w:pPr>
              <w:pStyle w:val="a3"/>
              <w:ind w:firstLine="426"/>
              <w:jc w:val="both"/>
              <w:rPr>
                <w:rFonts w:ascii="Times New Roman" w:hAnsi="Times New Roman" w:cs="Times New Roman"/>
                <w:snapToGrid w:val="0"/>
                <w:sz w:val="28"/>
                <w:szCs w:val="28"/>
              </w:rPr>
            </w:pPr>
          </w:p>
        </w:tc>
        <w:tc>
          <w:tcPr>
            <w:tcW w:w="1583" w:type="dxa"/>
            <w:tcBorders>
              <w:top w:val="single" w:sz="4" w:space="0" w:color="000000"/>
              <w:left w:val="single" w:sz="4" w:space="0" w:color="000000"/>
              <w:bottom w:val="single" w:sz="4" w:space="0" w:color="000000"/>
              <w:right w:val="single" w:sz="4" w:space="0" w:color="000000"/>
            </w:tcBorders>
            <w:noWrap/>
            <w:hideMark/>
          </w:tcPr>
          <w:p w:rsidR="00561DAF" w:rsidRPr="00882C82" w:rsidRDefault="00561DAF" w:rsidP="00561DAF">
            <w:pPr>
              <w:pStyle w:val="a3"/>
              <w:ind w:firstLine="426"/>
              <w:jc w:val="center"/>
              <w:rPr>
                <w:rFonts w:ascii="Times New Roman" w:hAnsi="Times New Roman" w:cs="Times New Roman"/>
                <w:sz w:val="28"/>
                <w:szCs w:val="28"/>
              </w:rPr>
            </w:pPr>
            <w:r w:rsidRPr="00882C82">
              <w:rPr>
                <w:rFonts w:ascii="Times New Roman" w:hAnsi="Times New Roman" w:cs="Times New Roman"/>
                <w:b/>
                <w:bCs/>
                <w:sz w:val="28"/>
                <w:szCs w:val="28"/>
              </w:rPr>
              <w:t>Оборот</w:t>
            </w:r>
          </w:p>
        </w:tc>
        <w:tc>
          <w:tcPr>
            <w:tcW w:w="1819" w:type="dxa"/>
            <w:tcBorders>
              <w:top w:val="single" w:sz="4" w:space="0" w:color="000000"/>
              <w:left w:val="single" w:sz="4" w:space="0" w:color="000000"/>
              <w:bottom w:val="single" w:sz="4" w:space="0" w:color="000000"/>
              <w:right w:val="single" w:sz="4" w:space="0" w:color="000000"/>
            </w:tcBorders>
            <w:noWrap/>
            <w:hideMark/>
          </w:tcPr>
          <w:p w:rsidR="00561DAF" w:rsidRPr="00882C82" w:rsidRDefault="00561DAF" w:rsidP="00561DAF">
            <w:pPr>
              <w:pStyle w:val="a3"/>
              <w:ind w:firstLine="426"/>
              <w:jc w:val="center"/>
              <w:rPr>
                <w:rFonts w:ascii="Times New Roman" w:hAnsi="Times New Roman" w:cs="Times New Roman"/>
                <w:sz w:val="28"/>
                <w:szCs w:val="28"/>
              </w:rPr>
            </w:pPr>
            <w:r w:rsidRPr="00882C82">
              <w:rPr>
                <w:rFonts w:ascii="Times New Roman" w:hAnsi="Times New Roman" w:cs="Times New Roman"/>
                <w:b/>
                <w:bCs/>
                <w:sz w:val="28"/>
                <w:szCs w:val="28"/>
              </w:rPr>
              <w:t>Экспорт</w:t>
            </w:r>
          </w:p>
        </w:tc>
        <w:tc>
          <w:tcPr>
            <w:tcW w:w="1701" w:type="dxa"/>
            <w:tcBorders>
              <w:top w:val="single" w:sz="4" w:space="0" w:color="000000"/>
              <w:left w:val="single" w:sz="4" w:space="0" w:color="000000"/>
              <w:bottom w:val="single" w:sz="4" w:space="0" w:color="000000"/>
              <w:right w:val="single" w:sz="4" w:space="0" w:color="000000"/>
            </w:tcBorders>
            <w:noWrap/>
            <w:hideMark/>
          </w:tcPr>
          <w:p w:rsidR="00561DAF" w:rsidRPr="00882C82" w:rsidRDefault="00561DAF" w:rsidP="00561DAF">
            <w:pPr>
              <w:pStyle w:val="a3"/>
              <w:ind w:firstLine="426"/>
              <w:jc w:val="center"/>
              <w:rPr>
                <w:rFonts w:ascii="Times New Roman" w:hAnsi="Times New Roman" w:cs="Times New Roman"/>
                <w:sz w:val="28"/>
                <w:szCs w:val="28"/>
              </w:rPr>
            </w:pPr>
            <w:r w:rsidRPr="00882C82">
              <w:rPr>
                <w:rFonts w:ascii="Times New Roman" w:hAnsi="Times New Roman" w:cs="Times New Roman"/>
                <w:b/>
                <w:bCs/>
                <w:snapToGrid w:val="0"/>
                <w:sz w:val="28"/>
                <w:szCs w:val="28"/>
              </w:rPr>
              <w:t>Импорт</w:t>
            </w:r>
          </w:p>
        </w:tc>
        <w:tc>
          <w:tcPr>
            <w:tcW w:w="1984" w:type="dxa"/>
            <w:tcBorders>
              <w:top w:val="single" w:sz="4" w:space="0" w:color="000000"/>
              <w:left w:val="single" w:sz="4" w:space="0" w:color="000000"/>
              <w:bottom w:val="single" w:sz="4" w:space="0" w:color="000000"/>
              <w:right w:val="single" w:sz="4" w:space="0" w:color="000000"/>
            </w:tcBorders>
            <w:noWrap/>
            <w:hideMark/>
          </w:tcPr>
          <w:p w:rsidR="00561DAF" w:rsidRPr="00882C82" w:rsidRDefault="00561DAF" w:rsidP="00561DAF">
            <w:pPr>
              <w:pStyle w:val="a3"/>
              <w:ind w:firstLine="426"/>
              <w:jc w:val="center"/>
              <w:rPr>
                <w:rFonts w:ascii="Times New Roman" w:hAnsi="Times New Roman" w:cs="Times New Roman"/>
                <w:sz w:val="28"/>
                <w:szCs w:val="28"/>
              </w:rPr>
            </w:pPr>
            <w:r w:rsidRPr="00882C82">
              <w:rPr>
                <w:rFonts w:ascii="Times New Roman" w:hAnsi="Times New Roman" w:cs="Times New Roman"/>
                <w:b/>
                <w:bCs/>
                <w:snapToGrid w:val="0"/>
                <w:sz w:val="28"/>
                <w:szCs w:val="28"/>
              </w:rPr>
              <w:t>Сальдо</w:t>
            </w:r>
          </w:p>
        </w:tc>
      </w:tr>
      <w:tr w:rsidR="00561DAF" w:rsidRPr="00882C82" w:rsidTr="00561DAF">
        <w:trPr>
          <w:trHeight w:val="79"/>
          <w:jc w:val="center"/>
        </w:trPr>
        <w:tc>
          <w:tcPr>
            <w:tcW w:w="1951" w:type="dxa"/>
            <w:tcBorders>
              <w:top w:val="single" w:sz="4" w:space="0" w:color="000000"/>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 xml:space="preserve"> Азербайджан</w:t>
            </w:r>
          </w:p>
        </w:tc>
        <w:tc>
          <w:tcPr>
            <w:tcW w:w="1583" w:type="dxa"/>
            <w:tcBorders>
              <w:top w:val="single" w:sz="4" w:space="0" w:color="000000"/>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2165.4</w:t>
            </w:r>
          </w:p>
        </w:tc>
        <w:tc>
          <w:tcPr>
            <w:tcW w:w="1819" w:type="dxa"/>
            <w:tcBorders>
              <w:top w:val="single" w:sz="4" w:space="0" w:color="000000"/>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1822.7</w:t>
            </w:r>
          </w:p>
        </w:tc>
        <w:tc>
          <w:tcPr>
            <w:tcW w:w="1701" w:type="dxa"/>
            <w:tcBorders>
              <w:top w:val="single" w:sz="4" w:space="0" w:color="000000"/>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342.6</w:t>
            </w:r>
          </w:p>
        </w:tc>
        <w:tc>
          <w:tcPr>
            <w:tcW w:w="1984" w:type="dxa"/>
            <w:tcBorders>
              <w:top w:val="single" w:sz="4" w:space="0" w:color="000000"/>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1480.1</w:t>
            </w:r>
          </w:p>
        </w:tc>
      </w:tr>
      <w:tr w:rsidR="00561DAF" w:rsidRPr="00882C82" w:rsidTr="00561DAF">
        <w:trPr>
          <w:trHeight w:val="28"/>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 xml:space="preserve"> Армения</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680.3</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498.1</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182.3</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315.8</w:t>
            </w:r>
          </w:p>
        </w:tc>
      </w:tr>
      <w:tr w:rsidR="00561DAF" w:rsidRPr="00882C82" w:rsidTr="00561DAF">
        <w:trPr>
          <w:trHeight w:val="28"/>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vertAlign w:val="superscript"/>
              </w:rPr>
            </w:pPr>
            <w:r w:rsidRPr="00882C82">
              <w:rPr>
                <w:rFonts w:ascii="Times New Roman" w:hAnsi="Times New Roman" w:cs="Times New Roman"/>
                <w:snapToGrid w:val="0"/>
                <w:sz w:val="28"/>
                <w:szCs w:val="28"/>
              </w:rPr>
              <w:t xml:space="preserve"> Белоруссия</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18675.6</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11411.6</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7264.0</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4147.6</w:t>
            </w:r>
          </w:p>
        </w:tc>
      </w:tr>
      <w:tr w:rsidR="00561DAF" w:rsidRPr="00882C82" w:rsidTr="00561DAF">
        <w:trPr>
          <w:trHeight w:val="28"/>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Казахстан</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15468.5</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9389.5</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6078.9</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3310.6</w:t>
            </w:r>
          </w:p>
        </w:tc>
      </w:tr>
      <w:tr w:rsidR="00561DAF" w:rsidRPr="00882C82" w:rsidTr="00561DAF">
        <w:trPr>
          <w:trHeight w:val="28"/>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 xml:space="preserve"> Киргизия</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1256.3</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1200.1</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56.3</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1143.8</w:t>
            </w:r>
          </w:p>
        </w:tc>
      </w:tr>
      <w:tr w:rsidR="00561DAF" w:rsidRPr="00882C82" w:rsidTr="00561DAF">
        <w:trPr>
          <w:trHeight w:val="28"/>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Молдавия</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863.7</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672.9</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190.8</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482.1</w:t>
            </w:r>
          </w:p>
        </w:tc>
      </w:tr>
      <w:tr w:rsidR="00561DAF" w:rsidRPr="00882C82" w:rsidTr="00561DAF">
        <w:trPr>
          <w:trHeight w:val="28"/>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Таджикистан</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430.7</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406.7</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24.0</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382.7</w:t>
            </w:r>
          </w:p>
        </w:tc>
      </w:tr>
      <w:tr w:rsidR="00561DAF" w:rsidRPr="00882C82" w:rsidTr="00561DAF">
        <w:trPr>
          <w:trHeight w:val="28"/>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Туркмения</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798.1</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717.2</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80.9</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636.3</w:t>
            </w:r>
          </w:p>
        </w:tc>
      </w:tr>
      <w:tr w:rsidR="00561DAF" w:rsidRPr="00882C82" w:rsidTr="00561DAF">
        <w:trPr>
          <w:trHeight w:val="28"/>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Узбекистан</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2055.4</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1381.3</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674.1</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707.2</w:t>
            </w:r>
          </w:p>
        </w:tc>
      </w:tr>
      <w:tr w:rsidR="00561DAF" w:rsidRPr="00882C82" w:rsidTr="00561DAF">
        <w:trPr>
          <w:trHeight w:val="42"/>
          <w:jc w:val="center"/>
        </w:trPr>
        <w:tc>
          <w:tcPr>
            <w:tcW w:w="1951" w:type="dxa"/>
            <w:tcBorders>
              <w:top w:val="nil"/>
              <w:left w:val="single" w:sz="4" w:space="0" w:color="000000"/>
              <w:bottom w:val="single" w:sz="4" w:space="0" w:color="000000"/>
              <w:right w:val="single" w:sz="4" w:space="0" w:color="000000"/>
            </w:tcBorders>
            <w:hideMark/>
          </w:tcPr>
          <w:p w:rsidR="00561DAF" w:rsidRPr="00882C82" w:rsidRDefault="00561DAF" w:rsidP="00561DAF">
            <w:pPr>
              <w:pStyle w:val="a3"/>
              <w:jc w:val="both"/>
              <w:rPr>
                <w:rFonts w:ascii="Times New Roman" w:hAnsi="Times New Roman" w:cs="Times New Roman"/>
                <w:snapToGrid w:val="0"/>
                <w:sz w:val="28"/>
                <w:szCs w:val="28"/>
              </w:rPr>
            </w:pPr>
            <w:r w:rsidRPr="00882C82">
              <w:rPr>
                <w:rFonts w:ascii="Times New Roman" w:hAnsi="Times New Roman" w:cs="Times New Roman"/>
                <w:snapToGrid w:val="0"/>
                <w:sz w:val="28"/>
                <w:szCs w:val="28"/>
              </w:rPr>
              <w:t xml:space="preserve"> Украина</w:t>
            </w:r>
          </w:p>
        </w:tc>
        <w:tc>
          <w:tcPr>
            <w:tcW w:w="1583"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20739.8</w:t>
            </w:r>
          </w:p>
        </w:tc>
        <w:tc>
          <w:tcPr>
            <w:tcW w:w="1819"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11428.6</w:t>
            </w:r>
          </w:p>
        </w:tc>
        <w:tc>
          <w:tcPr>
            <w:tcW w:w="1701"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9311.2</w:t>
            </w:r>
          </w:p>
        </w:tc>
        <w:tc>
          <w:tcPr>
            <w:tcW w:w="1984" w:type="dxa"/>
            <w:tcBorders>
              <w:top w:val="nil"/>
              <w:left w:val="single" w:sz="4" w:space="0" w:color="000000"/>
              <w:bottom w:val="single" w:sz="4" w:space="0" w:color="000000"/>
              <w:right w:val="single" w:sz="4" w:space="0" w:color="000000"/>
            </w:tcBorders>
            <w:noWrap/>
            <w:vAlign w:val="bottom"/>
            <w:hideMark/>
          </w:tcPr>
          <w:p w:rsidR="00561DAF" w:rsidRPr="00882C82" w:rsidRDefault="00561DAF" w:rsidP="00561DAF">
            <w:pPr>
              <w:pStyle w:val="a3"/>
              <w:ind w:firstLine="426"/>
              <w:jc w:val="both"/>
              <w:rPr>
                <w:rFonts w:ascii="Times New Roman" w:hAnsi="Times New Roman" w:cs="Times New Roman"/>
                <w:sz w:val="28"/>
                <w:szCs w:val="28"/>
              </w:rPr>
            </w:pPr>
            <w:r w:rsidRPr="00882C82">
              <w:rPr>
                <w:rFonts w:ascii="Times New Roman" w:hAnsi="Times New Roman" w:cs="Times New Roman"/>
                <w:sz w:val="28"/>
                <w:szCs w:val="28"/>
              </w:rPr>
              <w:t>2117.4</w:t>
            </w:r>
          </w:p>
        </w:tc>
      </w:tr>
    </w:tbl>
    <w:p w:rsidR="00741513" w:rsidRDefault="00741513"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Default="00561DAF" w:rsidP="00561DAF">
      <w:pPr>
        <w:pStyle w:val="a3"/>
        <w:spacing w:line="360" w:lineRule="auto"/>
        <w:ind w:firstLine="720"/>
        <w:jc w:val="both"/>
        <w:rPr>
          <w:b/>
        </w:rPr>
      </w:pPr>
    </w:p>
    <w:p w:rsidR="00561DAF" w:rsidRPr="00561DAF" w:rsidRDefault="00561DAF" w:rsidP="00561DAF">
      <w:pPr>
        <w:pStyle w:val="a3"/>
        <w:spacing w:line="360" w:lineRule="auto"/>
        <w:ind w:firstLine="709"/>
        <w:rPr>
          <w:rFonts w:ascii="Times New Roman" w:hAnsi="Times New Roman" w:cs="Times New Roman"/>
          <w:b/>
          <w:sz w:val="28"/>
          <w:szCs w:val="28"/>
        </w:rPr>
      </w:pPr>
      <w:r w:rsidRPr="00561DAF">
        <w:rPr>
          <w:rFonts w:ascii="Times New Roman" w:hAnsi="Times New Roman" w:cs="Times New Roman"/>
          <w:b/>
          <w:sz w:val="28"/>
          <w:szCs w:val="28"/>
        </w:rPr>
        <w:lastRenderedPageBreak/>
        <w:t>3.2  Анализ динамики импортных показателей за  январь-июль 2013г</w:t>
      </w:r>
    </w:p>
    <w:p w:rsidR="00561DAF" w:rsidRPr="00882C82" w:rsidRDefault="00561DAF" w:rsidP="00561DAF">
      <w:pPr>
        <w:pStyle w:val="a3"/>
        <w:ind w:firstLine="709"/>
        <w:rPr>
          <w:rFonts w:ascii="Times New Roman" w:hAnsi="Times New Roman" w:cs="Times New Roman"/>
          <w:b/>
          <w:sz w:val="28"/>
          <w:szCs w:val="28"/>
          <w:u w:val="single"/>
        </w:rPr>
      </w:pP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bCs/>
          <w:sz w:val="28"/>
          <w:szCs w:val="28"/>
        </w:rPr>
        <w:t xml:space="preserve">Импорт России  </w:t>
      </w:r>
      <w:r w:rsidRPr="00882C82">
        <w:rPr>
          <w:rFonts w:ascii="Times New Roman" w:hAnsi="Times New Roman" w:cs="Times New Roman"/>
          <w:sz w:val="28"/>
          <w:szCs w:val="28"/>
        </w:rPr>
        <w:t>в январе-июле 2013 года составил 179,3 млрд.долларов США и  по сравнению с январем-июлем 2012 года увеличился на 3,1%. В общем объеме импорта на долю стран дальнего зарубежья в январе-июле 2013 года приходилось 86,5%, на долю стран СНГ – 13,5%.</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 xml:space="preserve">В товарной структуре </w:t>
      </w:r>
      <w:r w:rsidRPr="00882C82">
        <w:rPr>
          <w:rFonts w:ascii="Times New Roman" w:hAnsi="Times New Roman" w:cs="Times New Roman"/>
          <w:b/>
          <w:bCs/>
          <w:sz w:val="28"/>
          <w:szCs w:val="28"/>
        </w:rPr>
        <w:t>импорта</w:t>
      </w:r>
      <w:r w:rsidRPr="00882C82">
        <w:rPr>
          <w:rFonts w:ascii="Times New Roman" w:hAnsi="Times New Roman" w:cs="Times New Roman"/>
          <w:bCs/>
          <w:sz w:val="28"/>
          <w:szCs w:val="28"/>
        </w:rPr>
        <w:t xml:space="preserve"> </w:t>
      </w:r>
      <w:r w:rsidRPr="00882C82">
        <w:rPr>
          <w:rFonts w:ascii="Times New Roman" w:hAnsi="Times New Roman" w:cs="Times New Roman"/>
          <w:b/>
          <w:bCs/>
          <w:sz w:val="28"/>
          <w:szCs w:val="28"/>
        </w:rPr>
        <w:t xml:space="preserve">из стран дальнего зарубежья </w:t>
      </w:r>
      <w:r w:rsidRPr="00882C82">
        <w:rPr>
          <w:rFonts w:ascii="Times New Roman" w:hAnsi="Times New Roman" w:cs="Times New Roman"/>
          <w:sz w:val="28"/>
          <w:szCs w:val="28"/>
        </w:rPr>
        <w:t>на долю</w:t>
      </w:r>
      <w:r w:rsidRPr="00882C82">
        <w:rPr>
          <w:rFonts w:ascii="Times New Roman" w:hAnsi="Times New Roman" w:cs="Times New Roman"/>
          <w:b/>
          <w:bCs/>
          <w:sz w:val="28"/>
          <w:szCs w:val="28"/>
        </w:rPr>
        <w:t xml:space="preserve"> </w:t>
      </w:r>
      <w:r w:rsidRPr="00882C82">
        <w:rPr>
          <w:rFonts w:ascii="Times New Roman" w:hAnsi="Times New Roman" w:cs="Times New Roman"/>
          <w:sz w:val="28"/>
          <w:szCs w:val="28"/>
        </w:rPr>
        <w:t>машин и оборудования в январе-июле 2013 года приходилось 50,9% (в январе-июле 2012 года – 52,3%). Стоимостной объем импорта машиностроительной продукции по сравнению с январем-июлем 2012 года увеличился на 0,8%, в том числе: электрооборудования – на 4,0%, железнодорожного транспорта – в 2,0 раза, инструментов и аппаратов оптических – на 3,5%. Физический объем ввоза легковых автомобилей сократился на 13,3%, грузовых – на 25,6%.</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Удельный вес продукции химической промышленности в товарной структуре импорта в январе-июле 2013 года составил 16,8% (в январе-июле 2012 года – 16,0%). Стоимостной объем ввоза продукции химической промышленности возрос по сравнению с январем-июлем 2012 года на 8,9%. Возросли физические объемы поставок пластмасс и изделий из них – на 11,6%, каучуковых и резиновых изделий – на 1,9%, лаков и красок – на 2,1%, косметических средств – на 1,7%, мыла и моющих средств – на 7,8%. Физические объемы импорта органических химических соединений сократились на 3,1%, продуктов неорганической химии - на 6,4%.</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Доля импорта продовольственных товаров и сырья для их производства в январе-июле 2013 года составила 13,2% (в январе-июле 2012 года – 13,1%). Физические объемы поставок продовольственных товаров возросли по сравнению с январем-июлем 2012 года на 1,7%. Возросли физические объемы закупок сыров и творога – на 9,3%, цитрусовых – на 4,2%. </w:t>
      </w:r>
      <w:bookmarkStart w:id="0" w:name="OLE_LINK4"/>
      <w:r w:rsidRPr="00882C82">
        <w:rPr>
          <w:rFonts w:ascii="Times New Roman" w:hAnsi="Times New Roman" w:cs="Times New Roman"/>
          <w:sz w:val="28"/>
          <w:szCs w:val="28"/>
        </w:rPr>
        <w:t xml:space="preserve">Физические объемы закупок мяса свежего и мороженного сократились по сравнению с январем-июлем предыдущего года </w:t>
      </w:r>
      <w:bookmarkEnd w:id="0"/>
      <w:r w:rsidRPr="00882C82">
        <w:rPr>
          <w:rFonts w:ascii="Times New Roman" w:hAnsi="Times New Roman" w:cs="Times New Roman"/>
          <w:sz w:val="28"/>
          <w:szCs w:val="28"/>
        </w:rPr>
        <w:t>на 14,2%, мяса птицы на – 7,0%, рыбы свежей и мороженной – на 5,0%.</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Доля импорта текстильных изделий и обуви в январе-июле 2013 года составила 5,8% (в январе-июле 2012 года – 5,4%). Стоимостной объем импорта этих изделий возрос по сравнению с январем-июлем 2012 года на 11,6%. Физические </w:t>
      </w:r>
      <w:r w:rsidRPr="00882C82">
        <w:rPr>
          <w:rFonts w:ascii="Times New Roman" w:hAnsi="Times New Roman" w:cs="Times New Roman"/>
          <w:sz w:val="28"/>
          <w:szCs w:val="28"/>
        </w:rPr>
        <w:lastRenderedPageBreak/>
        <w:t>объемы закупок одежды возросли на 14,4%, обуви с верхом из натуральной кожи – на 0,7%.</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Удельный вес импорта металлов и изделий из них в январе-июле 2013 года составил 5,8% (в январе-июле 2012 года – 5,6%). Стоимостной объем данной товарной группы по сравнению с январем-июлем 2012 года увеличился на 6,9%, а физический - на 9,5%. Физические объемы закупок черных металлов и изделий их них возросли на 9,3%, труб – в 2,1 раза.</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 xml:space="preserve">В товарной структуре </w:t>
      </w:r>
      <w:r w:rsidRPr="00882C82">
        <w:rPr>
          <w:rFonts w:ascii="Times New Roman" w:hAnsi="Times New Roman" w:cs="Times New Roman"/>
          <w:b/>
          <w:bCs/>
          <w:sz w:val="28"/>
          <w:szCs w:val="28"/>
        </w:rPr>
        <w:t>импорта</w:t>
      </w:r>
      <w:r w:rsidRPr="00882C82">
        <w:rPr>
          <w:rFonts w:ascii="Times New Roman" w:hAnsi="Times New Roman" w:cs="Times New Roman"/>
          <w:bCs/>
          <w:sz w:val="28"/>
          <w:szCs w:val="28"/>
        </w:rPr>
        <w:t xml:space="preserve"> </w:t>
      </w:r>
      <w:r w:rsidRPr="00882C82">
        <w:rPr>
          <w:rFonts w:ascii="Times New Roman" w:hAnsi="Times New Roman" w:cs="Times New Roman"/>
          <w:b/>
          <w:bCs/>
          <w:sz w:val="28"/>
          <w:szCs w:val="28"/>
        </w:rPr>
        <w:t xml:space="preserve">из стран СНГ </w:t>
      </w:r>
      <w:r w:rsidRPr="00882C82">
        <w:rPr>
          <w:rFonts w:ascii="Times New Roman" w:hAnsi="Times New Roman" w:cs="Times New Roman"/>
          <w:bCs/>
          <w:sz w:val="28"/>
          <w:szCs w:val="28"/>
        </w:rPr>
        <w:t>в январе-июле 2013 года д</w:t>
      </w:r>
      <w:r w:rsidRPr="00882C82">
        <w:rPr>
          <w:rFonts w:ascii="Times New Roman" w:hAnsi="Times New Roman" w:cs="Times New Roman"/>
          <w:sz w:val="28"/>
          <w:szCs w:val="28"/>
        </w:rPr>
        <w:t>оля машин и оборудования составила 35,8% (в январе-июле 2012 года – 37,3%). Стоимостной объем импорта данной товарной группы по сравнению с январем-июлем 2012 года сократился на 4,1%. Стоимостные объемы ввоза железнодорожного оборудования сократились на 26,7%. Вместе с тем возросли объемы ввоза электрического оборудования на 7,6%. Физические объемы ввоза легковых и грузовых автомобилей снизились на 45,5% и 57,0% соответственно.</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Удельный вес </w:t>
      </w:r>
      <w:r w:rsidRPr="00882C82">
        <w:rPr>
          <w:rFonts w:ascii="Times New Roman" w:hAnsi="Times New Roman" w:cs="Times New Roman"/>
          <w:bCs/>
          <w:sz w:val="28"/>
          <w:szCs w:val="28"/>
        </w:rPr>
        <w:t xml:space="preserve">металлов и изделий из них </w:t>
      </w:r>
      <w:r w:rsidRPr="00882C82">
        <w:rPr>
          <w:rFonts w:ascii="Times New Roman" w:hAnsi="Times New Roman" w:cs="Times New Roman"/>
          <w:sz w:val="28"/>
          <w:szCs w:val="28"/>
        </w:rPr>
        <w:t>в товарной структуре импорта из стран СНГ в январе-июле 2013 года составил 16,3% (в январе-июле 2012 года – 15,7%). Стоимостной и физический объемы данной товарной группы по сравнению с январем-июлем 2012 года возросли на 4,0% и 4,8% соответственно. Возросли физические объемы ввоза черных металлов и изделий из них на 4,7%.</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Удельный вес продовольственных товаров и сырья для их производства составил 12,6% (в январе-июле 2012 года – 10,9%). Физические объемы поставок продовольственных товаров по сравнению с январем-июлем 2012 года возросли на 30,2%, в том числе: говядины – на 57,1%, мяса птицы – на 20,6%, сыров и творога – на 13,4%. Физический объем закупок свинины снизился на 39,0%, молока – на 10,5%.</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Доля импорта </w:t>
      </w:r>
      <w:r w:rsidRPr="00882C82">
        <w:rPr>
          <w:rFonts w:ascii="Times New Roman" w:hAnsi="Times New Roman" w:cs="Times New Roman"/>
          <w:iCs/>
          <w:sz w:val="28"/>
          <w:szCs w:val="28"/>
        </w:rPr>
        <w:t>топливно-энергетических товаров</w:t>
      </w:r>
      <w:r w:rsidRPr="00882C82">
        <w:rPr>
          <w:rFonts w:ascii="Times New Roman" w:hAnsi="Times New Roman" w:cs="Times New Roman"/>
          <w:sz w:val="28"/>
          <w:szCs w:val="28"/>
        </w:rPr>
        <w:t xml:space="preserve"> в январе-июле 2013 года составила 4,6% (в январе-июле 2012 года – 6,5%). Стоимостной объем данной товарной группы по сравнению с январем-июлем 2012 года снизился на 28,4%. Физические объемы ввоза угля каменного сократились на 19,3%, нефтепродуктов – на 43,4%.</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lastRenderedPageBreak/>
        <w:t>Удельный вес текстильных изделий и обуви в январе-июле 2013 года составил 7,1% (в январе-июле 2012 года – 7,2%). Стоимостной объем импорта этих изделий сократился по сравнению с январем-июлем 2012 года на 1,4%. Возросли физические объемы импорта тканей хлопчатобумажных на 34,8%, обуви с верхом из натуральной кожи - на 17,6%. Вместе с тем объемы поставок одежды снизились на 48,7%.</w:t>
      </w:r>
    </w:p>
    <w:p w:rsidR="00561DAF"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Доля импорта продукции химической промышленности в январе-июле 2013 года составила 9,8% (в январе-июле 2012 года – 11,0%). Стоимостной и физический объемы импорта этих товаров снизились по сравнению с аналогичным периодом прошлого года на 11,0% и 7,1% соответственно.</w:t>
      </w:r>
    </w:p>
    <w:p w:rsidR="00561DAF" w:rsidRDefault="00561DAF" w:rsidP="00561DAF">
      <w:pPr>
        <w:pStyle w:val="a3"/>
        <w:spacing w:line="360" w:lineRule="auto"/>
        <w:ind w:firstLine="709"/>
        <w:jc w:val="both"/>
        <w:rPr>
          <w:rFonts w:ascii="Times New Roman" w:hAnsi="Times New Roman" w:cs="Times New Roman"/>
          <w:sz w:val="28"/>
          <w:szCs w:val="28"/>
        </w:rPr>
      </w:pPr>
      <w:r w:rsidRPr="00561DAF">
        <w:rPr>
          <w:rFonts w:ascii="Times New Roman" w:hAnsi="Times New Roman" w:cs="Times New Roman"/>
          <w:noProof/>
          <w:sz w:val="28"/>
          <w:szCs w:val="28"/>
          <w:lang w:eastAsia="ru-RU"/>
        </w:rPr>
        <w:drawing>
          <wp:inline distT="0" distB="0" distL="0" distR="0">
            <wp:extent cx="5191125" cy="2819400"/>
            <wp:effectExtent l="57150" t="19050" r="28575" b="0"/>
            <wp:docPr id="8"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61DAF" w:rsidRDefault="00561DAF" w:rsidP="00165075">
      <w:pPr>
        <w:pStyle w:val="a3"/>
        <w:spacing w:line="360" w:lineRule="auto"/>
        <w:jc w:val="both"/>
        <w:rPr>
          <w:b/>
        </w:rPr>
      </w:pPr>
    </w:p>
    <w:p w:rsidR="00561DAF" w:rsidRDefault="00561DAF" w:rsidP="00561DAF">
      <w:pPr>
        <w:pStyle w:val="a3"/>
        <w:spacing w:line="360" w:lineRule="auto"/>
        <w:ind w:firstLine="709"/>
        <w:jc w:val="both"/>
        <w:rPr>
          <w:b/>
        </w:rPr>
      </w:pPr>
      <w:r w:rsidRPr="00561DAF">
        <w:rPr>
          <w:b/>
          <w:noProof/>
          <w:lang w:eastAsia="ru-RU"/>
        </w:rPr>
        <w:drawing>
          <wp:inline distT="0" distB="0" distL="0" distR="0">
            <wp:extent cx="5171440" cy="2933700"/>
            <wp:effectExtent l="19050" t="0" r="10160" b="0"/>
            <wp:docPr id="9"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61DAF" w:rsidRDefault="00561DAF" w:rsidP="00165075">
      <w:pPr>
        <w:pStyle w:val="a3"/>
        <w:spacing w:line="360" w:lineRule="auto"/>
        <w:jc w:val="both"/>
        <w:rPr>
          <w:b/>
        </w:rPr>
      </w:pPr>
    </w:p>
    <w:p w:rsidR="00561DAF" w:rsidRPr="00561DAF" w:rsidRDefault="00561DAF" w:rsidP="00561DAF">
      <w:pPr>
        <w:pStyle w:val="a3"/>
        <w:spacing w:line="360" w:lineRule="auto"/>
        <w:ind w:firstLine="709"/>
        <w:rPr>
          <w:rFonts w:ascii="Times New Roman" w:hAnsi="Times New Roman" w:cs="Times New Roman"/>
          <w:b/>
          <w:sz w:val="28"/>
          <w:szCs w:val="28"/>
        </w:rPr>
      </w:pPr>
      <w:r w:rsidRPr="00561DAF">
        <w:rPr>
          <w:rFonts w:ascii="Times New Roman" w:hAnsi="Times New Roman" w:cs="Times New Roman"/>
          <w:b/>
          <w:sz w:val="28"/>
          <w:szCs w:val="28"/>
        </w:rPr>
        <w:lastRenderedPageBreak/>
        <w:t>3.3  Анализ динамики экспортных показателей за январь-июль 2013г</w:t>
      </w:r>
    </w:p>
    <w:p w:rsidR="00561DAF" w:rsidRPr="00882C82" w:rsidRDefault="00561DAF" w:rsidP="00561DAF">
      <w:pPr>
        <w:ind w:firstLine="709"/>
        <w:rPr>
          <w:szCs w:val="28"/>
        </w:rPr>
      </w:pP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bCs/>
          <w:sz w:val="28"/>
          <w:szCs w:val="28"/>
        </w:rPr>
        <w:t>Экспорт России</w:t>
      </w:r>
      <w:r w:rsidRPr="00882C82">
        <w:rPr>
          <w:rFonts w:ascii="Times New Roman" w:hAnsi="Times New Roman" w:cs="Times New Roman"/>
          <w:sz w:val="28"/>
          <w:szCs w:val="28"/>
        </w:rPr>
        <w:t xml:space="preserve"> в январе-июле 2013 года составил 297,2 млрд.долларов США и по сравнению с январем-июлем 2012 года снизился на 1,6%. </w:t>
      </w:r>
      <w:bookmarkStart w:id="1" w:name="OLE_LINK11"/>
      <w:bookmarkStart w:id="2" w:name="OLE_LINK10"/>
      <w:r w:rsidRPr="00882C82">
        <w:rPr>
          <w:rFonts w:ascii="Times New Roman" w:hAnsi="Times New Roman" w:cs="Times New Roman"/>
          <w:sz w:val="28"/>
          <w:szCs w:val="28"/>
        </w:rPr>
        <w:t>В общем объеме экспорта на долю стран дальнего зарубежья в январе-июле 2013 года приходилось 86,9%, на долю стран СНГ – 13,1%.</w:t>
      </w:r>
    </w:p>
    <w:bookmarkEnd w:id="1"/>
    <w:bookmarkEnd w:id="2"/>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Основу российского экспорта в январе-июле 2013 года в страны дальнего</w:t>
      </w:r>
      <w:r w:rsidRPr="00882C82">
        <w:rPr>
          <w:rFonts w:ascii="Times New Roman" w:hAnsi="Times New Roman" w:cs="Times New Roman"/>
          <w:sz w:val="28"/>
          <w:szCs w:val="28"/>
        </w:rPr>
        <w:t xml:space="preserve"> </w:t>
      </w:r>
      <w:r w:rsidRPr="00882C82">
        <w:rPr>
          <w:rFonts w:ascii="Times New Roman" w:hAnsi="Times New Roman" w:cs="Times New Roman"/>
          <w:b/>
          <w:sz w:val="28"/>
          <w:szCs w:val="28"/>
        </w:rPr>
        <w:t>зарубежья</w:t>
      </w:r>
      <w:r w:rsidRPr="00882C82">
        <w:rPr>
          <w:rFonts w:ascii="Times New Roman" w:hAnsi="Times New Roman" w:cs="Times New Roman"/>
          <w:sz w:val="28"/>
          <w:szCs w:val="28"/>
        </w:rPr>
        <w:t xml:space="preserve"> составили топливно-энергетические товары, удельный вес которых в товарной структуре экспорта в эти страны составил 75,1% (в январе-июле 2012 года – 73,3%).</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В январе-июле 2013 года стоимостной объем топливно-энергетических товаров возрос по сравнению с январем-июлем 2012 года на 2,8%, а физический снизился на 8,3%. При этом среди товаров топливно-энергетического комплекса возросли физические объемы экспорта в страны дальнего зарубежья бензина автомобильного на 22,9%, дизельного топлива – на 26,1%, кокса - на 24,8%, газа природного – на 16,0%, топлив жидких – на 12,4%, угля каменного – на 11,8%. Объемы экспорта нефти сырой снизились на 1,9%.</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В общем стоимостном объеме экспорта в страны дальнего зарубежья доля металлов и изделий из них в январе-июле 2013 года составила 7,5% (в январе-июле 2012 года – 9,1%). Стоимостной объем экспорта указанных товаров снизился по сравнению с январем-июлем 2012 года на 17,8%, а физический - на 11,2%. Сократились физические объемы экспорта ферросплавов – на 10,6%, меди – на 40,5%, никеля - на 26,0%, полуфабрикатов из железа и нелегированной стали - на 15,5%, проката плоского из железа и нелегированной стали - на 3,2%.</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Доля экспорта </w:t>
      </w:r>
      <w:r w:rsidRPr="00882C82">
        <w:rPr>
          <w:rFonts w:ascii="Times New Roman" w:hAnsi="Times New Roman" w:cs="Times New Roman"/>
          <w:iCs/>
          <w:sz w:val="28"/>
          <w:szCs w:val="28"/>
        </w:rPr>
        <w:t>продукции химической промышленности</w:t>
      </w:r>
      <w:r w:rsidRPr="00882C82">
        <w:rPr>
          <w:rFonts w:ascii="Times New Roman" w:hAnsi="Times New Roman" w:cs="Times New Roman"/>
          <w:sz w:val="28"/>
          <w:szCs w:val="28"/>
        </w:rPr>
        <w:t xml:space="preserve"> в январе-июле 2013 года составила 5,1% (в январе-июле 2012 года – 5,5%). По сравнению с январем-июлем прошлого года стоимостной объем экспорта этой про</w:t>
      </w:r>
      <w:r w:rsidRPr="00882C82">
        <w:rPr>
          <w:rFonts w:ascii="Times New Roman" w:hAnsi="Times New Roman" w:cs="Times New Roman"/>
          <w:iCs/>
          <w:sz w:val="28"/>
          <w:szCs w:val="28"/>
        </w:rPr>
        <w:t>дукции снизился на 6,8%</w:t>
      </w:r>
      <w:r w:rsidRPr="00882C82">
        <w:rPr>
          <w:rFonts w:ascii="Times New Roman" w:hAnsi="Times New Roman" w:cs="Times New Roman"/>
          <w:sz w:val="28"/>
          <w:szCs w:val="28"/>
        </w:rPr>
        <w:t xml:space="preserve">. При этом возросли физические объемы экспорта продукции неорганической химии на 5,5%, органических химических соединений - на 11,2%, азотных удобрений – на 5,1%, каучука, резины и изделий из них – на 7,0%, аммиака </w:t>
      </w:r>
      <w:r w:rsidRPr="00882C82">
        <w:rPr>
          <w:rFonts w:ascii="Times New Roman" w:hAnsi="Times New Roman" w:cs="Times New Roman"/>
          <w:sz w:val="28"/>
          <w:szCs w:val="28"/>
        </w:rPr>
        <w:lastRenderedPageBreak/>
        <w:t>безводного - на 10,7%, пластмасс и изделий из них – на 11,7%. Физический объем экспорта калийных удобрений сократился на 26,7%.</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Доля экспорта </w:t>
      </w:r>
      <w:r w:rsidRPr="00882C82">
        <w:rPr>
          <w:rFonts w:ascii="Times New Roman" w:hAnsi="Times New Roman" w:cs="Times New Roman"/>
          <w:iCs/>
          <w:sz w:val="28"/>
          <w:szCs w:val="28"/>
        </w:rPr>
        <w:t>машин и оборудования</w:t>
      </w:r>
      <w:r w:rsidRPr="00882C82">
        <w:rPr>
          <w:rFonts w:ascii="Times New Roman" w:hAnsi="Times New Roman" w:cs="Times New Roman"/>
          <w:sz w:val="28"/>
          <w:szCs w:val="28"/>
        </w:rPr>
        <w:t xml:space="preserve"> в январе-июле 2013 года составила 3,5% (в январе-июле 2012 года - 3,3%). Стоимостные объемы экспорта данной товарной группы, по сравнению с январем-июлем прошлого года, возросли на 4,3%. Стоимостные объемы экспорта механического оборудования возросли на 23,3%, инструментов и аппаратов оптических – на 14,9%. Стоимостные объемы экспорта электрического оборудования снизились на 4,8%.</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Доля экспорта продовольственных товаров и сырья для их производства в товарной структуре экспорта в январе-июле 2013 года составила 2,0% (в январе-июле 2012 года – 2,6%). По сравнению с январем-июлем 2012 года стоимостные объемы поставок этих товаров снизились на 22,4%, а физические – на 44,5%.</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Доля экспорта</w:t>
      </w:r>
      <w:r w:rsidRPr="00882C82">
        <w:rPr>
          <w:rFonts w:ascii="Times New Roman" w:hAnsi="Times New Roman" w:cs="Times New Roman"/>
          <w:i/>
          <w:iCs/>
          <w:sz w:val="28"/>
          <w:szCs w:val="28"/>
        </w:rPr>
        <w:t xml:space="preserve"> </w:t>
      </w:r>
      <w:r w:rsidRPr="00882C82">
        <w:rPr>
          <w:rFonts w:ascii="Times New Roman" w:hAnsi="Times New Roman" w:cs="Times New Roman"/>
          <w:iCs/>
          <w:sz w:val="28"/>
          <w:szCs w:val="28"/>
        </w:rPr>
        <w:t>лесоматериалов и целлюлозно-бумажных изделий</w:t>
      </w:r>
      <w:r w:rsidRPr="00882C82">
        <w:rPr>
          <w:rFonts w:ascii="Times New Roman" w:hAnsi="Times New Roman" w:cs="Times New Roman"/>
          <w:sz w:val="28"/>
          <w:szCs w:val="28"/>
        </w:rPr>
        <w:t xml:space="preserve"> в январе-июле 2013 года осталась на уровне января-июля 2012 года и составила 1,8%. Стоимостной и физический объемы экспорта данной товарной группы остались также на уровне января-июля 2012 года. Физические объемы экспорта необработанных лесоматериалов возросли на 1,8%, фанеры - на 5,8%, пиломатериалов на – 2,8%. Объем экспорта бумаги газетной снизился на 34,8%, целлюлозы – на 6,7%.</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b/>
          <w:sz w:val="28"/>
          <w:szCs w:val="28"/>
        </w:rPr>
        <w:t>В товарной структуре экспорта в страны СНГ</w:t>
      </w:r>
      <w:r w:rsidRPr="00882C82">
        <w:rPr>
          <w:rFonts w:ascii="Times New Roman" w:hAnsi="Times New Roman" w:cs="Times New Roman"/>
          <w:sz w:val="28"/>
          <w:szCs w:val="28"/>
        </w:rPr>
        <w:t xml:space="preserve"> в январе-июле 2013 года доля </w:t>
      </w:r>
      <w:r w:rsidRPr="00882C82">
        <w:rPr>
          <w:rFonts w:ascii="Times New Roman" w:hAnsi="Times New Roman" w:cs="Times New Roman"/>
          <w:iCs/>
          <w:sz w:val="28"/>
          <w:szCs w:val="28"/>
        </w:rPr>
        <w:t>топливно-энергетических товаров</w:t>
      </w:r>
      <w:r w:rsidRPr="00882C82">
        <w:rPr>
          <w:rFonts w:ascii="Times New Roman" w:hAnsi="Times New Roman" w:cs="Times New Roman"/>
          <w:sz w:val="28"/>
          <w:szCs w:val="28"/>
        </w:rPr>
        <w:t xml:space="preserve"> составила 46,3% (в январе-июле 2012 года – 56,5%). Физические объемы экспорта угля каменного снизились на 2,1%, нефтепродуктов – на 45,3%, в том числе: дизельного топлива – на 62,7%, топлив жидких – на 27,4%. Вместе с тем возросли физические объемы экспорта нефти сырой на 1,9%, бензина автомобильного - на 46,3%, керосина – в 1,9 раза.</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Удельный вес </w:t>
      </w:r>
      <w:r w:rsidRPr="00882C82">
        <w:rPr>
          <w:rFonts w:ascii="Times New Roman" w:hAnsi="Times New Roman" w:cs="Times New Roman"/>
          <w:iCs/>
          <w:sz w:val="28"/>
          <w:szCs w:val="28"/>
        </w:rPr>
        <w:t>машин и оборудования</w:t>
      </w:r>
      <w:r w:rsidRPr="00882C82">
        <w:rPr>
          <w:rFonts w:ascii="Times New Roman" w:hAnsi="Times New Roman" w:cs="Times New Roman"/>
          <w:sz w:val="28"/>
          <w:szCs w:val="28"/>
        </w:rPr>
        <w:t xml:space="preserve"> в январе-июле 2013 года составил 15,4% (в январе-июле 2012 года – 12,5%). Стоимостные объемы экспорта электрооборудования возросли на 7,4%, </w:t>
      </w:r>
      <w:bookmarkStart w:id="3" w:name="OLE_LINK3"/>
      <w:bookmarkStart w:id="4" w:name="OLE_LINK2"/>
      <w:r w:rsidRPr="00882C82">
        <w:rPr>
          <w:rFonts w:ascii="Times New Roman" w:hAnsi="Times New Roman" w:cs="Times New Roman"/>
          <w:sz w:val="28"/>
          <w:szCs w:val="28"/>
        </w:rPr>
        <w:t>механического оборудования - на 0,9%, средств наземного транспорта, кроме железнодорожного</w:t>
      </w:r>
      <w:bookmarkEnd w:id="3"/>
      <w:bookmarkEnd w:id="4"/>
      <w:r w:rsidRPr="00882C82">
        <w:rPr>
          <w:rFonts w:ascii="Times New Roman" w:hAnsi="Times New Roman" w:cs="Times New Roman"/>
          <w:sz w:val="28"/>
          <w:szCs w:val="28"/>
        </w:rPr>
        <w:t xml:space="preserve"> – на 33,5%. Снизились стоимостные объемы экспорта инструментов и аппаратов оптических – на 5,6%. Физический объем вывоза легковых автомобилей возрос на 21,6%.</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lastRenderedPageBreak/>
        <w:t xml:space="preserve">Доля </w:t>
      </w:r>
      <w:r w:rsidRPr="00882C82">
        <w:rPr>
          <w:rFonts w:ascii="Times New Roman" w:hAnsi="Times New Roman" w:cs="Times New Roman"/>
          <w:iCs/>
          <w:sz w:val="28"/>
          <w:szCs w:val="28"/>
        </w:rPr>
        <w:t>металлов и изделий из них</w:t>
      </w:r>
      <w:r w:rsidRPr="00882C82">
        <w:rPr>
          <w:rFonts w:ascii="Times New Roman" w:hAnsi="Times New Roman" w:cs="Times New Roman"/>
          <w:sz w:val="28"/>
          <w:szCs w:val="28"/>
        </w:rPr>
        <w:t xml:space="preserve"> в экспорте в страны СНГ в январе-июле 2013 года составила 11,7% (в январе-июле 2012 года – 9,3%). Стоимостной объем экспорта данной товарной группы увеличился по сравнению с январем-июлем 2012 года на 8,8%, а физический - на 18,5%. Физические объемы экспорта черных металлов и изделий из них увеличились на 18,7%, в том числе: проката плоского из железа и нелегированной стали - на 14,1%, ферросплавов – на 39,4%. Физические объемы экспорта алюминия увеличились на 42,9%, меди – на 60,0%. Физические объемы экспорта чугуна и никеля сократились на 44,2% и 47,7% соответственно.</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 xml:space="preserve">Удельный вес </w:t>
      </w:r>
      <w:r w:rsidRPr="00882C82">
        <w:rPr>
          <w:rFonts w:ascii="Times New Roman" w:hAnsi="Times New Roman" w:cs="Times New Roman"/>
          <w:iCs/>
          <w:sz w:val="28"/>
          <w:szCs w:val="28"/>
        </w:rPr>
        <w:t>продукции химической промышленности</w:t>
      </w:r>
      <w:r w:rsidRPr="00882C82">
        <w:rPr>
          <w:rFonts w:ascii="Times New Roman" w:hAnsi="Times New Roman" w:cs="Times New Roman"/>
          <w:sz w:val="28"/>
          <w:szCs w:val="28"/>
        </w:rPr>
        <w:t xml:space="preserve"> в товарной структуре экспорта в страны СНГ в январе-июле 2013 года составил 11,2% (в январе-июле 2012 года – 9,0%). Стоимостной объем экспорта указанной товарной группы увеличился по сравнению с январем-июлем 2012 года на 8,4%, а физический – на 4,5%. В том числе возросли физические объемы экспорта продукции неорганической химии на 9,7%, смешанных удобрений – на 3,3%, косметических средств – на 17,6%, мыла и моющих средств – на 25,3%, пластмасс и изделий из них – на 28,6%.</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Доля экспорта продовольственных товаров и сырья для их производства в товарной структуре экспорта в январе-июле 2013 года составила 6,2% ( в январе-июле 2012 года – 4,9%). По сравнению с январем-июлем 2012 года стоимостные объемы поставок этих товаров увеличились на 9,9%. Физические объемы экспорта рыбы свежей и мороженой возросли на 52,5%, молока и сливок – на 42,6%. Объемы экспорта пшеницы снизились на 8,2%.</w:t>
      </w:r>
    </w:p>
    <w:p w:rsidR="00561DAF" w:rsidRPr="00882C82" w:rsidRDefault="00561DAF" w:rsidP="00561DAF">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iCs/>
          <w:sz w:val="28"/>
          <w:szCs w:val="28"/>
        </w:rPr>
        <w:t>Доля экспорта лесоматериалов и целлюлозно-бумажных изделий</w:t>
      </w:r>
      <w:r w:rsidRPr="00882C82">
        <w:rPr>
          <w:rFonts w:ascii="Times New Roman" w:hAnsi="Times New Roman" w:cs="Times New Roman"/>
          <w:sz w:val="28"/>
          <w:szCs w:val="28"/>
        </w:rPr>
        <w:t xml:space="preserve"> в январе-июле 2013 года составила 3,7% (в январе-июле 2012 года – 2,9%). Стоимостной объем экспорта этих товаров увеличился на 9,8%, физический – на 6,8%. Физические объемы экспорта пиломатериалов увеличились на 13,2 %, фанеры - на 7,1%. Физический объем экспорта целлюлозы сократился на 12,3%, бумаги газетной – на 1,1%.</w:t>
      </w:r>
    </w:p>
    <w:p w:rsidR="00561DAF" w:rsidRPr="00882C82" w:rsidRDefault="00561DAF" w:rsidP="00561DAF">
      <w:pPr>
        <w:pStyle w:val="a3"/>
        <w:spacing w:line="360" w:lineRule="auto"/>
        <w:ind w:firstLine="709"/>
        <w:jc w:val="both"/>
        <w:rPr>
          <w:rFonts w:ascii="Times New Roman" w:hAnsi="Times New Roman" w:cs="Times New Roman"/>
          <w:sz w:val="28"/>
          <w:szCs w:val="28"/>
        </w:rPr>
      </w:pPr>
    </w:p>
    <w:p w:rsidR="00561DAF" w:rsidRDefault="00165075" w:rsidP="00561DAF">
      <w:pPr>
        <w:pStyle w:val="a3"/>
        <w:spacing w:line="360" w:lineRule="auto"/>
        <w:ind w:firstLine="709"/>
        <w:jc w:val="both"/>
        <w:rPr>
          <w:b/>
        </w:rPr>
      </w:pPr>
      <w:r w:rsidRPr="00165075">
        <w:rPr>
          <w:b/>
          <w:noProof/>
          <w:lang w:eastAsia="ru-RU"/>
        </w:rPr>
        <w:lastRenderedPageBreak/>
        <w:drawing>
          <wp:inline distT="0" distB="0" distL="0" distR="0">
            <wp:extent cx="5466715" cy="3038475"/>
            <wp:effectExtent l="19050" t="0" r="19685" b="0"/>
            <wp:docPr id="10"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r w:rsidRPr="00165075">
        <w:rPr>
          <w:b/>
          <w:noProof/>
          <w:lang w:eastAsia="ru-RU"/>
        </w:rPr>
        <w:drawing>
          <wp:inline distT="0" distB="0" distL="0" distR="0">
            <wp:extent cx="5361940" cy="2857500"/>
            <wp:effectExtent l="19050" t="0" r="10160" b="0"/>
            <wp:docPr id="11"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561DAF">
      <w:pPr>
        <w:pStyle w:val="a3"/>
        <w:spacing w:line="360" w:lineRule="auto"/>
        <w:ind w:firstLine="709"/>
        <w:jc w:val="both"/>
        <w:rPr>
          <w:b/>
        </w:rPr>
      </w:pPr>
    </w:p>
    <w:p w:rsidR="00165075" w:rsidRDefault="00165075" w:rsidP="00165075">
      <w:pPr>
        <w:pStyle w:val="a3"/>
        <w:ind w:firstLine="709"/>
        <w:jc w:val="both"/>
        <w:rPr>
          <w:rFonts w:ascii="Times New Roman" w:hAnsi="Times New Roman" w:cs="Times New Roman"/>
          <w:b/>
          <w:sz w:val="28"/>
          <w:szCs w:val="28"/>
        </w:rPr>
      </w:pPr>
      <w:r w:rsidRPr="00165075">
        <w:rPr>
          <w:rFonts w:ascii="Times New Roman" w:hAnsi="Times New Roman" w:cs="Times New Roman"/>
          <w:b/>
          <w:sz w:val="28"/>
          <w:szCs w:val="28"/>
        </w:rPr>
        <w:lastRenderedPageBreak/>
        <w:t xml:space="preserve">Заключение </w:t>
      </w:r>
    </w:p>
    <w:p w:rsidR="00165075" w:rsidRDefault="00165075" w:rsidP="00B45355">
      <w:pPr>
        <w:spacing w:line="360" w:lineRule="auto"/>
        <w:ind w:firstLine="0"/>
      </w:pPr>
    </w:p>
    <w:p w:rsidR="00165075" w:rsidRDefault="00165075" w:rsidP="00B45355">
      <w:pPr>
        <w:spacing w:line="360" w:lineRule="auto"/>
      </w:pPr>
      <w:r>
        <w:t>Государственная таможенная политика должна быть неразрывно связана с основными параметрами его политического, экономического, социального, научно-технического и т.д. развития, а также соответствовать внутренним и внешним реалиям, в которых это сообщество находится, т.е. органично вписываться в контекст ситуации различного уровня. Государственная таможенная политика призвана защищать национальные интересы, определяемые, в том числе, исходя из особенностей социально- экономической структуры страны. Она является инструментом сохранения и укрепления единого политического, экономического, правового и социокультурного пространства государства.</w:t>
      </w:r>
    </w:p>
    <w:p w:rsidR="00165075" w:rsidRDefault="00165075" w:rsidP="00B45355">
      <w:pPr>
        <w:spacing w:line="360" w:lineRule="auto"/>
      </w:pPr>
      <w:r>
        <w:t>В заключение надо отметить, что в современной России особенности формирования и реализации таможенной политики, являющейся составной частью политического курса страны, обусловлены, наряду с внутренними и внешними факторами, спецификой организации российского политического и экономического пространства, а также действующим федеральным законодательством в таможенной сфере. При формировании и реализации государственной таможенной политики необходимо ориентироваться на такую систему приоритетов, как:</w:t>
      </w:r>
    </w:p>
    <w:p w:rsidR="00165075" w:rsidRDefault="00165075" w:rsidP="00B45355">
      <w:pPr>
        <w:spacing w:line="360" w:lineRule="auto"/>
      </w:pPr>
      <w:r>
        <w:t>1) Открытое обсуждение основных направлений таможенной политики РФ.</w:t>
      </w:r>
    </w:p>
    <w:p w:rsidR="00165075" w:rsidRDefault="00165075" w:rsidP="00B45355">
      <w:pPr>
        <w:spacing w:line="360" w:lineRule="auto"/>
      </w:pPr>
      <w:r>
        <w:t>2) Учет законных интересов всех участников таможенной сферы деятельности; осуществление полноценной административной, правовой, организационной, материально-технической и т.п. поддержки государством мероприятий в таможенной сфере.</w:t>
      </w:r>
    </w:p>
    <w:p w:rsidR="00165075" w:rsidRDefault="00165075" w:rsidP="00B45355">
      <w:pPr>
        <w:spacing w:line="360" w:lineRule="auto"/>
      </w:pPr>
      <w:r>
        <w:t>Для обеспечения эффективной таможенной политики на современном этапе следует учитывать, что:</w:t>
      </w:r>
    </w:p>
    <w:p w:rsidR="00165075" w:rsidRDefault="00165075" w:rsidP="00B45355">
      <w:pPr>
        <w:spacing w:line="360" w:lineRule="auto"/>
      </w:pPr>
      <w:r>
        <w:t>1) таможенная политика должна вырабатываться с учетом интересов субъектов Федерации и быть направлена на оптимизацию отношений между ними.</w:t>
      </w:r>
    </w:p>
    <w:p w:rsidR="00165075" w:rsidRDefault="00165075" w:rsidP="00B45355">
      <w:pPr>
        <w:spacing w:line="360" w:lineRule="auto"/>
      </w:pPr>
      <w:r>
        <w:t>2) таможенная политика должна быть сферой прежде всего государственного регулирования внешнеэкономической деятельности.</w:t>
      </w:r>
    </w:p>
    <w:p w:rsidR="00165075" w:rsidRPr="00B45355" w:rsidRDefault="00165075" w:rsidP="00B45355">
      <w:pPr>
        <w:spacing w:line="360" w:lineRule="auto"/>
      </w:pPr>
      <w:r>
        <w:t>3) особенности таможенной политики требуют отношения к ней как к определенной сфере деятельности политических институтов общества, его граждан.</w:t>
      </w:r>
    </w:p>
    <w:p w:rsidR="00165075" w:rsidRDefault="00165075" w:rsidP="00B45355">
      <w:pPr>
        <w:pStyle w:val="2"/>
        <w:ind w:firstLine="720"/>
        <w:rPr>
          <w:b/>
          <w:sz w:val="28"/>
        </w:rPr>
      </w:pPr>
      <w:r w:rsidRPr="002142CA">
        <w:rPr>
          <w:b/>
          <w:sz w:val="28"/>
        </w:rPr>
        <w:lastRenderedPageBreak/>
        <w:t xml:space="preserve">Список </w:t>
      </w:r>
      <w:r>
        <w:rPr>
          <w:b/>
          <w:sz w:val="28"/>
        </w:rPr>
        <w:t xml:space="preserve">использованной </w:t>
      </w:r>
      <w:r w:rsidRPr="002142CA">
        <w:rPr>
          <w:b/>
          <w:sz w:val="28"/>
        </w:rPr>
        <w:t>литературы</w:t>
      </w:r>
    </w:p>
    <w:p w:rsidR="00165075" w:rsidRPr="002142CA" w:rsidRDefault="00165075" w:rsidP="00165075">
      <w:pPr>
        <w:pStyle w:val="2"/>
        <w:spacing w:line="360" w:lineRule="auto"/>
        <w:ind w:firstLine="720"/>
        <w:jc w:val="center"/>
        <w:rPr>
          <w:b/>
          <w:sz w:val="28"/>
        </w:rPr>
      </w:pPr>
    </w:p>
    <w:p w:rsidR="00165075" w:rsidRPr="00882C82" w:rsidRDefault="00165075" w:rsidP="001650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1. Федеральный закон от 27.11.2010</w:t>
      </w:r>
      <w:r>
        <w:rPr>
          <w:rFonts w:ascii="Times New Roman" w:hAnsi="Times New Roman" w:cs="Times New Roman"/>
          <w:sz w:val="28"/>
          <w:szCs w:val="28"/>
        </w:rPr>
        <w:t xml:space="preserve"> N 311-ФЗ (ред. от 23.07.2013) «</w:t>
      </w:r>
      <w:r w:rsidRPr="00882C82">
        <w:rPr>
          <w:rFonts w:ascii="Times New Roman" w:hAnsi="Times New Roman" w:cs="Times New Roman"/>
          <w:sz w:val="28"/>
          <w:szCs w:val="28"/>
        </w:rPr>
        <w:t>О таможенном регулировании в Российской Федерации</w:t>
      </w:r>
      <w:r>
        <w:rPr>
          <w:rFonts w:ascii="Times New Roman" w:hAnsi="Times New Roman" w:cs="Times New Roman"/>
          <w:sz w:val="28"/>
          <w:szCs w:val="28"/>
        </w:rPr>
        <w:t>»</w:t>
      </w:r>
    </w:p>
    <w:p w:rsidR="00165075" w:rsidRPr="00882C82" w:rsidRDefault="00165075" w:rsidP="001650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2. Федеральный закон от 8 декабря 2003 г. N 164-ФЗ "Об основах государственного регулирования внешнеторговой деятельности" (с изменениями от 2 февраля 2006 г.)</w:t>
      </w:r>
    </w:p>
    <w:p w:rsidR="00165075" w:rsidRPr="00882C82" w:rsidRDefault="00165075" w:rsidP="001650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3. Официальный сайт Федеральной службы государственной статистики http://www.gks.ru/</w:t>
      </w:r>
    </w:p>
    <w:p w:rsidR="00165075" w:rsidRPr="00882C82" w:rsidRDefault="00165075" w:rsidP="001650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4. Основные направления таможенно-тарифной политики на 2013 год и на плановый перио</w:t>
      </w:r>
      <w:r>
        <w:rPr>
          <w:rFonts w:ascii="Times New Roman" w:hAnsi="Times New Roman" w:cs="Times New Roman"/>
          <w:sz w:val="28"/>
          <w:szCs w:val="28"/>
        </w:rPr>
        <w:t>д 2014 и 2015 гг</w:t>
      </w:r>
      <w:r w:rsidRPr="00882C82">
        <w:rPr>
          <w:rFonts w:ascii="Times New Roman" w:hAnsi="Times New Roman" w:cs="Times New Roman"/>
          <w:sz w:val="28"/>
          <w:szCs w:val="28"/>
        </w:rPr>
        <w:t>. http://government.ru/news/2088</w:t>
      </w:r>
    </w:p>
    <w:p w:rsidR="00165075" w:rsidRPr="00882C82" w:rsidRDefault="00165075" w:rsidP="001650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5. Официальный сайт Федеральной таможенной службы http://www.customs.ru.</w:t>
      </w:r>
    </w:p>
    <w:p w:rsidR="00165075" w:rsidRPr="00882C82" w:rsidRDefault="00165075" w:rsidP="00165075">
      <w:pPr>
        <w:pStyle w:val="a3"/>
        <w:spacing w:line="360" w:lineRule="auto"/>
        <w:ind w:firstLine="709"/>
        <w:jc w:val="both"/>
        <w:rPr>
          <w:rFonts w:ascii="Times New Roman" w:hAnsi="Times New Roman" w:cs="Times New Roman"/>
          <w:sz w:val="28"/>
          <w:szCs w:val="28"/>
        </w:rPr>
      </w:pPr>
      <w:r w:rsidRPr="00882C82">
        <w:rPr>
          <w:rFonts w:ascii="Times New Roman" w:hAnsi="Times New Roman" w:cs="Times New Roman"/>
          <w:sz w:val="28"/>
          <w:szCs w:val="28"/>
        </w:rPr>
        <w:t>6. Таможенный кодекс Таможенного союза.</w:t>
      </w:r>
    </w:p>
    <w:p w:rsidR="00165075" w:rsidRPr="00882C82" w:rsidRDefault="00165075" w:rsidP="00165075">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Pr="00882C82">
        <w:rPr>
          <w:rFonts w:ascii="Times New Roman" w:hAnsi="Times New Roman" w:cs="Times New Roman"/>
          <w:sz w:val="28"/>
          <w:szCs w:val="28"/>
        </w:rPr>
        <w:t>. Таможня.ру</w:t>
      </w:r>
      <w:r>
        <w:rPr>
          <w:rFonts w:ascii="Times New Roman" w:hAnsi="Times New Roman" w:cs="Times New Roman"/>
          <w:sz w:val="28"/>
          <w:szCs w:val="28"/>
        </w:rPr>
        <w:t xml:space="preserve"> </w:t>
      </w:r>
      <w:r w:rsidRPr="00882C82">
        <w:rPr>
          <w:rFonts w:ascii="Times New Roman" w:hAnsi="Times New Roman" w:cs="Times New Roman"/>
          <w:sz w:val="28"/>
          <w:szCs w:val="28"/>
        </w:rPr>
        <w:t xml:space="preserve"> http://www.tamognia.ru/</w:t>
      </w:r>
    </w:p>
    <w:p w:rsidR="00165075" w:rsidRPr="00882C82" w:rsidRDefault="00165075" w:rsidP="00165075">
      <w:pPr>
        <w:pStyle w:val="a3"/>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Pr="00882C82">
        <w:rPr>
          <w:rFonts w:ascii="Times New Roman" w:hAnsi="Times New Roman" w:cs="Times New Roman"/>
          <w:sz w:val="28"/>
          <w:szCs w:val="28"/>
        </w:rPr>
        <w:t>. Комментарии к Таможенному кодексу Таможенного союза.</w:t>
      </w:r>
    </w:p>
    <w:p w:rsidR="00165075" w:rsidRPr="00882C82" w:rsidRDefault="00165075" w:rsidP="00165075">
      <w:pPr>
        <w:rPr>
          <w:szCs w:val="28"/>
        </w:rPr>
      </w:pPr>
    </w:p>
    <w:p w:rsidR="00165075" w:rsidRDefault="00165075" w:rsidP="00561DAF">
      <w:pPr>
        <w:pStyle w:val="a3"/>
        <w:spacing w:line="360" w:lineRule="auto"/>
        <w:ind w:firstLine="709"/>
        <w:jc w:val="both"/>
        <w:rPr>
          <w:b/>
        </w:rPr>
      </w:pPr>
    </w:p>
    <w:p w:rsidR="00165075" w:rsidRPr="001E1BCD" w:rsidRDefault="00165075" w:rsidP="00561DAF">
      <w:pPr>
        <w:pStyle w:val="a3"/>
        <w:spacing w:line="360" w:lineRule="auto"/>
        <w:ind w:firstLine="709"/>
        <w:jc w:val="both"/>
        <w:rPr>
          <w:b/>
        </w:rPr>
      </w:pPr>
    </w:p>
    <w:sectPr w:rsidR="00165075" w:rsidRPr="001E1BCD" w:rsidSect="00741513">
      <w:footerReference w:type="default" r:id="rId16"/>
      <w:pgSz w:w="11906" w:h="16838"/>
      <w:pgMar w:top="851" w:right="566" w:bottom="709" w:left="1134" w:header="567" w:footer="454"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5965" w:rsidRDefault="00EF5965" w:rsidP="001E1BCD">
      <w:r>
        <w:separator/>
      </w:r>
    </w:p>
  </w:endnote>
  <w:endnote w:type="continuationSeparator" w:id="0">
    <w:p w:rsidR="00EF5965" w:rsidRDefault="00EF5965" w:rsidP="001E1BC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20204"/>
      <w:docPartObj>
        <w:docPartGallery w:val="Page Numbers (Bottom of Page)"/>
        <w:docPartUnique/>
      </w:docPartObj>
    </w:sdtPr>
    <w:sdtContent>
      <w:p w:rsidR="00561DAF" w:rsidRDefault="00D47EDF">
        <w:pPr>
          <w:pStyle w:val="a6"/>
          <w:jc w:val="right"/>
        </w:pPr>
        <w:fldSimple w:instr=" PAGE   \* MERGEFORMAT ">
          <w:r w:rsidR="00C83A2B">
            <w:rPr>
              <w:noProof/>
            </w:rPr>
            <w:t>2</w:t>
          </w:r>
        </w:fldSimple>
      </w:p>
    </w:sdtContent>
  </w:sdt>
  <w:p w:rsidR="00561DAF" w:rsidRDefault="00561DA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5965" w:rsidRDefault="00EF5965" w:rsidP="001E1BCD">
      <w:r>
        <w:separator/>
      </w:r>
    </w:p>
  </w:footnote>
  <w:footnote w:type="continuationSeparator" w:id="0">
    <w:p w:rsidR="00EF5965" w:rsidRDefault="00EF5965" w:rsidP="001E1BC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D7D34"/>
    <w:multiLevelType w:val="hybridMultilevel"/>
    <w:tmpl w:val="0C08D806"/>
    <w:lvl w:ilvl="0" w:tplc="1AB05608">
      <w:start w:val="1"/>
      <w:numFmt w:val="bullet"/>
      <w:lvlText w:val=""/>
      <w:lvlJc w:val="left"/>
      <w:pPr>
        <w:tabs>
          <w:tab w:val="num" w:pos="720"/>
        </w:tabs>
        <w:ind w:left="720" w:hanging="360"/>
      </w:pPr>
      <w:rPr>
        <w:rFonts w:ascii="Wingdings" w:hAnsi="Wingdings" w:hint="default"/>
      </w:rPr>
    </w:lvl>
    <w:lvl w:ilvl="1" w:tplc="F0B02D26" w:tentative="1">
      <w:start w:val="1"/>
      <w:numFmt w:val="bullet"/>
      <w:lvlText w:val=""/>
      <w:lvlJc w:val="left"/>
      <w:pPr>
        <w:tabs>
          <w:tab w:val="num" w:pos="1440"/>
        </w:tabs>
        <w:ind w:left="1440" w:hanging="360"/>
      </w:pPr>
      <w:rPr>
        <w:rFonts w:ascii="Wingdings" w:hAnsi="Wingdings" w:hint="default"/>
      </w:rPr>
    </w:lvl>
    <w:lvl w:ilvl="2" w:tplc="91F4B53C" w:tentative="1">
      <w:start w:val="1"/>
      <w:numFmt w:val="bullet"/>
      <w:lvlText w:val=""/>
      <w:lvlJc w:val="left"/>
      <w:pPr>
        <w:tabs>
          <w:tab w:val="num" w:pos="2160"/>
        </w:tabs>
        <w:ind w:left="2160" w:hanging="360"/>
      </w:pPr>
      <w:rPr>
        <w:rFonts w:ascii="Wingdings" w:hAnsi="Wingdings" w:hint="default"/>
      </w:rPr>
    </w:lvl>
    <w:lvl w:ilvl="3" w:tplc="3B06CFAC" w:tentative="1">
      <w:start w:val="1"/>
      <w:numFmt w:val="bullet"/>
      <w:lvlText w:val=""/>
      <w:lvlJc w:val="left"/>
      <w:pPr>
        <w:tabs>
          <w:tab w:val="num" w:pos="2880"/>
        </w:tabs>
        <w:ind w:left="2880" w:hanging="360"/>
      </w:pPr>
      <w:rPr>
        <w:rFonts w:ascii="Wingdings" w:hAnsi="Wingdings" w:hint="default"/>
      </w:rPr>
    </w:lvl>
    <w:lvl w:ilvl="4" w:tplc="A5C04A30" w:tentative="1">
      <w:start w:val="1"/>
      <w:numFmt w:val="bullet"/>
      <w:lvlText w:val=""/>
      <w:lvlJc w:val="left"/>
      <w:pPr>
        <w:tabs>
          <w:tab w:val="num" w:pos="3600"/>
        </w:tabs>
        <w:ind w:left="3600" w:hanging="360"/>
      </w:pPr>
      <w:rPr>
        <w:rFonts w:ascii="Wingdings" w:hAnsi="Wingdings" w:hint="default"/>
      </w:rPr>
    </w:lvl>
    <w:lvl w:ilvl="5" w:tplc="76586B7E" w:tentative="1">
      <w:start w:val="1"/>
      <w:numFmt w:val="bullet"/>
      <w:lvlText w:val=""/>
      <w:lvlJc w:val="left"/>
      <w:pPr>
        <w:tabs>
          <w:tab w:val="num" w:pos="4320"/>
        </w:tabs>
        <w:ind w:left="4320" w:hanging="360"/>
      </w:pPr>
      <w:rPr>
        <w:rFonts w:ascii="Wingdings" w:hAnsi="Wingdings" w:hint="default"/>
      </w:rPr>
    </w:lvl>
    <w:lvl w:ilvl="6" w:tplc="28324FE6" w:tentative="1">
      <w:start w:val="1"/>
      <w:numFmt w:val="bullet"/>
      <w:lvlText w:val=""/>
      <w:lvlJc w:val="left"/>
      <w:pPr>
        <w:tabs>
          <w:tab w:val="num" w:pos="5040"/>
        </w:tabs>
        <w:ind w:left="5040" w:hanging="360"/>
      </w:pPr>
      <w:rPr>
        <w:rFonts w:ascii="Wingdings" w:hAnsi="Wingdings" w:hint="default"/>
      </w:rPr>
    </w:lvl>
    <w:lvl w:ilvl="7" w:tplc="BDB0895C" w:tentative="1">
      <w:start w:val="1"/>
      <w:numFmt w:val="bullet"/>
      <w:lvlText w:val=""/>
      <w:lvlJc w:val="left"/>
      <w:pPr>
        <w:tabs>
          <w:tab w:val="num" w:pos="5760"/>
        </w:tabs>
        <w:ind w:left="5760" w:hanging="360"/>
      </w:pPr>
      <w:rPr>
        <w:rFonts w:ascii="Wingdings" w:hAnsi="Wingdings" w:hint="default"/>
      </w:rPr>
    </w:lvl>
    <w:lvl w:ilvl="8" w:tplc="0108EB12" w:tentative="1">
      <w:start w:val="1"/>
      <w:numFmt w:val="bullet"/>
      <w:lvlText w:val=""/>
      <w:lvlJc w:val="left"/>
      <w:pPr>
        <w:tabs>
          <w:tab w:val="num" w:pos="6480"/>
        </w:tabs>
        <w:ind w:left="6480" w:hanging="360"/>
      </w:pPr>
      <w:rPr>
        <w:rFonts w:ascii="Wingdings" w:hAnsi="Wingdings" w:hint="default"/>
      </w:rPr>
    </w:lvl>
  </w:abstractNum>
  <w:abstractNum w:abstractNumId="1">
    <w:nsid w:val="2AB3589E"/>
    <w:multiLevelType w:val="multilevel"/>
    <w:tmpl w:val="07E2D2E2"/>
    <w:lvl w:ilvl="0">
      <w:start w:val="1"/>
      <w:numFmt w:val="decimal"/>
      <w:lvlText w:val="%1."/>
      <w:lvlJc w:val="left"/>
      <w:pPr>
        <w:tabs>
          <w:tab w:val="num" w:pos="765"/>
        </w:tabs>
        <w:ind w:left="765" w:hanging="405"/>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38F96C77"/>
    <w:multiLevelType w:val="hybridMultilevel"/>
    <w:tmpl w:val="AF1A1682"/>
    <w:lvl w:ilvl="0" w:tplc="EC9E325C">
      <w:start w:val="1"/>
      <w:numFmt w:val="bullet"/>
      <w:lvlText w:val="o"/>
      <w:lvlJc w:val="left"/>
      <w:pPr>
        <w:tabs>
          <w:tab w:val="num" w:pos="720"/>
        </w:tabs>
        <w:ind w:left="720" w:hanging="360"/>
      </w:pPr>
      <w:rPr>
        <w:rFonts w:ascii="Courier New" w:hAnsi="Courier New" w:hint="default"/>
      </w:rPr>
    </w:lvl>
    <w:lvl w:ilvl="1" w:tplc="764E07A2" w:tentative="1">
      <w:start w:val="1"/>
      <w:numFmt w:val="bullet"/>
      <w:lvlText w:val="o"/>
      <w:lvlJc w:val="left"/>
      <w:pPr>
        <w:tabs>
          <w:tab w:val="num" w:pos="1440"/>
        </w:tabs>
        <w:ind w:left="1440" w:hanging="360"/>
      </w:pPr>
      <w:rPr>
        <w:rFonts w:ascii="Courier New" w:hAnsi="Courier New" w:hint="default"/>
      </w:rPr>
    </w:lvl>
    <w:lvl w:ilvl="2" w:tplc="42F876EC" w:tentative="1">
      <w:start w:val="1"/>
      <w:numFmt w:val="bullet"/>
      <w:lvlText w:val="o"/>
      <w:lvlJc w:val="left"/>
      <w:pPr>
        <w:tabs>
          <w:tab w:val="num" w:pos="2160"/>
        </w:tabs>
        <w:ind w:left="2160" w:hanging="360"/>
      </w:pPr>
      <w:rPr>
        <w:rFonts w:ascii="Courier New" w:hAnsi="Courier New" w:hint="default"/>
      </w:rPr>
    </w:lvl>
    <w:lvl w:ilvl="3" w:tplc="D5687A9A" w:tentative="1">
      <w:start w:val="1"/>
      <w:numFmt w:val="bullet"/>
      <w:lvlText w:val="o"/>
      <w:lvlJc w:val="left"/>
      <w:pPr>
        <w:tabs>
          <w:tab w:val="num" w:pos="2880"/>
        </w:tabs>
        <w:ind w:left="2880" w:hanging="360"/>
      </w:pPr>
      <w:rPr>
        <w:rFonts w:ascii="Courier New" w:hAnsi="Courier New" w:hint="default"/>
      </w:rPr>
    </w:lvl>
    <w:lvl w:ilvl="4" w:tplc="001A1E48" w:tentative="1">
      <w:start w:val="1"/>
      <w:numFmt w:val="bullet"/>
      <w:lvlText w:val="o"/>
      <w:lvlJc w:val="left"/>
      <w:pPr>
        <w:tabs>
          <w:tab w:val="num" w:pos="3600"/>
        </w:tabs>
        <w:ind w:left="3600" w:hanging="360"/>
      </w:pPr>
      <w:rPr>
        <w:rFonts w:ascii="Courier New" w:hAnsi="Courier New" w:hint="default"/>
      </w:rPr>
    </w:lvl>
    <w:lvl w:ilvl="5" w:tplc="1E342A92" w:tentative="1">
      <w:start w:val="1"/>
      <w:numFmt w:val="bullet"/>
      <w:lvlText w:val="o"/>
      <w:lvlJc w:val="left"/>
      <w:pPr>
        <w:tabs>
          <w:tab w:val="num" w:pos="4320"/>
        </w:tabs>
        <w:ind w:left="4320" w:hanging="360"/>
      </w:pPr>
      <w:rPr>
        <w:rFonts w:ascii="Courier New" w:hAnsi="Courier New" w:hint="default"/>
      </w:rPr>
    </w:lvl>
    <w:lvl w:ilvl="6" w:tplc="A9302FFE" w:tentative="1">
      <w:start w:val="1"/>
      <w:numFmt w:val="bullet"/>
      <w:lvlText w:val="o"/>
      <w:lvlJc w:val="left"/>
      <w:pPr>
        <w:tabs>
          <w:tab w:val="num" w:pos="5040"/>
        </w:tabs>
        <w:ind w:left="5040" w:hanging="360"/>
      </w:pPr>
      <w:rPr>
        <w:rFonts w:ascii="Courier New" w:hAnsi="Courier New" w:hint="default"/>
      </w:rPr>
    </w:lvl>
    <w:lvl w:ilvl="7" w:tplc="79B215D6" w:tentative="1">
      <w:start w:val="1"/>
      <w:numFmt w:val="bullet"/>
      <w:lvlText w:val="o"/>
      <w:lvlJc w:val="left"/>
      <w:pPr>
        <w:tabs>
          <w:tab w:val="num" w:pos="5760"/>
        </w:tabs>
        <w:ind w:left="5760" w:hanging="360"/>
      </w:pPr>
      <w:rPr>
        <w:rFonts w:ascii="Courier New" w:hAnsi="Courier New" w:hint="default"/>
      </w:rPr>
    </w:lvl>
    <w:lvl w:ilvl="8" w:tplc="F44249F2" w:tentative="1">
      <w:start w:val="1"/>
      <w:numFmt w:val="bullet"/>
      <w:lvlText w:val="o"/>
      <w:lvlJc w:val="left"/>
      <w:pPr>
        <w:tabs>
          <w:tab w:val="num" w:pos="6480"/>
        </w:tabs>
        <w:ind w:left="6480" w:hanging="360"/>
      </w:pPr>
      <w:rPr>
        <w:rFonts w:ascii="Courier New" w:hAnsi="Courier New" w:hint="default"/>
      </w:rPr>
    </w:lvl>
  </w:abstractNum>
  <w:abstractNum w:abstractNumId="3">
    <w:nsid w:val="3FB30366"/>
    <w:multiLevelType w:val="hybridMultilevel"/>
    <w:tmpl w:val="0BA28DEC"/>
    <w:lvl w:ilvl="0" w:tplc="C0E49488">
      <w:start w:val="1"/>
      <w:numFmt w:val="decimal"/>
      <w:lvlText w:val="%1."/>
      <w:lvlJc w:val="left"/>
      <w:pPr>
        <w:tabs>
          <w:tab w:val="num" w:pos="360"/>
        </w:tabs>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EB2BB3"/>
    <w:multiLevelType w:val="hybridMultilevel"/>
    <w:tmpl w:val="56765A3E"/>
    <w:lvl w:ilvl="0" w:tplc="6EF6702A">
      <w:start w:val="1"/>
      <w:numFmt w:val="bullet"/>
      <w:lvlText w:val=""/>
      <w:lvlJc w:val="left"/>
      <w:pPr>
        <w:tabs>
          <w:tab w:val="num" w:pos="720"/>
        </w:tabs>
        <w:ind w:left="720" w:hanging="360"/>
      </w:pPr>
      <w:rPr>
        <w:rFonts w:ascii="Wingdings" w:hAnsi="Wingdings" w:hint="default"/>
      </w:rPr>
    </w:lvl>
    <w:lvl w:ilvl="1" w:tplc="5CC43550" w:tentative="1">
      <w:start w:val="1"/>
      <w:numFmt w:val="bullet"/>
      <w:lvlText w:val=""/>
      <w:lvlJc w:val="left"/>
      <w:pPr>
        <w:tabs>
          <w:tab w:val="num" w:pos="1440"/>
        </w:tabs>
        <w:ind w:left="1440" w:hanging="360"/>
      </w:pPr>
      <w:rPr>
        <w:rFonts w:ascii="Wingdings" w:hAnsi="Wingdings" w:hint="default"/>
      </w:rPr>
    </w:lvl>
    <w:lvl w:ilvl="2" w:tplc="A8EE59B6" w:tentative="1">
      <w:start w:val="1"/>
      <w:numFmt w:val="bullet"/>
      <w:lvlText w:val=""/>
      <w:lvlJc w:val="left"/>
      <w:pPr>
        <w:tabs>
          <w:tab w:val="num" w:pos="2160"/>
        </w:tabs>
        <w:ind w:left="2160" w:hanging="360"/>
      </w:pPr>
      <w:rPr>
        <w:rFonts w:ascii="Wingdings" w:hAnsi="Wingdings" w:hint="default"/>
      </w:rPr>
    </w:lvl>
    <w:lvl w:ilvl="3" w:tplc="367EDBCE" w:tentative="1">
      <w:start w:val="1"/>
      <w:numFmt w:val="bullet"/>
      <w:lvlText w:val=""/>
      <w:lvlJc w:val="left"/>
      <w:pPr>
        <w:tabs>
          <w:tab w:val="num" w:pos="2880"/>
        </w:tabs>
        <w:ind w:left="2880" w:hanging="360"/>
      </w:pPr>
      <w:rPr>
        <w:rFonts w:ascii="Wingdings" w:hAnsi="Wingdings" w:hint="default"/>
      </w:rPr>
    </w:lvl>
    <w:lvl w:ilvl="4" w:tplc="F50A3008" w:tentative="1">
      <w:start w:val="1"/>
      <w:numFmt w:val="bullet"/>
      <w:lvlText w:val=""/>
      <w:lvlJc w:val="left"/>
      <w:pPr>
        <w:tabs>
          <w:tab w:val="num" w:pos="3600"/>
        </w:tabs>
        <w:ind w:left="3600" w:hanging="360"/>
      </w:pPr>
      <w:rPr>
        <w:rFonts w:ascii="Wingdings" w:hAnsi="Wingdings" w:hint="default"/>
      </w:rPr>
    </w:lvl>
    <w:lvl w:ilvl="5" w:tplc="FBB6FA2A" w:tentative="1">
      <w:start w:val="1"/>
      <w:numFmt w:val="bullet"/>
      <w:lvlText w:val=""/>
      <w:lvlJc w:val="left"/>
      <w:pPr>
        <w:tabs>
          <w:tab w:val="num" w:pos="4320"/>
        </w:tabs>
        <w:ind w:left="4320" w:hanging="360"/>
      </w:pPr>
      <w:rPr>
        <w:rFonts w:ascii="Wingdings" w:hAnsi="Wingdings" w:hint="default"/>
      </w:rPr>
    </w:lvl>
    <w:lvl w:ilvl="6" w:tplc="C3CCEDF2" w:tentative="1">
      <w:start w:val="1"/>
      <w:numFmt w:val="bullet"/>
      <w:lvlText w:val=""/>
      <w:lvlJc w:val="left"/>
      <w:pPr>
        <w:tabs>
          <w:tab w:val="num" w:pos="5040"/>
        </w:tabs>
        <w:ind w:left="5040" w:hanging="360"/>
      </w:pPr>
      <w:rPr>
        <w:rFonts w:ascii="Wingdings" w:hAnsi="Wingdings" w:hint="default"/>
      </w:rPr>
    </w:lvl>
    <w:lvl w:ilvl="7" w:tplc="F8126134" w:tentative="1">
      <w:start w:val="1"/>
      <w:numFmt w:val="bullet"/>
      <w:lvlText w:val=""/>
      <w:lvlJc w:val="left"/>
      <w:pPr>
        <w:tabs>
          <w:tab w:val="num" w:pos="5760"/>
        </w:tabs>
        <w:ind w:left="5760" w:hanging="360"/>
      </w:pPr>
      <w:rPr>
        <w:rFonts w:ascii="Wingdings" w:hAnsi="Wingdings" w:hint="default"/>
      </w:rPr>
    </w:lvl>
    <w:lvl w:ilvl="8" w:tplc="7CA66790" w:tentative="1">
      <w:start w:val="1"/>
      <w:numFmt w:val="bullet"/>
      <w:lvlText w:val=""/>
      <w:lvlJc w:val="left"/>
      <w:pPr>
        <w:tabs>
          <w:tab w:val="num" w:pos="6480"/>
        </w:tabs>
        <w:ind w:left="6480" w:hanging="360"/>
      </w:pPr>
      <w:rPr>
        <w:rFonts w:ascii="Wingdings" w:hAnsi="Wingdings" w:hint="default"/>
      </w:rPr>
    </w:lvl>
  </w:abstractNum>
  <w:abstractNum w:abstractNumId="5">
    <w:nsid w:val="69831ED0"/>
    <w:multiLevelType w:val="hybridMultilevel"/>
    <w:tmpl w:val="7B40A388"/>
    <w:lvl w:ilvl="0" w:tplc="39AAA4F8">
      <w:start w:val="1"/>
      <w:numFmt w:val="bullet"/>
      <w:lvlText w:val=""/>
      <w:lvlJc w:val="left"/>
      <w:pPr>
        <w:tabs>
          <w:tab w:val="num" w:pos="720"/>
        </w:tabs>
        <w:ind w:left="720" w:hanging="360"/>
      </w:pPr>
      <w:rPr>
        <w:rFonts w:ascii="Wingdings" w:hAnsi="Wingdings" w:hint="default"/>
      </w:rPr>
    </w:lvl>
    <w:lvl w:ilvl="1" w:tplc="6AA23332" w:tentative="1">
      <w:start w:val="1"/>
      <w:numFmt w:val="bullet"/>
      <w:lvlText w:val=""/>
      <w:lvlJc w:val="left"/>
      <w:pPr>
        <w:tabs>
          <w:tab w:val="num" w:pos="1440"/>
        </w:tabs>
        <w:ind w:left="1440" w:hanging="360"/>
      </w:pPr>
      <w:rPr>
        <w:rFonts w:ascii="Wingdings" w:hAnsi="Wingdings" w:hint="default"/>
      </w:rPr>
    </w:lvl>
    <w:lvl w:ilvl="2" w:tplc="4C6C2766" w:tentative="1">
      <w:start w:val="1"/>
      <w:numFmt w:val="bullet"/>
      <w:lvlText w:val=""/>
      <w:lvlJc w:val="left"/>
      <w:pPr>
        <w:tabs>
          <w:tab w:val="num" w:pos="2160"/>
        </w:tabs>
        <w:ind w:left="2160" w:hanging="360"/>
      </w:pPr>
      <w:rPr>
        <w:rFonts w:ascii="Wingdings" w:hAnsi="Wingdings" w:hint="default"/>
      </w:rPr>
    </w:lvl>
    <w:lvl w:ilvl="3" w:tplc="FE384D94" w:tentative="1">
      <w:start w:val="1"/>
      <w:numFmt w:val="bullet"/>
      <w:lvlText w:val=""/>
      <w:lvlJc w:val="left"/>
      <w:pPr>
        <w:tabs>
          <w:tab w:val="num" w:pos="2880"/>
        </w:tabs>
        <w:ind w:left="2880" w:hanging="360"/>
      </w:pPr>
      <w:rPr>
        <w:rFonts w:ascii="Wingdings" w:hAnsi="Wingdings" w:hint="default"/>
      </w:rPr>
    </w:lvl>
    <w:lvl w:ilvl="4" w:tplc="9C04DC84" w:tentative="1">
      <w:start w:val="1"/>
      <w:numFmt w:val="bullet"/>
      <w:lvlText w:val=""/>
      <w:lvlJc w:val="left"/>
      <w:pPr>
        <w:tabs>
          <w:tab w:val="num" w:pos="3600"/>
        </w:tabs>
        <w:ind w:left="3600" w:hanging="360"/>
      </w:pPr>
      <w:rPr>
        <w:rFonts w:ascii="Wingdings" w:hAnsi="Wingdings" w:hint="default"/>
      </w:rPr>
    </w:lvl>
    <w:lvl w:ilvl="5" w:tplc="46FEF338" w:tentative="1">
      <w:start w:val="1"/>
      <w:numFmt w:val="bullet"/>
      <w:lvlText w:val=""/>
      <w:lvlJc w:val="left"/>
      <w:pPr>
        <w:tabs>
          <w:tab w:val="num" w:pos="4320"/>
        </w:tabs>
        <w:ind w:left="4320" w:hanging="360"/>
      </w:pPr>
      <w:rPr>
        <w:rFonts w:ascii="Wingdings" w:hAnsi="Wingdings" w:hint="default"/>
      </w:rPr>
    </w:lvl>
    <w:lvl w:ilvl="6" w:tplc="55389674" w:tentative="1">
      <w:start w:val="1"/>
      <w:numFmt w:val="bullet"/>
      <w:lvlText w:val=""/>
      <w:lvlJc w:val="left"/>
      <w:pPr>
        <w:tabs>
          <w:tab w:val="num" w:pos="5040"/>
        </w:tabs>
        <w:ind w:left="5040" w:hanging="360"/>
      </w:pPr>
      <w:rPr>
        <w:rFonts w:ascii="Wingdings" w:hAnsi="Wingdings" w:hint="default"/>
      </w:rPr>
    </w:lvl>
    <w:lvl w:ilvl="7" w:tplc="7E3E6D8E" w:tentative="1">
      <w:start w:val="1"/>
      <w:numFmt w:val="bullet"/>
      <w:lvlText w:val=""/>
      <w:lvlJc w:val="left"/>
      <w:pPr>
        <w:tabs>
          <w:tab w:val="num" w:pos="5760"/>
        </w:tabs>
        <w:ind w:left="5760" w:hanging="360"/>
      </w:pPr>
      <w:rPr>
        <w:rFonts w:ascii="Wingdings" w:hAnsi="Wingdings" w:hint="default"/>
      </w:rPr>
    </w:lvl>
    <w:lvl w:ilvl="8" w:tplc="5CAE0DD0"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245016"/>
    <w:rsid w:val="00165075"/>
    <w:rsid w:val="001E1BCD"/>
    <w:rsid w:val="00245016"/>
    <w:rsid w:val="00541499"/>
    <w:rsid w:val="00561DAF"/>
    <w:rsid w:val="00705A1D"/>
    <w:rsid w:val="00741513"/>
    <w:rsid w:val="007D24DB"/>
    <w:rsid w:val="00A33293"/>
    <w:rsid w:val="00A547B4"/>
    <w:rsid w:val="00B45355"/>
    <w:rsid w:val="00B51C63"/>
    <w:rsid w:val="00C83A2B"/>
    <w:rsid w:val="00D47EDF"/>
    <w:rsid w:val="00D724F7"/>
    <w:rsid w:val="00D97433"/>
    <w:rsid w:val="00EE1175"/>
    <w:rsid w:val="00EF5965"/>
    <w:rsid w:val="00F857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016"/>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245016"/>
    <w:pPr>
      <w:widowControl w:val="0"/>
      <w:snapToGrid w:val="0"/>
      <w:spacing w:after="0" w:line="240" w:lineRule="auto"/>
      <w:ind w:firstLine="280"/>
    </w:pPr>
    <w:rPr>
      <w:rFonts w:ascii="Times New Roman" w:eastAsia="Times New Roman" w:hAnsi="Times New Roman" w:cs="Times New Roman"/>
      <w:sz w:val="20"/>
      <w:szCs w:val="20"/>
      <w:lang w:eastAsia="ru-RU"/>
    </w:rPr>
  </w:style>
  <w:style w:type="paragraph" w:styleId="a3">
    <w:name w:val="No Spacing"/>
    <w:uiPriority w:val="1"/>
    <w:qFormat/>
    <w:rsid w:val="00A547B4"/>
    <w:pPr>
      <w:spacing w:after="0" w:line="240" w:lineRule="auto"/>
    </w:pPr>
  </w:style>
  <w:style w:type="paragraph" w:styleId="a4">
    <w:name w:val="header"/>
    <w:basedOn w:val="a"/>
    <w:link w:val="a5"/>
    <w:uiPriority w:val="99"/>
    <w:semiHidden/>
    <w:unhideWhenUsed/>
    <w:rsid w:val="001E1BCD"/>
    <w:pPr>
      <w:tabs>
        <w:tab w:val="center" w:pos="4677"/>
        <w:tab w:val="right" w:pos="9355"/>
      </w:tabs>
    </w:pPr>
  </w:style>
  <w:style w:type="character" w:customStyle="1" w:styleId="a5">
    <w:name w:val="Верхний колонтитул Знак"/>
    <w:basedOn w:val="a0"/>
    <w:link w:val="a4"/>
    <w:uiPriority w:val="99"/>
    <w:semiHidden/>
    <w:rsid w:val="001E1BCD"/>
    <w:rPr>
      <w:rFonts w:ascii="Times New Roman" w:eastAsia="Times New Roman" w:hAnsi="Times New Roman" w:cs="Times New Roman"/>
      <w:sz w:val="28"/>
      <w:szCs w:val="20"/>
      <w:lang w:eastAsia="ru-RU"/>
    </w:rPr>
  </w:style>
  <w:style w:type="paragraph" w:styleId="a6">
    <w:name w:val="footer"/>
    <w:basedOn w:val="a"/>
    <w:link w:val="a7"/>
    <w:uiPriority w:val="99"/>
    <w:unhideWhenUsed/>
    <w:rsid w:val="001E1BCD"/>
    <w:pPr>
      <w:tabs>
        <w:tab w:val="center" w:pos="4677"/>
        <w:tab w:val="right" w:pos="9355"/>
      </w:tabs>
    </w:pPr>
  </w:style>
  <w:style w:type="character" w:customStyle="1" w:styleId="a7">
    <w:name w:val="Нижний колонтитул Знак"/>
    <w:basedOn w:val="a0"/>
    <w:link w:val="a6"/>
    <w:uiPriority w:val="99"/>
    <w:rsid w:val="001E1BCD"/>
    <w:rPr>
      <w:rFonts w:ascii="Times New Roman" w:eastAsia="Times New Roman" w:hAnsi="Times New Roman" w:cs="Times New Roman"/>
      <w:sz w:val="28"/>
      <w:szCs w:val="20"/>
      <w:lang w:eastAsia="ru-RU"/>
    </w:rPr>
  </w:style>
  <w:style w:type="paragraph" w:styleId="a8">
    <w:name w:val="Balloon Text"/>
    <w:basedOn w:val="a"/>
    <w:link w:val="a9"/>
    <w:uiPriority w:val="99"/>
    <w:semiHidden/>
    <w:unhideWhenUsed/>
    <w:rsid w:val="00EE1175"/>
    <w:rPr>
      <w:rFonts w:ascii="Tahoma" w:hAnsi="Tahoma" w:cs="Tahoma"/>
      <w:sz w:val="16"/>
      <w:szCs w:val="16"/>
    </w:rPr>
  </w:style>
  <w:style w:type="character" w:customStyle="1" w:styleId="a9">
    <w:name w:val="Текст выноски Знак"/>
    <w:basedOn w:val="a0"/>
    <w:link w:val="a8"/>
    <w:uiPriority w:val="99"/>
    <w:semiHidden/>
    <w:rsid w:val="00EE1175"/>
    <w:rPr>
      <w:rFonts w:ascii="Tahoma" w:eastAsia="Times New Roman" w:hAnsi="Tahoma" w:cs="Tahoma"/>
      <w:sz w:val="16"/>
      <w:szCs w:val="16"/>
      <w:lang w:eastAsia="ru-RU"/>
    </w:rPr>
  </w:style>
  <w:style w:type="paragraph" w:customStyle="1" w:styleId="2">
    <w:name w:val="Обычный2"/>
    <w:rsid w:val="00165075"/>
    <w:pPr>
      <w:widowControl w:val="0"/>
      <w:spacing w:after="0" w:line="240" w:lineRule="auto"/>
      <w:ind w:firstLine="280"/>
    </w:pPr>
    <w:rPr>
      <w:rFonts w:ascii="Times New Roman" w:eastAsia="Times New Roman" w:hAnsi="Times New Roman" w:cs="Times New Roman"/>
      <w:snapToGrid w:val="0"/>
      <w:sz w:val="20"/>
      <w:szCs w:val="20"/>
      <w:lang w:eastAsia="ru-RU"/>
    </w:rPr>
  </w:style>
  <w:style w:type="paragraph" w:styleId="20">
    <w:name w:val="Body Text Indent 2"/>
    <w:basedOn w:val="a"/>
    <w:link w:val="21"/>
    <w:rsid w:val="00165075"/>
    <w:pPr>
      <w:ind w:firstLine="709"/>
      <w:jc w:val="left"/>
    </w:pPr>
    <w:rPr>
      <w:sz w:val="24"/>
    </w:rPr>
  </w:style>
  <w:style w:type="character" w:customStyle="1" w:styleId="21">
    <w:name w:val="Основной текст с отступом 2 Знак"/>
    <w:basedOn w:val="a0"/>
    <w:link w:val="20"/>
    <w:rsid w:val="00165075"/>
    <w:rPr>
      <w:rFonts w:ascii="Times New Roman" w:eastAsia="Times New Roman" w:hAnsi="Times New Roman" w:cs="Times New Roman"/>
      <w:sz w:val="24"/>
      <w:szCs w:val="20"/>
      <w:lang w:eastAsia="ru-RU"/>
    </w:rPr>
  </w:style>
  <w:style w:type="paragraph" w:styleId="aa">
    <w:name w:val="List Paragraph"/>
    <w:basedOn w:val="a"/>
    <w:uiPriority w:val="34"/>
    <w:qFormat/>
    <w:rsid w:val="00165075"/>
    <w:pPr>
      <w:ind w:left="720"/>
      <w:contextualSpacing/>
    </w:pPr>
  </w:style>
</w:styles>
</file>

<file path=word/webSettings.xml><?xml version="1.0" encoding="utf-8"?>
<w:webSettings xmlns:r="http://schemas.openxmlformats.org/officeDocument/2006/relationships" xmlns:w="http://schemas.openxmlformats.org/wordprocessingml/2006/main">
  <w:divs>
    <w:div w:id="201715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_____Microsoft_Office_Excel4.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lrMapOvr bg1="dk1" tx1="lt1" bg2="dk2" tx2="lt2" accent1="accent1" accent2="accent2" accent3="accent3" accent4="accent4" accent5="accent5" accent6="accent6" hlink="hlink" folHlink="folHlink"/>
  <c:chart>
    <c:title>
      <c:layout>
        <c:manualLayout>
          <c:xMode val="edge"/>
          <c:yMode val="edge"/>
          <c:x val="0.10927419119137813"/>
          <c:y val="0"/>
        </c:manualLayout>
      </c:layout>
      <c:txPr>
        <a:bodyPr/>
        <a:lstStyle/>
        <a:p>
          <a:pPr>
            <a:defRPr sz="1800"/>
          </a:pPr>
          <a:endParaRPr lang="ru-RU"/>
        </a:p>
      </c:txPr>
    </c:title>
    <c:view3D>
      <c:rotX val="30"/>
      <c:perspective val="30"/>
    </c:view3D>
    <c:plotArea>
      <c:layout>
        <c:manualLayout>
          <c:layoutTarget val="inner"/>
          <c:xMode val="edge"/>
          <c:yMode val="edge"/>
          <c:x val="8.9786128029080356E-3"/>
          <c:y val="0.17926575934331471"/>
          <c:w val="0.60208333333333364"/>
          <c:h val="0.82073425196850613"/>
        </c:manualLayout>
      </c:layout>
      <c:pie3DChart>
        <c:varyColors val="1"/>
        <c:ser>
          <c:idx val="0"/>
          <c:order val="0"/>
          <c:tx>
            <c:strRef>
              <c:f>Лист1!$B$1</c:f>
              <c:strCache>
                <c:ptCount val="1"/>
                <c:pt idx="0">
                  <c:v>Товарная структура импорта стран дальнего зарубежья</c:v>
                </c:pt>
              </c:strCache>
            </c:strRef>
          </c:tx>
          <c:explosion val="38"/>
          <c:dLbls>
            <c:showVal val="1"/>
            <c:showLeaderLines val="1"/>
          </c:dLbls>
          <c:cat>
            <c:strRef>
              <c:f>Лист1!$A$2:$A$6</c:f>
              <c:strCache>
                <c:ptCount val="5"/>
                <c:pt idx="0">
                  <c:v>Машины и оборудования</c:v>
                </c:pt>
                <c:pt idx="1">
                  <c:v>Продукция химической промышленности</c:v>
                </c:pt>
                <c:pt idx="2">
                  <c:v>Продовольственные товары и сырье для их произ-ва</c:v>
                </c:pt>
                <c:pt idx="3">
                  <c:v>Текстиль и обувь</c:v>
                </c:pt>
                <c:pt idx="4">
                  <c:v>Металлы и изделия из них</c:v>
                </c:pt>
              </c:strCache>
            </c:strRef>
          </c:cat>
          <c:val>
            <c:numRef>
              <c:f>Лист1!$B$2:$B$6</c:f>
              <c:numCache>
                <c:formatCode>0.0%</c:formatCode>
                <c:ptCount val="5"/>
                <c:pt idx="0">
                  <c:v>0.50900000000000001</c:v>
                </c:pt>
                <c:pt idx="1">
                  <c:v>0.16800000000000023</c:v>
                </c:pt>
                <c:pt idx="2">
                  <c:v>0.13200000000000001</c:v>
                </c:pt>
                <c:pt idx="3">
                  <c:v>5.8000000000000058E-2</c:v>
                </c:pt>
                <c:pt idx="4">
                  <c:v>5.8000000000000058E-2</c:v>
                </c:pt>
              </c:numCache>
            </c:numRef>
          </c:val>
        </c:ser>
      </c:pie3DChart>
    </c:plotArea>
    <c:legend>
      <c:legendPos val="r"/>
      <c:layout>
        <c:manualLayout>
          <c:xMode val="edge"/>
          <c:yMode val="edge"/>
          <c:x val="0.63760922019832134"/>
          <c:y val="0.1773986540825194"/>
          <c:w val="0.35066925012052225"/>
          <c:h val="0.82260134591748069"/>
        </c:manualLayout>
      </c:layout>
      <c:txPr>
        <a:bodyPr/>
        <a:lstStyle/>
        <a:p>
          <a:pPr>
            <a:defRPr sz="1200" b="1"/>
          </a:pPr>
          <a:endParaRPr lang="ru-RU"/>
        </a:p>
      </c:txPr>
    </c:legend>
    <c:plotVisOnly val="1"/>
  </c:chart>
  <c:spPr>
    <a:solidFill>
      <a:sysClr val="window" lastClr="FFFFFF">
        <a:lumMod val="75000"/>
      </a:sysClr>
    </a:solidFill>
    <a:scene3d>
      <a:camera prst="orthographicFront"/>
      <a:lightRig rig="threePt" dir="t"/>
    </a:scene3d>
    <a:sp3d prstMaterial="dkEdge"/>
  </c:spPr>
  <c:txPr>
    <a:bodyPr/>
    <a:lstStyle/>
    <a:p>
      <a:pPr>
        <a:defRPr sz="1800"/>
      </a:pPr>
      <a:endParaRPr lang="ru-R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lrMapOvr bg1="dk1" tx1="lt1" bg2="dk2" tx2="lt2" accent1="accent1" accent2="accent2" accent3="accent3" accent4="accent4" accent5="accent5" accent6="accent6" hlink="hlink" folHlink="folHlink"/>
  <c:chart>
    <c:title>
      <c:layout>
        <c:manualLayout>
          <c:xMode val="edge"/>
          <c:yMode val="edge"/>
          <c:x val="0.14248519195466233"/>
          <c:y val="0"/>
        </c:manualLayout>
      </c:layout>
      <c:txPr>
        <a:bodyPr/>
        <a:lstStyle/>
        <a:p>
          <a:pPr>
            <a:defRPr sz="1800"/>
          </a:pPr>
          <a:endParaRPr lang="ru-RU"/>
        </a:p>
      </c:txPr>
    </c:title>
    <c:view3D>
      <c:rotX val="30"/>
      <c:perspective val="30"/>
    </c:view3D>
    <c:plotArea>
      <c:layout>
        <c:manualLayout>
          <c:layoutTarget val="inner"/>
          <c:xMode val="edge"/>
          <c:yMode val="edge"/>
          <c:x val="0"/>
          <c:y val="0.17926574803149703"/>
          <c:w val="0.60208333333333364"/>
          <c:h val="0.82073425196850625"/>
        </c:manualLayout>
      </c:layout>
      <c:pie3DChart>
        <c:varyColors val="1"/>
        <c:ser>
          <c:idx val="0"/>
          <c:order val="0"/>
          <c:tx>
            <c:strRef>
              <c:f>Лист1!$B$1</c:f>
              <c:strCache>
                <c:ptCount val="1"/>
                <c:pt idx="0">
                  <c:v>Товарная структура импорта стран СНГ </c:v>
                </c:pt>
              </c:strCache>
            </c:strRef>
          </c:tx>
          <c:explosion val="38"/>
          <c:dLbls>
            <c:showVal val="1"/>
            <c:showLeaderLines val="1"/>
          </c:dLbls>
          <c:cat>
            <c:strRef>
              <c:f>Лист1!$A$2:$A$7</c:f>
              <c:strCache>
                <c:ptCount val="6"/>
                <c:pt idx="0">
                  <c:v>Машины и оборудования</c:v>
                </c:pt>
                <c:pt idx="1">
                  <c:v>Продукция химической промышленности</c:v>
                </c:pt>
                <c:pt idx="2">
                  <c:v>Продовольственные товары и сырье для их произ-ва</c:v>
                </c:pt>
                <c:pt idx="3">
                  <c:v>Текстиль и обувь</c:v>
                </c:pt>
                <c:pt idx="4">
                  <c:v>Металлы и изделия из них</c:v>
                </c:pt>
                <c:pt idx="5">
                  <c:v>Топливно-энергетические товары</c:v>
                </c:pt>
              </c:strCache>
            </c:strRef>
          </c:cat>
          <c:val>
            <c:numRef>
              <c:f>Лист1!$B$2:$B$7</c:f>
              <c:numCache>
                <c:formatCode>0.0%</c:formatCode>
                <c:ptCount val="6"/>
                <c:pt idx="0">
                  <c:v>0.35800000000000032</c:v>
                </c:pt>
                <c:pt idx="1">
                  <c:v>9.8000000000000226E-2</c:v>
                </c:pt>
                <c:pt idx="2">
                  <c:v>0.126</c:v>
                </c:pt>
                <c:pt idx="3">
                  <c:v>7.0999999999999994E-2</c:v>
                </c:pt>
                <c:pt idx="4">
                  <c:v>0.16300000000000001</c:v>
                </c:pt>
                <c:pt idx="5">
                  <c:v>4.5999999999999999E-2</c:v>
                </c:pt>
              </c:numCache>
            </c:numRef>
          </c:val>
        </c:ser>
      </c:pie3DChart>
    </c:plotArea>
    <c:legend>
      <c:legendPos val="r"/>
      <c:layout>
        <c:manualLayout>
          <c:xMode val="edge"/>
          <c:yMode val="edge"/>
          <c:x val="0.63760922019832156"/>
          <c:y val="0.13556860594502698"/>
          <c:w val="0.35066925012052225"/>
          <c:h val="0.86443139405497305"/>
        </c:manualLayout>
      </c:layout>
      <c:txPr>
        <a:bodyPr/>
        <a:lstStyle/>
        <a:p>
          <a:pPr>
            <a:defRPr sz="1200" b="1"/>
          </a:pPr>
          <a:endParaRPr lang="ru-RU"/>
        </a:p>
      </c:txPr>
    </c:legend>
    <c:plotVisOnly val="1"/>
  </c:chart>
  <c:spPr>
    <a:solidFill>
      <a:srgbClr val="4F81BD">
        <a:lumMod val="40000"/>
        <a:lumOff val="60000"/>
      </a:srgbClr>
    </a:solidFill>
  </c:spPr>
  <c:txPr>
    <a:bodyPr/>
    <a:lstStyle/>
    <a:p>
      <a:pPr>
        <a:defRPr sz="1800"/>
      </a:pPr>
      <a:endParaRPr lang="ru-RU"/>
    </a:p>
  </c:txPr>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lrMapOvr bg1="dk1" tx1="lt1" bg2="dk2" tx2="lt2" accent1="accent1" accent2="accent2" accent3="accent3" accent4="accent4" accent5="accent5" accent6="accent6" hlink="hlink" folHlink="folHlink"/>
  <c:chart>
    <c:title>
      <c:layout>
        <c:manualLayout>
          <c:xMode val="edge"/>
          <c:yMode val="edge"/>
          <c:x val="0.10927419119137813"/>
          <c:y val="0"/>
        </c:manualLayout>
      </c:layout>
      <c:txPr>
        <a:bodyPr/>
        <a:lstStyle/>
        <a:p>
          <a:pPr>
            <a:defRPr sz="1800"/>
          </a:pPr>
          <a:endParaRPr lang="ru-RU"/>
        </a:p>
      </c:txPr>
    </c:title>
    <c:view3D>
      <c:rotX val="30"/>
      <c:perspective val="30"/>
    </c:view3D>
    <c:plotArea>
      <c:layout>
        <c:manualLayout>
          <c:layoutTarget val="inner"/>
          <c:xMode val="edge"/>
          <c:yMode val="edge"/>
          <c:x val="0"/>
          <c:y val="0.17926574803149692"/>
          <c:w val="0.60208333333333364"/>
          <c:h val="0.82073425196850602"/>
        </c:manualLayout>
      </c:layout>
      <c:pie3DChart>
        <c:varyColors val="1"/>
        <c:ser>
          <c:idx val="0"/>
          <c:order val="0"/>
          <c:tx>
            <c:strRef>
              <c:f>Лист1!$B$1</c:f>
              <c:strCache>
                <c:ptCount val="1"/>
                <c:pt idx="0">
                  <c:v>Российский экспорт в страны дальнего зарубежья</c:v>
                </c:pt>
              </c:strCache>
            </c:strRef>
          </c:tx>
          <c:explosion val="38"/>
          <c:dLbls>
            <c:showVal val="1"/>
            <c:showLeaderLines val="1"/>
          </c:dLbls>
          <c:cat>
            <c:strRef>
              <c:f>Лист1!$A$2:$A$7</c:f>
              <c:strCache>
                <c:ptCount val="6"/>
                <c:pt idx="0">
                  <c:v>Машины и оборудования</c:v>
                </c:pt>
                <c:pt idx="1">
                  <c:v>Продукция химической промышленности</c:v>
                </c:pt>
                <c:pt idx="2">
                  <c:v>Продовольственные товары и сырье для их произ-ва</c:v>
                </c:pt>
                <c:pt idx="3">
                  <c:v>Лесоматериалы и целлюлозно-бумажные изделия</c:v>
                </c:pt>
                <c:pt idx="4">
                  <c:v>Металлы и изделия из них</c:v>
                </c:pt>
                <c:pt idx="5">
                  <c:v>Топливно-энергетические товары</c:v>
                </c:pt>
              </c:strCache>
            </c:strRef>
          </c:cat>
          <c:val>
            <c:numRef>
              <c:f>Лист1!$B$2:$B$7</c:f>
              <c:numCache>
                <c:formatCode>0.0%</c:formatCode>
                <c:ptCount val="6"/>
                <c:pt idx="0">
                  <c:v>3.500000000000001E-2</c:v>
                </c:pt>
                <c:pt idx="1">
                  <c:v>5.1000000000000004E-2</c:v>
                </c:pt>
                <c:pt idx="2">
                  <c:v>2.0000000000000011E-2</c:v>
                </c:pt>
                <c:pt idx="3">
                  <c:v>1.7999999999999999E-2</c:v>
                </c:pt>
                <c:pt idx="4">
                  <c:v>7.5000000000000011E-2</c:v>
                </c:pt>
                <c:pt idx="5">
                  <c:v>0.75100000000000122</c:v>
                </c:pt>
              </c:numCache>
            </c:numRef>
          </c:val>
        </c:ser>
      </c:pie3DChart>
    </c:plotArea>
    <c:legend>
      <c:legendPos val="r"/>
      <c:layout>
        <c:manualLayout>
          <c:xMode val="edge"/>
          <c:yMode val="edge"/>
          <c:x val="0.63760922019832111"/>
          <c:y val="0.1773986540825194"/>
          <c:w val="0.35066925012052225"/>
          <c:h val="0.82260134591748069"/>
        </c:manualLayout>
      </c:layout>
      <c:txPr>
        <a:bodyPr/>
        <a:lstStyle/>
        <a:p>
          <a:pPr>
            <a:defRPr sz="1200" b="1"/>
          </a:pPr>
          <a:endParaRPr lang="ru-RU"/>
        </a:p>
      </c:txPr>
    </c:legend>
    <c:plotVisOnly val="1"/>
  </c:chart>
  <c:spPr>
    <a:solidFill>
      <a:sysClr val="window" lastClr="FFFFFF">
        <a:lumMod val="75000"/>
      </a:sysClr>
    </a:solidFill>
  </c:spPr>
  <c:txPr>
    <a:bodyPr/>
    <a:lstStyle/>
    <a:p>
      <a:pPr>
        <a:defRPr sz="1800"/>
      </a:pPr>
      <a:endParaRPr lang="ru-RU"/>
    </a:p>
  </c:txPr>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lrMapOvr bg1="dk1" tx1="lt1" bg2="dk2" tx2="lt2" accent1="accent1" accent2="accent2" accent3="accent3" accent4="accent4" accent5="accent5" accent6="accent6" hlink="hlink" folHlink="folHlink"/>
  <c:chart>
    <c:title>
      <c:layout>
        <c:manualLayout>
          <c:xMode val="edge"/>
          <c:yMode val="edge"/>
          <c:x val="0.1424851919546623"/>
          <c:y val="0"/>
        </c:manualLayout>
      </c:layout>
      <c:txPr>
        <a:bodyPr/>
        <a:lstStyle/>
        <a:p>
          <a:pPr>
            <a:defRPr sz="1800"/>
          </a:pPr>
          <a:endParaRPr lang="ru-RU"/>
        </a:p>
      </c:txPr>
    </c:title>
    <c:view3D>
      <c:rotX val="30"/>
      <c:perspective val="30"/>
    </c:view3D>
    <c:plotArea>
      <c:layout>
        <c:manualLayout>
          <c:layoutTarget val="inner"/>
          <c:xMode val="edge"/>
          <c:yMode val="edge"/>
          <c:x val="0"/>
          <c:y val="0.16367130766808916"/>
          <c:w val="0.61382333381050436"/>
          <c:h val="0.83632869233191065"/>
        </c:manualLayout>
      </c:layout>
      <c:pie3DChart>
        <c:varyColors val="1"/>
        <c:ser>
          <c:idx val="0"/>
          <c:order val="0"/>
          <c:tx>
            <c:strRef>
              <c:f>Лист1!$B$1</c:f>
              <c:strCache>
                <c:ptCount val="1"/>
                <c:pt idx="0">
                  <c:v>Товарная структура экспорта стран СНГ </c:v>
                </c:pt>
              </c:strCache>
            </c:strRef>
          </c:tx>
          <c:explosion val="38"/>
          <c:dLbls>
            <c:showVal val="1"/>
            <c:showLeaderLines val="1"/>
          </c:dLbls>
          <c:cat>
            <c:strRef>
              <c:f>Лист1!$A$2:$A$7</c:f>
              <c:strCache>
                <c:ptCount val="6"/>
                <c:pt idx="0">
                  <c:v>Машины и оборудования</c:v>
                </c:pt>
                <c:pt idx="1">
                  <c:v>Продукция химической промышленности</c:v>
                </c:pt>
                <c:pt idx="2">
                  <c:v>Продовольственные товары и сырье для их произ-ва</c:v>
                </c:pt>
                <c:pt idx="3">
                  <c:v>Лесоматериалы и целлюлозно-бумажные изделия</c:v>
                </c:pt>
                <c:pt idx="4">
                  <c:v>Металлы и изделия из них</c:v>
                </c:pt>
                <c:pt idx="5">
                  <c:v>Топливно-энергетические товары</c:v>
                </c:pt>
              </c:strCache>
            </c:strRef>
          </c:cat>
          <c:val>
            <c:numRef>
              <c:f>Лист1!$B$2:$B$7</c:f>
              <c:numCache>
                <c:formatCode>0.0%</c:formatCode>
                <c:ptCount val="6"/>
                <c:pt idx="0">
                  <c:v>0.15400000000000028</c:v>
                </c:pt>
                <c:pt idx="1">
                  <c:v>0.112</c:v>
                </c:pt>
                <c:pt idx="2">
                  <c:v>6.2000000000000034E-2</c:v>
                </c:pt>
                <c:pt idx="3">
                  <c:v>3.6999999999999998E-2</c:v>
                </c:pt>
                <c:pt idx="4">
                  <c:v>0.11700000000000002</c:v>
                </c:pt>
                <c:pt idx="5">
                  <c:v>0.46300000000000002</c:v>
                </c:pt>
              </c:numCache>
            </c:numRef>
          </c:val>
        </c:ser>
      </c:pie3DChart>
    </c:plotArea>
    <c:legend>
      <c:legendPos val="r"/>
      <c:layout>
        <c:manualLayout>
          <c:xMode val="edge"/>
          <c:yMode val="edge"/>
          <c:x val="0.63760922019832134"/>
          <c:y val="0.13556860594502698"/>
          <c:w val="0.35066925012052225"/>
          <c:h val="0.86443139405497305"/>
        </c:manualLayout>
      </c:layout>
      <c:txPr>
        <a:bodyPr/>
        <a:lstStyle/>
        <a:p>
          <a:pPr>
            <a:defRPr sz="1200" b="1"/>
          </a:pPr>
          <a:endParaRPr lang="ru-RU"/>
        </a:p>
      </c:txPr>
    </c:legend>
    <c:plotVisOnly val="1"/>
  </c:chart>
  <c:spPr>
    <a:solidFill>
      <a:srgbClr val="4F81BD">
        <a:lumMod val="40000"/>
        <a:lumOff val="60000"/>
      </a:srgbClr>
    </a:solidFill>
  </c:spPr>
  <c:txPr>
    <a:bodyPr/>
    <a:lstStyle/>
    <a:p>
      <a:pPr>
        <a:defRPr sz="1800"/>
      </a:pPr>
      <a:endParaRPr lang="ru-RU"/>
    </a:p>
  </c:txPr>
  <c:externalData r:id="rId2"/>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Техническая">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Бумажная">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Техническая">
    <a:fillStyleLst>
      <a:solidFill>
        <a:schemeClr val="phClr"/>
      </a:solidFill>
      <a:gradFill rotWithShape="1">
        <a:gsLst>
          <a:gs pos="0">
            <a:schemeClr val="phClr">
              <a:tint val="1000"/>
            </a:schemeClr>
          </a:gs>
          <a:gs pos="68000">
            <a:schemeClr val="phClr">
              <a:tint val="77000"/>
            </a:schemeClr>
          </a:gs>
          <a:gs pos="81000">
            <a:schemeClr val="phClr">
              <a:tint val="79000"/>
            </a:schemeClr>
          </a:gs>
          <a:gs pos="86000">
            <a:schemeClr val="phClr">
              <a:tint val="73000"/>
            </a:schemeClr>
          </a:gs>
          <a:gs pos="100000">
            <a:schemeClr val="phClr">
              <a:tint val="35000"/>
            </a:schemeClr>
          </a:gs>
        </a:gsLst>
        <a:lin ang="5400000" scaled="1"/>
      </a:gradFill>
      <a:gradFill rotWithShape="1">
        <a:gsLst>
          <a:gs pos="0">
            <a:schemeClr val="phClr">
              <a:tint val="73000"/>
              <a:satMod val="150000"/>
            </a:schemeClr>
          </a:gs>
          <a:gs pos="25000">
            <a:schemeClr val="phClr">
              <a:tint val="96000"/>
              <a:shade val="80000"/>
              <a:satMod val="105000"/>
            </a:schemeClr>
          </a:gs>
          <a:gs pos="38000">
            <a:schemeClr val="phClr">
              <a:tint val="96000"/>
              <a:shade val="59000"/>
              <a:satMod val="120000"/>
            </a:schemeClr>
          </a:gs>
          <a:gs pos="55000">
            <a:schemeClr val="phClr">
              <a:shade val="57000"/>
              <a:satMod val="120000"/>
            </a:schemeClr>
          </a:gs>
          <a:gs pos="80000">
            <a:schemeClr val="phClr">
              <a:shade val="56000"/>
              <a:satMod val="145000"/>
            </a:schemeClr>
          </a:gs>
          <a:gs pos="88000">
            <a:schemeClr val="phClr">
              <a:shade val="63000"/>
              <a:satMod val="160000"/>
            </a:schemeClr>
          </a:gs>
          <a:gs pos="100000">
            <a:schemeClr val="phClr">
              <a:tint val="99555"/>
              <a:satMod val="155000"/>
            </a:schemeClr>
          </a:gs>
        </a:gsLst>
        <a:lin ang="5400000" scaled="1"/>
      </a:gradFill>
    </a:fillStyleLst>
    <a:lnStyleLst>
      <a:ln w="9525" cap="flat" cmpd="sng" algn="ctr">
        <a:solidFill>
          <a:schemeClr val="phClr">
            <a:shade val="60000"/>
            <a:satMod val="300000"/>
          </a:schemeClr>
        </a:solidFill>
        <a:prstDash val="solid"/>
      </a:ln>
      <a:ln w="19050" cap="flat" cmpd="sng" algn="ctr">
        <a:solidFill>
          <a:schemeClr val="phClr"/>
        </a:solidFill>
        <a:prstDash val="solid"/>
      </a:ln>
      <a:ln w="19050" cap="flat" cmpd="sng" algn="ctr">
        <a:solidFill>
          <a:schemeClr val="phClr"/>
        </a:solidFill>
        <a:prstDash val="solid"/>
      </a:ln>
    </a:lnStyleLst>
    <a:effectStyleLst>
      <a:effectStyle>
        <a:effectLst>
          <a:glow rad="63500">
            <a:schemeClr val="phClr">
              <a:tint val="30000"/>
              <a:shade val="95000"/>
              <a:satMod val="300000"/>
              <a:alpha val="50000"/>
            </a:schemeClr>
          </a:glow>
        </a:effectLst>
      </a:effectStyle>
      <a:effectStyle>
        <a:effectLst>
          <a:glow rad="70000">
            <a:schemeClr val="phClr">
              <a:tint val="30000"/>
              <a:shade val="95000"/>
              <a:satMod val="300000"/>
              <a:alpha val="50000"/>
            </a:schemeClr>
          </a:glow>
        </a:effectLst>
      </a:effectStyle>
      <a:effectStyle>
        <a:effectLst>
          <a:glow rad="76200">
            <a:schemeClr val="phClr">
              <a:tint val="30000"/>
              <a:shade val="95000"/>
              <a:satMod val="300000"/>
              <a:alpha val="50000"/>
            </a:schemeClr>
          </a:glow>
        </a:effectLst>
        <a:scene3d>
          <a:camera prst="orthographicFront" fov="0">
            <a:rot lat="0" lon="0" rev="0"/>
          </a:camera>
          <a:lightRig rig="harsh" dir="t">
            <a:rot lat="6000000" lon="6000000" rev="0"/>
          </a:lightRig>
        </a:scene3d>
        <a:sp3d contourW="10000" prstMaterial="metal">
          <a:bevelT w="20000" h="9000" prst="softRound"/>
          <a:contourClr>
            <a:schemeClr val="phClr">
              <a:shade val="30000"/>
              <a:satMod val="200000"/>
            </a:schemeClr>
          </a:contourClr>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Override>
</file>

<file path=word/theme/themeOverride2.xml><?xml version="1.0" encoding="utf-8"?>
<a:themeOverride xmlns:a="http://schemas.openxmlformats.org/drawingml/2006/main">
  <a:clrScheme name="Техническая">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Бумажная">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Техническая">
    <a:fillStyleLst>
      <a:solidFill>
        <a:schemeClr val="phClr"/>
      </a:solidFill>
      <a:gradFill rotWithShape="1">
        <a:gsLst>
          <a:gs pos="0">
            <a:schemeClr val="phClr">
              <a:tint val="1000"/>
            </a:schemeClr>
          </a:gs>
          <a:gs pos="68000">
            <a:schemeClr val="phClr">
              <a:tint val="77000"/>
            </a:schemeClr>
          </a:gs>
          <a:gs pos="81000">
            <a:schemeClr val="phClr">
              <a:tint val="79000"/>
            </a:schemeClr>
          </a:gs>
          <a:gs pos="86000">
            <a:schemeClr val="phClr">
              <a:tint val="73000"/>
            </a:schemeClr>
          </a:gs>
          <a:gs pos="100000">
            <a:schemeClr val="phClr">
              <a:tint val="35000"/>
            </a:schemeClr>
          </a:gs>
        </a:gsLst>
        <a:lin ang="5400000" scaled="1"/>
      </a:gradFill>
      <a:gradFill rotWithShape="1">
        <a:gsLst>
          <a:gs pos="0">
            <a:schemeClr val="phClr">
              <a:tint val="73000"/>
              <a:satMod val="150000"/>
            </a:schemeClr>
          </a:gs>
          <a:gs pos="25000">
            <a:schemeClr val="phClr">
              <a:tint val="96000"/>
              <a:shade val="80000"/>
              <a:satMod val="105000"/>
            </a:schemeClr>
          </a:gs>
          <a:gs pos="38000">
            <a:schemeClr val="phClr">
              <a:tint val="96000"/>
              <a:shade val="59000"/>
              <a:satMod val="120000"/>
            </a:schemeClr>
          </a:gs>
          <a:gs pos="55000">
            <a:schemeClr val="phClr">
              <a:shade val="57000"/>
              <a:satMod val="120000"/>
            </a:schemeClr>
          </a:gs>
          <a:gs pos="80000">
            <a:schemeClr val="phClr">
              <a:shade val="56000"/>
              <a:satMod val="145000"/>
            </a:schemeClr>
          </a:gs>
          <a:gs pos="88000">
            <a:schemeClr val="phClr">
              <a:shade val="63000"/>
              <a:satMod val="160000"/>
            </a:schemeClr>
          </a:gs>
          <a:gs pos="100000">
            <a:schemeClr val="phClr">
              <a:tint val="99555"/>
              <a:satMod val="155000"/>
            </a:schemeClr>
          </a:gs>
        </a:gsLst>
        <a:lin ang="5400000" scaled="1"/>
      </a:gradFill>
    </a:fillStyleLst>
    <a:lnStyleLst>
      <a:ln w="9525" cap="flat" cmpd="sng" algn="ctr">
        <a:solidFill>
          <a:schemeClr val="phClr">
            <a:shade val="60000"/>
            <a:satMod val="300000"/>
          </a:schemeClr>
        </a:solidFill>
        <a:prstDash val="solid"/>
      </a:ln>
      <a:ln w="19050" cap="flat" cmpd="sng" algn="ctr">
        <a:solidFill>
          <a:schemeClr val="phClr"/>
        </a:solidFill>
        <a:prstDash val="solid"/>
      </a:ln>
      <a:ln w="19050" cap="flat" cmpd="sng" algn="ctr">
        <a:solidFill>
          <a:schemeClr val="phClr"/>
        </a:solidFill>
        <a:prstDash val="solid"/>
      </a:ln>
    </a:lnStyleLst>
    <a:effectStyleLst>
      <a:effectStyle>
        <a:effectLst>
          <a:glow rad="63500">
            <a:schemeClr val="phClr">
              <a:tint val="30000"/>
              <a:shade val="95000"/>
              <a:satMod val="300000"/>
              <a:alpha val="50000"/>
            </a:schemeClr>
          </a:glow>
        </a:effectLst>
      </a:effectStyle>
      <a:effectStyle>
        <a:effectLst>
          <a:glow rad="70000">
            <a:schemeClr val="phClr">
              <a:tint val="30000"/>
              <a:shade val="95000"/>
              <a:satMod val="300000"/>
              <a:alpha val="50000"/>
            </a:schemeClr>
          </a:glow>
        </a:effectLst>
      </a:effectStyle>
      <a:effectStyle>
        <a:effectLst>
          <a:glow rad="76200">
            <a:schemeClr val="phClr">
              <a:tint val="30000"/>
              <a:shade val="95000"/>
              <a:satMod val="300000"/>
              <a:alpha val="50000"/>
            </a:schemeClr>
          </a:glow>
        </a:effectLst>
        <a:scene3d>
          <a:camera prst="orthographicFront" fov="0">
            <a:rot lat="0" lon="0" rev="0"/>
          </a:camera>
          <a:lightRig rig="harsh" dir="t">
            <a:rot lat="6000000" lon="6000000" rev="0"/>
          </a:lightRig>
        </a:scene3d>
        <a:sp3d contourW="10000" prstMaterial="metal">
          <a:bevelT w="20000" h="9000" prst="softRound"/>
          <a:contourClr>
            <a:schemeClr val="phClr">
              <a:shade val="30000"/>
              <a:satMod val="200000"/>
            </a:schemeClr>
          </a:contourClr>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Override>
</file>

<file path=word/theme/themeOverride3.xml><?xml version="1.0" encoding="utf-8"?>
<a:themeOverride xmlns:a="http://schemas.openxmlformats.org/drawingml/2006/main">
  <a:clrScheme name="Техническая">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Бумажная">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Техническая">
    <a:fillStyleLst>
      <a:solidFill>
        <a:schemeClr val="phClr"/>
      </a:solidFill>
      <a:gradFill rotWithShape="1">
        <a:gsLst>
          <a:gs pos="0">
            <a:schemeClr val="phClr">
              <a:tint val="1000"/>
            </a:schemeClr>
          </a:gs>
          <a:gs pos="68000">
            <a:schemeClr val="phClr">
              <a:tint val="77000"/>
            </a:schemeClr>
          </a:gs>
          <a:gs pos="81000">
            <a:schemeClr val="phClr">
              <a:tint val="79000"/>
            </a:schemeClr>
          </a:gs>
          <a:gs pos="86000">
            <a:schemeClr val="phClr">
              <a:tint val="73000"/>
            </a:schemeClr>
          </a:gs>
          <a:gs pos="100000">
            <a:schemeClr val="phClr">
              <a:tint val="35000"/>
            </a:schemeClr>
          </a:gs>
        </a:gsLst>
        <a:lin ang="5400000" scaled="1"/>
      </a:gradFill>
      <a:gradFill rotWithShape="1">
        <a:gsLst>
          <a:gs pos="0">
            <a:schemeClr val="phClr">
              <a:tint val="73000"/>
              <a:satMod val="150000"/>
            </a:schemeClr>
          </a:gs>
          <a:gs pos="25000">
            <a:schemeClr val="phClr">
              <a:tint val="96000"/>
              <a:shade val="80000"/>
              <a:satMod val="105000"/>
            </a:schemeClr>
          </a:gs>
          <a:gs pos="38000">
            <a:schemeClr val="phClr">
              <a:tint val="96000"/>
              <a:shade val="59000"/>
              <a:satMod val="120000"/>
            </a:schemeClr>
          </a:gs>
          <a:gs pos="55000">
            <a:schemeClr val="phClr">
              <a:shade val="57000"/>
              <a:satMod val="120000"/>
            </a:schemeClr>
          </a:gs>
          <a:gs pos="80000">
            <a:schemeClr val="phClr">
              <a:shade val="56000"/>
              <a:satMod val="145000"/>
            </a:schemeClr>
          </a:gs>
          <a:gs pos="88000">
            <a:schemeClr val="phClr">
              <a:shade val="63000"/>
              <a:satMod val="160000"/>
            </a:schemeClr>
          </a:gs>
          <a:gs pos="100000">
            <a:schemeClr val="phClr">
              <a:tint val="99555"/>
              <a:satMod val="155000"/>
            </a:schemeClr>
          </a:gs>
        </a:gsLst>
        <a:lin ang="5400000" scaled="1"/>
      </a:gradFill>
    </a:fillStyleLst>
    <a:lnStyleLst>
      <a:ln w="9525" cap="flat" cmpd="sng" algn="ctr">
        <a:solidFill>
          <a:schemeClr val="phClr">
            <a:shade val="60000"/>
            <a:satMod val="300000"/>
          </a:schemeClr>
        </a:solidFill>
        <a:prstDash val="solid"/>
      </a:ln>
      <a:ln w="19050" cap="flat" cmpd="sng" algn="ctr">
        <a:solidFill>
          <a:schemeClr val="phClr"/>
        </a:solidFill>
        <a:prstDash val="solid"/>
      </a:ln>
      <a:ln w="19050" cap="flat" cmpd="sng" algn="ctr">
        <a:solidFill>
          <a:schemeClr val="phClr"/>
        </a:solidFill>
        <a:prstDash val="solid"/>
      </a:ln>
    </a:lnStyleLst>
    <a:effectStyleLst>
      <a:effectStyle>
        <a:effectLst>
          <a:glow rad="63500">
            <a:schemeClr val="phClr">
              <a:tint val="30000"/>
              <a:shade val="95000"/>
              <a:satMod val="300000"/>
              <a:alpha val="50000"/>
            </a:schemeClr>
          </a:glow>
        </a:effectLst>
      </a:effectStyle>
      <a:effectStyle>
        <a:effectLst>
          <a:glow rad="70000">
            <a:schemeClr val="phClr">
              <a:tint val="30000"/>
              <a:shade val="95000"/>
              <a:satMod val="300000"/>
              <a:alpha val="50000"/>
            </a:schemeClr>
          </a:glow>
        </a:effectLst>
      </a:effectStyle>
      <a:effectStyle>
        <a:effectLst>
          <a:glow rad="76200">
            <a:schemeClr val="phClr">
              <a:tint val="30000"/>
              <a:shade val="95000"/>
              <a:satMod val="300000"/>
              <a:alpha val="50000"/>
            </a:schemeClr>
          </a:glow>
        </a:effectLst>
        <a:scene3d>
          <a:camera prst="orthographicFront" fov="0">
            <a:rot lat="0" lon="0" rev="0"/>
          </a:camera>
          <a:lightRig rig="harsh" dir="t">
            <a:rot lat="6000000" lon="6000000" rev="0"/>
          </a:lightRig>
        </a:scene3d>
        <a:sp3d contourW="10000" prstMaterial="metal">
          <a:bevelT w="20000" h="9000" prst="softRound"/>
          <a:contourClr>
            <a:schemeClr val="phClr">
              <a:shade val="30000"/>
              <a:satMod val="200000"/>
            </a:schemeClr>
          </a:contourClr>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Override>
</file>

<file path=word/theme/themeOverride4.xml><?xml version="1.0" encoding="utf-8"?>
<a:themeOverride xmlns:a="http://schemas.openxmlformats.org/drawingml/2006/main">
  <a:clrScheme name="Техническая">
    <a:dk1>
      <a:sysClr val="windowText" lastClr="000000"/>
    </a:dk1>
    <a:lt1>
      <a:sysClr val="window" lastClr="FFFFFF"/>
    </a:lt1>
    <a:dk2>
      <a:srgbClr val="3B3B3B"/>
    </a:dk2>
    <a:lt2>
      <a:srgbClr val="D4D2D0"/>
    </a:lt2>
    <a:accent1>
      <a:srgbClr val="6EA0B0"/>
    </a:accent1>
    <a:accent2>
      <a:srgbClr val="CCAF0A"/>
    </a:accent2>
    <a:accent3>
      <a:srgbClr val="8D89A4"/>
    </a:accent3>
    <a:accent4>
      <a:srgbClr val="748560"/>
    </a:accent4>
    <a:accent5>
      <a:srgbClr val="9E9273"/>
    </a:accent5>
    <a:accent6>
      <a:srgbClr val="7E848D"/>
    </a:accent6>
    <a:hlink>
      <a:srgbClr val="00C8C3"/>
    </a:hlink>
    <a:folHlink>
      <a:srgbClr val="A116E0"/>
    </a:folHlink>
  </a:clrScheme>
  <a:fontScheme name="Бумажная">
    <a:maj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onstantia"/>
      <a:ea typeface=""/>
      <a:cs typeface=""/>
      <a:font script="Jpan" typeface="HG明朝E"/>
      <a:font script="Hang" typeface="궁서"/>
      <a:font script="Hans" typeface="华文新魏"/>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Техническая">
    <a:fillStyleLst>
      <a:solidFill>
        <a:schemeClr val="phClr"/>
      </a:solidFill>
      <a:gradFill rotWithShape="1">
        <a:gsLst>
          <a:gs pos="0">
            <a:schemeClr val="phClr">
              <a:tint val="1000"/>
            </a:schemeClr>
          </a:gs>
          <a:gs pos="68000">
            <a:schemeClr val="phClr">
              <a:tint val="77000"/>
            </a:schemeClr>
          </a:gs>
          <a:gs pos="81000">
            <a:schemeClr val="phClr">
              <a:tint val="79000"/>
            </a:schemeClr>
          </a:gs>
          <a:gs pos="86000">
            <a:schemeClr val="phClr">
              <a:tint val="73000"/>
            </a:schemeClr>
          </a:gs>
          <a:gs pos="100000">
            <a:schemeClr val="phClr">
              <a:tint val="35000"/>
            </a:schemeClr>
          </a:gs>
        </a:gsLst>
        <a:lin ang="5400000" scaled="1"/>
      </a:gradFill>
      <a:gradFill rotWithShape="1">
        <a:gsLst>
          <a:gs pos="0">
            <a:schemeClr val="phClr">
              <a:tint val="73000"/>
              <a:satMod val="150000"/>
            </a:schemeClr>
          </a:gs>
          <a:gs pos="25000">
            <a:schemeClr val="phClr">
              <a:tint val="96000"/>
              <a:shade val="80000"/>
              <a:satMod val="105000"/>
            </a:schemeClr>
          </a:gs>
          <a:gs pos="38000">
            <a:schemeClr val="phClr">
              <a:tint val="96000"/>
              <a:shade val="59000"/>
              <a:satMod val="120000"/>
            </a:schemeClr>
          </a:gs>
          <a:gs pos="55000">
            <a:schemeClr val="phClr">
              <a:shade val="57000"/>
              <a:satMod val="120000"/>
            </a:schemeClr>
          </a:gs>
          <a:gs pos="80000">
            <a:schemeClr val="phClr">
              <a:shade val="56000"/>
              <a:satMod val="145000"/>
            </a:schemeClr>
          </a:gs>
          <a:gs pos="88000">
            <a:schemeClr val="phClr">
              <a:shade val="63000"/>
              <a:satMod val="160000"/>
            </a:schemeClr>
          </a:gs>
          <a:gs pos="100000">
            <a:schemeClr val="phClr">
              <a:tint val="99555"/>
              <a:satMod val="155000"/>
            </a:schemeClr>
          </a:gs>
        </a:gsLst>
        <a:lin ang="5400000" scaled="1"/>
      </a:gradFill>
    </a:fillStyleLst>
    <a:lnStyleLst>
      <a:ln w="9525" cap="flat" cmpd="sng" algn="ctr">
        <a:solidFill>
          <a:schemeClr val="phClr">
            <a:shade val="60000"/>
            <a:satMod val="300000"/>
          </a:schemeClr>
        </a:solidFill>
        <a:prstDash val="solid"/>
      </a:ln>
      <a:ln w="19050" cap="flat" cmpd="sng" algn="ctr">
        <a:solidFill>
          <a:schemeClr val="phClr"/>
        </a:solidFill>
        <a:prstDash val="solid"/>
      </a:ln>
      <a:ln w="19050" cap="flat" cmpd="sng" algn="ctr">
        <a:solidFill>
          <a:schemeClr val="phClr"/>
        </a:solidFill>
        <a:prstDash val="solid"/>
      </a:ln>
    </a:lnStyleLst>
    <a:effectStyleLst>
      <a:effectStyle>
        <a:effectLst>
          <a:glow rad="63500">
            <a:schemeClr val="phClr">
              <a:tint val="30000"/>
              <a:shade val="95000"/>
              <a:satMod val="300000"/>
              <a:alpha val="50000"/>
            </a:schemeClr>
          </a:glow>
        </a:effectLst>
      </a:effectStyle>
      <a:effectStyle>
        <a:effectLst>
          <a:glow rad="70000">
            <a:schemeClr val="phClr">
              <a:tint val="30000"/>
              <a:shade val="95000"/>
              <a:satMod val="300000"/>
              <a:alpha val="50000"/>
            </a:schemeClr>
          </a:glow>
        </a:effectLst>
      </a:effectStyle>
      <a:effectStyle>
        <a:effectLst>
          <a:glow rad="76200">
            <a:schemeClr val="phClr">
              <a:tint val="30000"/>
              <a:shade val="95000"/>
              <a:satMod val="300000"/>
              <a:alpha val="50000"/>
            </a:schemeClr>
          </a:glow>
        </a:effectLst>
        <a:scene3d>
          <a:camera prst="orthographicFront" fov="0">
            <a:rot lat="0" lon="0" rev="0"/>
          </a:camera>
          <a:lightRig rig="harsh" dir="t">
            <a:rot lat="6000000" lon="6000000" rev="0"/>
          </a:lightRig>
        </a:scene3d>
        <a:sp3d contourW="10000" prstMaterial="metal">
          <a:bevelT w="20000" h="9000" prst="softRound"/>
          <a:contourClr>
            <a:schemeClr val="phClr">
              <a:shade val="30000"/>
              <a:satMod val="200000"/>
            </a:schemeClr>
          </a:contourClr>
        </a:sp3d>
      </a:effectStyle>
    </a:effectStyleLst>
    <a:bgFillStyleLst>
      <a:solidFill>
        <a:schemeClr val="phClr"/>
      </a:solidFill>
      <a:gradFill rotWithShape="1">
        <a:gsLst>
          <a:gs pos="0">
            <a:schemeClr val="phClr">
              <a:shade val="40000"/>
              <a:satMod val="150000"/>
            </a:schemeClr>
          </a:gs>
          <a:gs pos="30000">
            <a:schemeClr val="phClr">
              <a:shade val="60000"/>
              <a:satMod val="150000"/>
            </a:schemeClr>
          </a:gs>
          <a:gs pos="100000">
            <a:schemeClr val="phClr">
              <a:tint val="83000"/>
              <a:satMod val="200000"/>
            </a:schemeClr>
          </a:gs>
        </a:gsLst>
        <a:lin ang="13000000" scaled="0"/>
      </a:gradFill>
      <a:gradFill rotWithShape="1">
        <a:gsLst>
          <a:gs pos="0">
            <a:schemeClr val="phClr">
              <a:tint val="78000"/>
              <a:satMod val="220000"/>
            </a:schemeClr>
          </a:gs>
          <a:gs pos="100000">
            <a:schemeClr val="phClr">
              <a:shade val="35000"/>
              <a:satMod val="155000"/>
            </a:schemeClr>
          </a:gs>
        </a:gsLst>
        <a:path path="circle">
          <a:fillToRect l="60000" t="50000" r="4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FD463-20DE-4D7D-B812-A2382CAB1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Pages>
  <Words>8876</Words>
  <Characters>50596</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59354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2013-11-04T14:11:00Z</dcterms:created>
  <dcterms:modified xsi:type="dcterms:W3CDTF">2013-11-04T17:29:00Z</dcterms:modified>
</cp:coreProperties>
</file>