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40CA3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B40CA3">
        <w:rPr>
          <w:rFonts w:ascii="Times New Roman" w:hAnsi="Times New Roman" w:cs="Times New Roman"/>
          <w:sz w:val="28"/>
          <w:szCs w:val="28"/>
        </w:rPr>
        <w:t>)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Тульский филиал </w:t>
      </w:r>
      <w:proofErr w:type="spellStart"/>
      <w:r w:rsidRPr="00B40CA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40C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>КОНТРОЛЬНАЯ  РАБОТА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по  дисциплине  </w:t>
      </w:r>
      <w:r>
        <w:rPr>
          <w:rFonts w:ascii="Times New Roman" w:hAnsi="Times New Roman" w:cs="Times New Roman"/>
          <w:sz w:val="28"/>
          <w:szCs w:val="28"/>
        </w:rPr>
        <w:t>«Контроль и ревизия</w:t>
      </w:r>
      <w:r w:rsidRPr="00B40CA3">
        <w:rPr>
          <w:rFonts w:ascii="Times New Roman" w:hAnsi="Times New Roman" w:cs="Times New Roman"/>
          <w:sz w:val="28"/>
          <w:szCs w:val="28"/>
        </w:rPr>
        <w:t>»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№17: «Документальное оформление инвентаризации»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                                            Выполнил: студент  5 курса</w:t>
      </w:r>
    </w:p>
    <w:p w:rsidR="00B40CA3" w:rsidRPr="00B40CA3" w:rsidRDefault="00B40CA3" w:rsidP="00B40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факультета  УС</w:t>
      </w:r>
    </w:p>
    <w:p w:rsidR="00B40CA3" w:rsidRPr="00B40CA3" w:rsidRDefault="00B40CA3" w:rsidP="00B40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специальности  </w:t>
      </w:r>
      <w:proofErr w:type="spellStart"/>
      <w:r w:rsidRPr="00B40CA3">
        <w:rPr>
          <w:rFonts w:ascii="Times New Roman" w:hAnsi="Times New Roman" w:cs="Times New Roman"/>
          <w:sz w:val="28"/>
          <w:szCs w:val="28"/>
        </w:rPr>
        <w:t>БУАиА</w:t>
      </w:r>
      <w:proofErr w:type="spellEnd"/>
    </w:p>
    <w:p w:rsidR="00B40CA3" w:rsidRPr="00B40CA3" w:rsidRDefault="00B40CA3" w:rsidP="00B40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группы                                                     </w:t>
      </w:r>
    </w:p>
    <w:p w:rsidR="00B40CA3" w:rsidRPr="00B40CA3" w:rsidRDefault="00B40CA3" w:rsidP="00B40CA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№ </w:t>
      </w:r>
      <w:proofErr w:type="spellStart"/>
      <w:r w:rsidRPr="00B40CA3">
        <w:rPr>
          <w:rFonts w:ascii="Times New Roman" w:hAnsi="Times New Roman" w:cs="Times New Roman"/>
          <w:sz w:val="28"/>
          <w:szCs w:val="28"/>
        </w:rPr>
        <w:t>л.д</w:t>
      </w:r>
      <w:proofErr w:type="spellEnd"/>
      <w:r w:rsidRPr="00B40CA3">
        <w:rPr>
          <w:rFonts w:ascii="Times New Roman" w:hAnsi="Times New Roman" w:cs="Times New Roman"/>
          <w:sz w:val="28"/>
          <w:szCs w:val="28"/>
        </w:rPr>
        <w:t>.                                           Прове</w:t>
      </w:r>
      <w:r>
        <w:rPr>
          <w:rFonts w:ascii="Times New Roman" w:hAnsi="Times New Roman" w:cs="Times New Roman"/>
          <w:sz w:val="28"/>
          <w:szCs w:val="28"/>
        </w:rPr>
        <w:t xml:space="preserve">рил: </w:t>
      </w: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Pr="00B40CA3" w:rsidRDefault="00B40CA3" w:rsidP="00B40C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0CA3">
        <w:rPr>
          <w:rFonts w:ascii="Times New Roman" w:hAnsi="Times New Roman" w:cs="Times New Roman"/>
          <w:sz w:val="28"/>
          <w:szCs w:val="28"/>
        </w:rPr>
        <w:t xml:space="preserve">                                                 Тула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40CA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55FC5" w:rsidRDefault="00755FC5" w:rsidP="00B40CA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5FC5" w:rsidRPr="00755FC5" w:rsidRDefault="00755FC5" w:rsidP="00B40CA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B40CA3" w:rsidRDefault="00B40CA3" w:rsidP="00B40CA3">
      <w:pPr>
        <w:pStyle w:val="a4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numPr>
          <w:ilvl w:val="0"/>
          <w:numId w:val="2"/>
        </w:numPr>
        <w:spacing w:after="0" w:line="360" w:lineRule="auto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Pr="00B40CA3">
        <w:rPr>
          <w:rFonts w:ascii="Times New Roman" w:hAnsi="Times New Roman" w:cs="Times New Roman"/>
          <w:sz w:val="28"/>
          <w:szCs w:val="28"/>
        </w:rPr>
        <w:t>составления инвентаризационных описей</w:t>
      </w:r>
      <w:r>
        <w:rPr>
          <w:rFonts w:ascii="Times New Roman" w:hAnsi="Times New Roman" w:cs="Times New Roman"/>
          <w:sz w:val="28"/>
          <w:szCs w:val="28"/>
        </w:rPr>
        <w:t>…………….</w:t>
      </w:r>
      <w:r w:rsidR="0003350B">
        <w:rPr>
          <w:rFonts w:ascii="Times New Roman" w:hAnsi="Times New Roman" w:cs="Times New Roman"/>
          <w:sz w:val="28"/>
          <w:szCs w:val="28"/>
        </w:rPr>
        <w:t>..3</w:t>
      </w:r>
    </w:p>
    <w:p w:rsidR="00B40CA3" w:rsidRDefault="00B40CA3" w:rsidP="00B40CA3">
      <w:pPr>
        <w:pStyle w:val="a4"/>
        <w:numPr>
          <w:ilvl w:val="0"/>
          <w:numId w:val="2"/>
        </w:numPr>
        <w:spacing w:after="0" w:line="360" w:lineRule="auto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составления</w:t>
      </w:r>
      <w:r w:rsidRPr="00B40CA3">
        <w:rPr>
          <w:rFonts w:ascii="Times New Roman" w:hAnsi="Times New Roman" w:cs="Times New Roman"/>
          <w:sz w:val="28"/>
          <w:szCs w:val="28"/>
        </w:rPr>
        <w:t xml:space="preserve"> сличительных ведомостей</w:t>
      </w:r>
      <w:r>
        <w:rPr>
          <w:rFonts w:ascii="Times New Roman" w:hAnsi="Times New Roman" w:cs="Times New Roman"/>
          <w:sz w:val="28"/>
          <w:szCs w:val="28"/>
        </w:rPr>
        <w:t xml:space="preserve"> ……</w:t>
      </w:r>
      <w:r w:rsidR="0003350B">
        <w:rPr>
          <w:rFonts w:ascii="Times New Roman" w:hAnsi="Times New Roman" w:cs="Times New Roman"/>
          <w:sz w:val="28"/>
          <w:szCs w:val="28"/>
        </w:rPr>
        <w:t>……….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0335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03350B">
        <w:rPr>
          <w:rFonts w:ascii="Times New Roman" w:hAnsi="Times New Roman" w:cs="Times New Roman"/>
          <w:sz w:val="28"/>
          <w:szCs w:val="28"/>
        </w:rPr>
        <w:t>5</w:t>
      </w:r>
    </w:p>
    <w:p w:rsidR="00B40CA3" w:rsidRDefault="00B40CA3" w:rsidP="00B40CA3">
      <w:pPr>
        <w:pStyle w:val="a4"/>
        <w:numPr>
          <w:ilvl w:val="0"/>
          <w:numId w:val="2"/>
        </w:numPr>
        <w:spacing w:after="0" w:line="360" w:lineRule="auto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0CA3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proofErr w:type="gramStart"/>
      <w:r w:rsidRPr="00B40CA3">
        <w:rPr>
          <w:rFonts w:ascii="Times New Roman" w:hAnsi="Times New Roman" w:cs="Times New Roman"/>
          <w:sz w:val="28"/>
          <w:szCs w:val="28"/>
        </w:rPr>
        <w:t>инвентаризационных</w:t>
      </w:r>
      <w:proofErr w:type="gramEnd"/>
      <w:r w:rsidRPr="00B40CA3">
        <w:rPr>
          <w:rFonts w:ascii="Times New Roman" w:hAnsi="Times New Roman" w:cs="Times New Roman"/>
          <w:sz w:val="28"/>
          <w:szCs w:val="28"/>
        </w:rPr>
        <w:t xml:space="preserve"> разниц</w:t>
      </w:r>
      <w:r>
        <w:rPr>
          <w:rFonts w:ascii="Times New Roman" w:hAnsi="Times New Roman" w:cs="Times New Roman"/>
          <w:sz w:val="28"/>
          <w:szCs w:val="28"/>
        </w:rPr>
        <w:t>……………………..</w:t>
      </w:r>
      <w:r w:rsidR="0003350B">
        <w:rPr>
          <w:rFonts w:ascii="Times New Roman" w:hAnsi="Times New Roman" w:cs="Times New Roman"/>
          <w:sz w:val="28"/>
          <w:szCs w:val="28"/>
        </w:rPr>
        <w:t>7</w:t>
      </w:r>
    </w:p>
    <w:p w:rsidR="00B40CA3" w:rsidRDefault="00B40CA3" w:rsidP="00B40CA3">
      <w:pPr>
        <w:pStyle w:val="a4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B40CA3" w:rsidRDefault="00B40CA3" w:rsidP="00B40CA3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547525" w:rsidRDefault="00B40CA3" w:rsidP="00B40CA3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lastRenderedPageBreak/>
        <w:t xml:space="preserve">Порядок составления инвентаризационных </w:t>
      </w:r>
      <w:r>
        <w:rPr>
          <w:rFonts w:ascii="Times New Roman" w:hAnsi="Times New Roman" w:cs="Times New Roman"/>
          <w:sz w:val="28"/>
          <w:szCs w:val="28"/>
        </w:rPr>
        <w:t>описей.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При проведении инвентаризации имущества и обязательств необходимо учитывать следующие особенности проведения инвентаризации.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Инвентаризация проводится по объектам, за сохранность которых отвечают материально-ответственные лица - работники организации. При этом составляются инвентаризационные описи, в которых указывается фактическое количество по данным проведенной инвентаризации. Исключение составляет инвентаризация драгметаллов и </w:t>
      </w:r>
      <w:proofErr w:type="spellStart"/>
      <w:r w:rsidRPr="00547525">
        <w:rPr>
          <w:rFonts w:ascii="Times New Roman" w:hAnsi="Times New Roman" w:cs="Times New Roman"/>
          <w:sz w:val="28"/>
          <w:szCs w:val="28"/>
        </w:rPr>
        <w:t>драгкамней</w:t>
      </w:r>
      <w:proofErr w:type="spellEnd"/>
      <w:r w:rsidRPr="00547525">
        <w:rPr>
          <w:rFonts w:ascii="Times New Roman" w:hAnsi="Times New Roman" w:cs="Times New Roman"/>
          <w:sz w:val="28"/>
          <w:szCs w:val="28"/>
        </w:rPr>
        <w:t xml:space="preserve">, входящих в состав материальных ценностей. Фактическое количество драгоценных металлов и камней устанавливается на основании подтверждения фактического наличия материальных ценностей, содержащих драгоценные металлы и камни, и технической документации, содержащей сведения о количестве драгметаллов и камней в указанных материальных ценностях.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Инвентаризационные описи по объектам, находящимся в подотчете материально ответственных лиц - работников организации, составляются: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в двух экземплярах - для ценностей, принадлежащих организации на правах собственности (учтенных на балансе);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в трех экземплярах - для ценностей других организаций и физических лиц (учитываемых за балансом). </w:t>
      </w:r>
    </w:p>
    <w:p w:rsidR="00547525" w:rsidRPr="00BC23AF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7525">
        <w:rPr>
          <w:rFonts w:ascii="Times New Roman" w:hAnsi="Times New Roman" w:cs="Times New Roman"/>
          <w:sz w:val="28"/>
          <w:szCs w:val="28"/>
        </w:rPr>
        <w:t>Все описи подписываются материально-ответственны</w:t>
      </w:r>
      <w:proofErr w:type="gramStart"/>
      <w:r w:rsidRPr="00547525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547525">
        <w:rPr>
          <w:rFonts w:ascii="Times New Roman" w:hAnsi="Times New Roman" w:cs="Times New Roman"/>
          <w:sz w:val="28"/>
          <w:szCs w:val="28"/>
        </w:rPr>
        <w:t xml:space="preserve">и) лицом (лицами). Один экземпляр описи передается в бухгалтерию, второй - материально-ответственному лицу, третий (если он составлен) - собственнику имущества. </w:t>
      </w:r>
      <w:r w:rsidR="00BC23AF" w:rsidRPr="00BC23AF">
        <w:rPr>
          <w:rFonts w:ascii="Times New Roman" w:hAnsi="Times New Roman" w:cs="Times New Roman"/>
          <w:sz w:val="28"/>
          <w:szCs w:val="28"/>
        </w:rPr>
        <w:t>[</w:t>
      </w:r>
      <w:r w:rsidR="00BC23AF">
        <w:rPr>
          <w:rFonts w:ascii="Times New Roman" w:hAnsi="Times New Roman" w:cs="Times New Roman"/>
          <w:sz w:val="28"/>
          <w:szCs w:val="28"/>
          <w:lang w:val="en-US"/>
        </w:rPr>
        <w:t>4]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Если проводится инвентаризация: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материальных ценностей, находящихся в собственности организации (учитываемых на балансе), но за </w:t>
      </w:r>
      <w:proofErr w:type="gramStart"/>
      <w:r w:rsidRPr="00547525">
        <w:rPr>
          <w:rFonts w:ascii="Times New Roman" w:hAnsi="Times New Roman" w:cs="Times New Roman"/>
          <w:sz w:val="28"/>
          <w:szCs w:val="28"/>
        </w:rPr>
        <w:t>сохранность</w:t>
      </w:r>
      <w:proofErr w:type="gramEnd"/>
      <w:r w:rsidRPr="00547525">
        <w:rPr>
          <w:rFonts w:ascii="Times New Roman" w:hAnsi="Times New Roman" w:cs="Times New Roman"/>
          <w:sz w:val="28"/>
          <w:szCs w:val="28"/>
        </w:rPr>
        <w:t xml:space="preserve"> которых работники организации не отвечают (к таким ценностям относятся материальные ценности: находящиеся в пути, отгруженные, переданные на хранение другим организациям, переданные в переработку, в аренду, в управление);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lastRenderedPageBreak/>
        <w:t xml:space="preserve">всех видов расчетов (с дебиторами, кредиторами, заемщиками и займодавцами);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нематериальных объектов (например, нематериальных активов, финансовых вложений в бездокументарной форме, оценочных резервов, резервов предстоящих расходов и платежей и т.п.</w:t>
      </w:r>
      <w:proofErr w:type="gramStart"/>
      <w:r w:rsidRPr="00547525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547525">
        <w:rPr>
          <w:rFonts w:ascii="Times New Roman" w:hAnsi="Times New Roman" w:cs="Times New Roman"/>
          <w:sz w:val="28"/>
          <w:szCs w:val="28"/>
        </w:rPr>
        <w:t xml:space="preserve">, - то такая инвентаризация проводится на основании первичных документов (товарно-транспортных, счетов-фактур, актов, выписок и т.п.) и оформляется не инвентаризационной описью, а актом инвентаризации.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В качестве первичных документов возможно использование документов сторонних организаций, составленных ими в процессе инвентаризации имущества организации. К таким документам, в частности, относятся: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- инвентаризационная опись, составленная организацией-арендатором по форме N ИНВ-1 по арендованному имуществу;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- сохранные расписки, переоформленные на дату, близкую к дате инвентаризации;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- оборотные ведомости по ответственному хранению, предоставленные на дату, предшествующую дате инвентаризации.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При проведении инвентаризации на основании документов сличению подлежат не фактические данные и данные бухгалтерского учета, а данные по документам и данные бухгалтерского учета.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Акты составляются и подписываются работниками инвентаризационных комиссий без участия материально-ответственных лиц. Один экземпляр акта передается в бухгалтерию, второй - остается в комиссии.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При инвентаризации незавершенных капитальных вложений в форме приобретения отдельных объектов основных средств, нематериальных активов, капитального строительства инвентаризация проводится как в натуре, так и по документам.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lastRenderedPageBreak/>
        <w:t xml:space="preserve">Данные, выявленные комиссией, подлежат сличению с данными бухгалтерского учета и плановыми показателями (сметами, инвестиционными программами). Выявленный перерасход по отношению к сметным (плановым) показаниям должен рассматриваться особо.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Составляются акты инвентаризации в двух экземплярах. Акты подписываются членами комиссии и материально-ответственны</w:t>
      </w:r>
      <w:proofErr w:type="gramStart"/>
      <w:r w:rsidRPr="00547525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547525">
        <w:rPr>
          <w:rFonts w:ascii="Times New Roman" w:hAnsi="Times New Roman" w:cs="Times New Roman"/>
          <w:sz w:val="28"/>
          <w:szCs w:val="28"/>
        </w:rPr>
        <w:t xml:space="preserve">и) лицом (лицами). Один экземпляр передается в бухгалтерию, второй - материально-ответственному лицу.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47525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547525">
        <w:rPr>
          <w:rFonts w:ascii="Times New Roman" w:hAnsi="Times New Roman" w:cs="Times New Roman"/>
          <w:sz w:val="28"/>
          <w:szCs w:val="28"/>
        </w:rPr>
        <w:t xml:space="preserve"> когда одна и та же форма описи или акта используется для инвентаризации разных групп имущества или обязательств, то в заголовочной части таблицы целесообразно указывать вариант использования. Например, в описи по форме N ИНВ-1 в заголовочной части формы после слова "находящихся" указывается "в аренде", "на хранении" и т.д.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Все стоимостные показатели в инвентаризационных описях и актах заполняются в рублях и копейках. </w:t>
      </w:r>
    </w:p>
    <w:p w:rsidR="00930784" w:rsidRPr="00BC23AF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Сличительные ведомости составляются для основных средств и материальных ценностей. Результаты инвентаризации по другим объектам инвентаризации отражаются либо непосредственно в инвентаризационных актах, либо в разработанных орган</w:t>
      </w:r>
      <w:r w:rsidR="00BC23AF">
        <w:rPr>
          <w:rFonts w:ascii="Times New Roman" w:hAnsi="Times New Roman" w:cs="Times New Roman"/>
          <w:sz w:val="28"/>
          <w:szCs w:val="28"/>
        </w:rPr>
        <w:t>изацией сличительных ведомостях</w:t>
      </w:r>
      <w:r w:rsidR="00BC23AF" w:rsidRPr="00BC23AF">
        <w:rPr>
          <w:rFonts w:ascii="Times New Roman" w:hAnsi="Times New Roman" w:cs="Times New Roman"/>
          <w:sz w:val="28"/>
          <w:szCs w:val="28"/>
        </w:rPr>
        <w:t xml:space="preserve"> [4].</w:t>
      </w:r>
    </w:p>
    <w:p w:rsidR="00547525" w:rsidRPr="002B553A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525" w:rsidRPr="00B40CA3" w:rsidRDefault="00B40CA3" w:rsidP="00481922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" w:name="_Toc7981825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Порядок составления </w:t>
      </w:r>
      <w:r w:rsidR="00547525" w:rsidRPr="00B40C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сличительных ведомостей</w:t>
      </w:r>
      <w:bookmarkEnd w:id="1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47525" w:rsidRPr="00547525" w:rsidRDefault="00547525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выявления расхождений фактических данных, полученных в процессе инвентаризации с данными бухгалтерского учета, составляется сличительные ведомость «Сличительная ведомость результатов инвентаризации товарно-материальных ценностей» (форма №ИНВ-19). В конце отчетного года результаты всех проведенных инвентаризаций обобщаются в ведомости учета результатов, выявленных инвентаризацией (форма №ИНВ-26).</w:t>
      </w:r>
    </w:p>
    <w:p w:rsidR="00547525" w:rsidRPr="00547525" w:rsidRDefault="00547525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 составления сличительных ведомостей и определения результатов инвентаризации бухгалтерия организации должна тщательно проверить правильность всех подсчетов, приведенных в инвентаризационных описях. Затем полученные сведения заносятся в сличительные ведомости, в которых проводится сравнение фактических сведений с данными бухгалтерских документов. Обнаруженные расхождения фиксируются в проекте акта инвентаризации, к которому прилагается бухгалтерская справка с указанием возможных направлений списания выявленных недостач: на хищения, стихийные бедствия, порчу при хранении вследствие халатности виновных лиц.</w:t>
      </w:r>
    </w:p>
    <w:p w:rsidR="00547525" w:rsidRPr="00BC23AF" w:rsidRDefault="00547525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составлении сличительных ведомостей необходимо учитывать пересортицу товарно-материальных ценностей (неправильный учет товаров одного сорта в составе другого сорта), суммовые разницы, образовавшиеся в результате пересортицы. Необходимо также произвести списание потерь в пределах норм естественной убыли</w:t>
      </w:r>
      <w:r w:rsidR="00BC23AF" w:rsidRPr="00BC2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[3].</w:t>
      </w:r>
    </w:p>
    <w:p w:rsidR="00547525" w:rsidRPr="00547525" w:rsidRDefault="00547525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 излишков и недостач товарно-материальных ценностей в сличительных ведомостях указываются в соответствии с их оценкой в бухгалтерском учете.</w:t>
      </w:r>
    </w:p>
    <w:p w:rsidR="00547525" w:rsidRPr="00547525" w:rsidRDefault="00547525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оформления результатов инвентаризации могут применяться единые регистры, в которых объединены показатели инвентаризационных описей и сличительных ведомостей. На ценности, не принадлежащие организации, но числящиеся в бухгалтерском учете (находящиеся на ответственном хранении, арендованные, полученные для переработки), составляются отдельные сличительные ведомости. Владельцам ценностей предоставляется справка о результатах инвентаризации с приложением копии инвентаризационной описи.</w:t>
      </w:r>
    </w:p>
    <w:p w:rsidR="00547525" w:rsidRDefault="00547525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Сличительные ведомости могут быть составлены как с использованием компьютера и другой оргтехники, так и вручную.</w:t>
      </w:r>
    </w:p>
    <w:p w:rsidR="00B40CA3" w:rsidRDefault="00B40CA3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0CA3" w:rsidRPr="00547525" w:rsidRDefault="00B40CA3" w:rsidP="005475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7525" w:rsidRPr="00B40CA3" w:rsidRDefault="00B40CA3" w:rsidP="00B40CA3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CA3">
        <w:rPr>
          <w:rFonts w:ascii="Times New Roman" w:hAnsi="Times New Roman" w:cs="Times New Roman"/>
          <w:sz w:val="28"/>
          <w:szCs w:val="28"/>
        </w:rPr>
        <w:lastRenderedPageBreak/>
        <w:t xml:space="preserve">Регулирование </w:t>
      </w:r>
      <w:proofErr w:type="gramStart"/>
      <w:r w:rsidRPr="00B40CA3">
        <w:rPr>
          <w:rFonts w:ascii="Times New Roman" w:hAnsi="Times New Roman" w:cs="Times New Roman"/>
          <w:sz w:val="28"/>
          <w:szCs w:val="28"/>
        </w:rPr>
        <w:t>инвентаризационных</w:t>
      </w:r>
      <w:proofErr w:type="gramEnd"/>
      <w:r w:rsidRPr="00B40CA3">
        <w:rPr>
          <w:rFonts w:ascii="Times New Roman" w:hAnsi="Times New Roman" w:cs="Times New Roman"/>
          <w:sz w:val="28"/>
          <w:szCs w:val="28"/>
        </w:rPr>
        <w:t xml:space="preserve"> разниц.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1. После заполнения графы «По данным бухгалтерского учета» инвентаризационные описи и заполненные сличительные ведомости бухгалтерия передает инвентаризационной комиссии.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2.</w:t>
      </w:r>
      <w:r w:rsidRPr="00547525">
        <w:rPr>
          <w:rFonts w:ascii="Times New Roman" w:hAnsi="Times New Roman" w:cs="Times New Roman"/>
          <w:sz w:val="28"/>
          <w:szCs w:val="28"/>
        </w:rPr>
        <w:tab/>
        <w:t>При наличии расхождений фактического наличия имущества с данными бухгалтерского учета материально ответственные лица пишут объяснительные записки с указанием причин, приведших к возникновению расхождений.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3. По решению комиссии может быть произведен зачет недостачи излишками. Взаимный зачет излишков и недостач в результате пересортицы может быть допущен только в виде исключения: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-</w:t>
      </w:r>
      <w:r w:rsidRPr="00547525">
        <w:rPr>
          <w:rFonts w:ascii="Times New Roman" w:hAnsi="Times New Roman" w:cs="Times New Roman"/>
          <w:sz w:val="28"/>
          <w:szCs w:val="28"/>
        </w:rPr>
        <w:tab/>
        <w:t>за один и тот же проверяемый период;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-</w:t>
      </w:r>
      <w:r w:rsidRPr="00547525">
        <w:rPr>
          <w:rFonts w:ascii="Times New Roman" w:hAnsi="Times New Roman" w:cs="Times New Roman"/>
          <w:sz w:val="28"/>
          <w:szCs w:val="28"/>
        </w:rPr>
        <w:tab/>
        <w:t>у одного и того же проверяемого лица;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-</w:t>
      </w:r>
      <w:r w:rsidRPr="00547525">
        <w:rPr>
          <w:rFonts w:ascii="Times New Roman" w:hAnsi="Times New Roman" w:cs="Times New Roman"/>
          <w:sz w:val="28"/>
          <w:szCs w:val="28"/>
        </w:rPr>
        <w:tab/>
        <w:t>в отношении товарно-материальных ценностей одного и того же наименования и в тождественных количествах.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О допущенной пересортице материально ответственные лица представляют подробные объяснения инвентаризационной комиссии.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В том случае, когда при зачете недостач излишками по пересортице стоимость недостающих ценностей выше стоимости ценностей, оказавшихся в излишке, эта разница в стоимости относится на виновных лиц.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Если конкретные виновники пересортицы не установлены, то суммовые разницы рассматриваются как недостачи сверх норм убыли и списываются в организациях на издержки обращения и производства, а в бюджетных организациях - на уменьшение финансирования (фондов).</w:t>
      </w:r>
      <w:r w:rsidRPr="00547525">
        <w:rPr>
          <w:rFonts w:ascii="Times New Roman" w:hAnsi="Times New Roman" w:cs="Times New Roman"/>
          <w:sz w:val="28"/>
          <w:szCs w:val="28"/>
        </w:rPr>
        <w:cr/>
        <w:t>На разницу в стоимости от пересортицы в сторону недостачи, образовавшейся не по вине материально ответственных лиц, в протоколах инвентаризационной комиссии должны быть даны исчерпывающие объяснения о причинах, по которым такая разница не отнесена на виновных лиц.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lastRenderedPageBreak/>
        <w:t>4. Комиссия обсуждает результаты инвентаризации и составляет заключительный акт (произвольная форма) с предложениями о регулировании выявленных при инвентаризации расхождений фактического наличия ценностей и данных бухгалтерского учета. Акт подписывают все члены комиссии.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5. Акт, инвентаризационные описи, сличительные ведомости и объяснительные записки материально ответственног</w:t>
      </w:r>
      <w:proofErr w:type="gramStart"/>
      <w:r w:rsidRPr="00547525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547525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547525">
        <w:rPr>
          <w:rFonts w:ascii="Times New Roman" w:hAnsi="Times New Roman" w:cs="Times New Roman"/>
          <w:sz w:val="28"/>
          <w:szCs w:val="28"/>
        </w:rPr>
        <w:t>) лица(лиц) представляют на рассмотрение руководителю организации для принятия окончательного решения по устранению недостатков в хранении и учете имущества и возмещению материального ущерба.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6. По результатам инвентаризации руководитель издает приказ на возмещение недостачи виновными лицами либо на списание на финансовые результаты по решению суда, если виновные лица не установлены.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7. Выявленные при инвентаризации расхождения между фактическим наличием имущества и данными бухгалтерского учета отражаются в бухгалтерском учете в следующем порядке: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•</w:t>
      </w:r>
      <w:r w:rsidRPr="00547525">
        <w:rPr>
          <w:rFonts w:ascii="Times New Roman" w:hAnsi="Times New Roman" w:cs="Times New Roman"/>
          <w:sz w:val="28"/>
          <w:szCs w:val="28"/>
        </w:rPr>
        <w:tab/>
        <w:t>излишки запасов приходуются по рыночным ценам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Одновременно их стоимость относится: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- в коммерческих организациях - на внереализационный доход;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- в некоммерческих организациях - на увеличение доходов;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•</w:t>
      </w:r>
      <w:r w:rsidRPr="00547525">
        <w:rPr>
          <w:rFonts w:ascii="Times New Roman" w:hAnsi="Times New Roman" w:cs="Times New Roman"/>
          <w:sz w:val="28"/>
          <w:szCs w:val="28"/>
        </w:rPr>
        <w:tab/>
        <w:t xml:space="preserve">недостача имущества и его порча относится: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а) в пределах норм естественной убыли - на издержки производства или обращения (расходы);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б) сверх норм естественной убыли - за счет виновных лиц.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Если виновные лица не установлены или суд отказал во взыскании убытков с них, то убытки от недостачи имущества и его порчи списываются: 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>- в коммерческих организациях - на внереализационный расход;</w:t>
      </w:r>
    </w:p>
    <w:p w:rsidR="00547525" w:rsidRP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t xml:space="preserve">- в некоммерческих организациях - на увеличение расходов. </w:t>
      </w:r>
    </w:p>
    <w:p w:rsidR="00547525" w:rsidRDefault="00547525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25">
        <w:rPr>
          <w:rFonts w:ascii="Times New Roman" w:hAnsi="Times New Roman" w:cs="Times New Roman"/>
          <w:sz w:val="28"/>
          <w:szCs w:val="28"/>
        </w:rPr>
        <w:lastRenderedPageBreak/>
        <w:t>8. Результаты инвентаризации должны быть отражены в учете и отчетности того месяца, в котором была закончена инвентаризация, а по годовой инвентаризации - в годовом бухгалтерском отчете.</w:t>
      </w:r>
      <w:r w:rsidR="00481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547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922" w:rsidRDefault="00481922" w:rsidP="0003350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03350B" w:rsidRPr="00EF4153" w:rsidRDefault="0003350B" w:rsidP="0003350B">
      <w:pPr>
        <w:pStyle w:val="a6"/>
        <w:numPr>
          <w:ilvl w:val="0"/>
          <w:numId w:val="3"/>
        </w:numPr>
        <w:jc w:val="left"/>
        <w:rPr>
          <w:kern w:val="0"/>
          <w:lang w:eastAsia="ru-RU"/>
        </w:rPr>
      </w:pPr>
      <w:r w:rsidRPr="00EF4153">
        <w:t xml:space="preserve"> </w:t>
      </w:r>
      <w:r w:rsidRPr="00EF4153">
        <w:rPr>
          <w:iCs/>
          <w:kern w:val="0"/>
          <w:lang w:eastAsia="ru-RU"/>
        </w:rPr>
        <w:t>Ахметова Г.В. Контроль и ревизия</w:t>
      </w:r>
      <w:r w:rsidRPr="00EF4153">
        <w:rPr>
          <w:kern w:val="0"/>
          <w:lang w:eastAsia="ru-RU"/>
        </w:rPr>
        <w:t>: Учебно-методический комплекс. – М.: Изд. центр ЕАОИ, 20</w:t>
      </w:r>
      <w:r w:rsidRPr="0003350B">
        <w:rPr>
          <w:kern w:val="0"/>
          <w:lang w:eastAsia="ru-RU"/>
        </w:rPr>
        <w:t>10</w:t>
      </w:r>
      <w:r w:rsidRPr="00EF4153">
        <w:rPr>
          <w:kern w:val="0"/>
          <w:lang w:eastAsia="ru-RU"/>
        </w:rPr>
        <w:t xml:space="preserve"> – </w:t>
      </w:r>
      <w:r w:rsidRPr="0003350B">
        <w:rPr>
          <w:kern w:val="0"/>
          <w:lang w:eastAsia="ru-RU"/>
        </w:rPr>
        <w:t>84</w:t>
      </w:r>
      <w:r w:rsidRPr="00EF4153">
        <w:rPr>
          <w:kern w:val="0"/>
          <w:lang w:eastAsia="ru-RU"/>
        </w:rPr>
        <w:t xml:space="preserve"> с.</w:t>
      </w:r>
    </w:p>
    <w:p w:rsidR="0003350B" w:rsidRPr="0003350B" w:rsidRDefault="0003350B" w:rsidP="0003350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50B">
        <w:rPr>
          <w:rFonts w:ascii="Times New Roman" w:hAnsi="Times New Roman" w:cs="Times New Roman"/>
          <w:sz w:val="28"/>
          <w:szCs w:val="28"/>
        </w:rPr>
        <w:t>Дробышевский</w:t>
      </w:r>
      <w:proofErr w:type="spellEnd"/>
      <w:r w:rsidRPr="0003350B">
        <w:rPr>
          <w:rFonts w:ascii="Times New Roman" w:hAnsi="Times New Roman" w:cs="Times New Roman"/>
          <w:sz w:val="28"/>
          <w:szCs w:val="28"/>
        </w:rPr>
        <w:t xml:space="preserve"> Н.П. Ревизия и аудит: Учеб</w:t>
      </w:r>
      <w:proofErr w:type="gramStart"/>
      <w:r w:rsidRPr="000335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335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35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3350B">
        <w:rPr>
          <w:rFonts w:ascii="Times New Roman" w:hAnsi="Times New Roman" w:cs="Times New Roman"/>
          <w:sz w:val="28"/>
          <w:szCs w:val="28"/>
        </w:rPr>
        <w:t xml:space="preserve">особие / Н.П. </w:t>
      </w:r>
      <w:proofErr w:type="spellStart"/>
      <w:r w:rsidRPr="0003350B">
        <w:rPr>
          <w:rFonts w:ascii="Times New Roman" w:hAnsi="Times New Roman" w:cs="Times New Roman"/>
          <w:sz w:val="28"/>
          <w:szCs w:val="28"/>
        </w:rPr>
        <w:t>Дробышевский</w:t>
      </w:r>
      <w:proofErr w:type="spellEnd"/>
      <w:r w:rsidRPr="0003350B">
        <w:rPr>
          <w:rFonts w:ascii="Times New Roman" w:hAnsi="Times New Roman" w:cs="Times New Roman"/>
          <w:sz w:val="28"/>
          <w:szCs w:val="28"/>
        </w:rPr>
        <w:t>. – Мн.: ООО «</w:t>
      </w:r>
      <w:proofErr w:type="spellStart"/>
      <w:r w:rsidRPr="0003350B">
        <w:rPr>
          <w:rFonts w:ascii="Times New Roman" w:hAnsi="Times New Roman" w:cs="Times New Roman"/>
          <w:sz w:val="28"/>
          <w:szCs w:val="28"/>
        </w:rPr>
        <w:t>Мисанта</w:t>
      </w:r>
      <w:proofErr w:type="spellEnd"/>
      <w:r w:rsidRPr="0003350B">
        <w:rPr>
          <w:rFonts w:ascii="Times New Roman" w:hAnsi="Times New Roman" w:cs="Times New Roman"/>
          <w:sz w:val="28"/>
          <w:szCs w:val="28"/>
        </w:rPr>
        <w:t xml:space="preserve">», 2012. – 273 с. </w:t>
      </w:r>
    </w:p>
    <w:p w:rsidR="0003350B" w:rsidRPr="0003350B" w:rsidRDefault="0003350B" w:rsidP="0003350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3350B">
        <w:rPr>
          <w:rFonts w:ascii="Times New Roman" w:hAnsi="Times New Roman" w:cs="Times New Roman"/>
          <w:sz w:val="28"/>
          <w:szCs w:val="28"/>
        </w:rPr>
        <w:t xml:space="preserve">Мельник М.В. Ревизия и контроль: Тесты и задачи: Учебное пособие для студ. вузов / М.В. Мельник, А.С. Пантелеев, А.Л. </w:t>
      </w:r>
      <w:proofErr w:type="spellStart"/>
      <w:r w:rsidRPr="0003350B">
        <w:rPr>
          <w:rFonts w:ascii="Times New Roman" w:hAnsi="Times New Roman" w:cs="Times New Roman"/>
          <w:sz w:val="28"/>
          <w:szCs w:val="28"/>
        </w:rPr>
        <w:t>Звездин</w:t>
      </w:r>
      <w:proofErr w:type="spellEnd"/>
      <w:r w:rsidRPr="0003350B">
        <w:rPr>
          <w:rFonts w:ascii="Times New Roman" w:hAnsi="Times New Roman" w:cs="Times New Roman"/>
          <w:sz w:val="28"/>
          <w:szCs w:val="28"/>
        </w:rPr>
        <w:t>; Под ред. М.В. Мельник. - М.: ФБК-пресс, 20</w:t>
      </w:r>
      <w:r>
        <w:rPr>
          <w:rFonts w:ascii="Times New Roman" w:hAnsi="Times New Roman" w:cs="Times New Roman"/>
          <w:sz w:val="28"/>
          <w:szCs w:val="28"/>
          <w:lang w:val="en-US"/>
        </w:rPr>
        <w:t>11</w:t>
      </w:r>
      <w:r w:rsidRPr="0003350B">
        <w:rPr>
          <w:rFonts w:ascii="Times New Roman" w:hAnsi="Times New Roman" w:cs="Times New Roman"/>
          <w:sz w:val="28"/>
          <w:szCs w:val="28"/>
        </w:rPr>
        <w:t>. -2</w:t>
      </w:r>
      <w:r>
        <w:rPr>
          <w:rFonts w:ascii="Times New Roman" w:hAnsi="Times New Roman" w:cs="Times New Roman"/>
          <w:sz w:val="28"/>
          <w:szCs w:val="28"/>
          <w:lang w:val="en-US"/>
        </w:rPr>
        <w:t>68</w:t>
      </w:r>
      <w:r w:rsidRPr="0003350B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03350B" w:rsidRPr="0003350B" w:rsidRDefault="0003350B" w:rsidP="000335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03350B" w:rsidRDefault="0003350B" w:rsidP="0003350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50B">
        <w:rPr>
          <w:rFonts w:ascii="Times New Roman" w:hAnsi="Times New Roman" w:cs="Times New Roman"/>
          <w:sz w:val="28"/>
          <w:szCs w:val="28"/>
        </w:rPr>
        <w:t>https://</w:t>
      </w:r>
      <w:r w:rsidRPr="002B553A">
        <w:rPr>
          <w:rFonts w:ascii="Times New Roman" w:hAnsi="Times New Roman" w:cs="Times New Roman"/>
          <w:sz w:val="28"/>
          <w:szCs w:val="28"/>
        </w:rPr>
        <w:t>klerk.ru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3350B" w:rsidRPr="0003350B" w:rsidRDefault="0003350B" w:rsidP="0003350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https://ru.wikipedia.org</w:t>
      </w:r>
    </w:p>
    <w:sectPr w:rsidR="0003350B" w:rsidRPr="0003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701B"/>
    <w:multiLevelType w:val="hybridMultilevel"/>
    <w:tmpl w:val="61DA7E34"/>
    <w:lvl w:ilvl="0" w:tplc="A4A27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EF3CA1"/>
    <w:multiLevelType w:val="hybridMultilevel"/>
    <w:tmpl w:val="240C48C0"/>
    <w:lvl w:ilvl="0" w:tplc="83E2D3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7D45F14"/>
    <w:multiLevelType w:val="hybridMultilevel"/>
    <w:tmpl w:val="244AB00C"/>
    <w:lvl w:ilvl="0" w:tplc="A4A27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525"/>
    <w:rsid w:val="0003350B"/>
    <w:rsid w:val="00112F71"/>
    <w:rsid w:val="002B553A"/>
    <w:rsid w:val="00481922"/>
    <w:rsid w:val="00547525"/>
    <w:rsid w:val="00755FC5"/>
    <w:rsid w:val="00925884"/>
    <w:rsid w:val="00930784"/>
    <w:rsid w:val="00B40CA3"/>
    <w:rsid w:val="00BC23AF"/>
    <w:rsid w:val="00D8333A"/>
    <w:rsid w:val="00F3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4752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475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4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0CA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350B"/>
    <w:rPr>
      <w:color w:val="0000FF" w:themeColor="hyperlink"/>
      <w:u w:val="single"/>
    </w:rPr>
  </w:style>
  <w:style w:type="paragraph" w:customStyle="1" w:styleId="a6">
    <w:name w:val="Стиль текста"/>
    <w:basedOn w:val="a"/>
    <w:rsid w:val="000335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4752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475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4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0CA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350B"/>
    <w:rPr>
      <w:color w:val="0000FF" w:themeColor="hyperlink"/>
      <w:u w:val="single"/>
    </w:rPr>
  </w:style>
  <w:style w:type="paragraph" w:customStyle="1" w:styleId="a6">
    <w:name w:val="Стиль текста"/>
    <w:basedOn w:val="a"/>
    <w:rsid w:val="000335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A9874-1FA1-47DF-8DA5-900D96FA9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2015-03-10T06:35:00Z</dcterms:created>
  <dcterms:modified xsi:type="dcterms:W3CDTF">2015-03-23T10:10:00Z</dcterms:modified>
</cp:coreProperties>
</file>