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828" w:rsidRPr="002D572F" w:rsidRDefault="00C6709C" w:rsidP="00C6709C">
      <w:pPr>
        <w:jc w:val="center"/>
        <w:rPr>
          <w:b/>
          <w:sz w:val="26"/>
          <w:szCs w:val="26"/>
        </w:rPr>
      </w:pPr>
      <w:bookmarkStart w:id="0" w:name="_GoBack"/>
      <w:bookmarkEnd w:id="0"/>
      <w:r w:rsidRPr="002D572F">
        <w:rPr>
          <w:rFonts w:ascii="Times New Roman" w:eastAsia="Times New Roman" w:hAnsi="Times New Roman" w:cs="Times New Roman"/>
          <w:b/>
          <w:sz w:val="26"/>
          <w:szCs w:val="26"/>
          <w:lang w:eastAsia="ru-RU"/>
        </w:rPr>
        <w:t xml:space="preserve">Содержание </w:t>
      </w:r>
    </w:p>
    <w:sdt>
      <w:sdtPr>
        <w:rPr>
          <w:rFonts w:asciiTheme="minorHAnsi" w:eastAsiaTheme="minorHAnsi" w:hAnsiTheme="minorHAnsi" w:cstheme="minorBidi"/>
          <w:b w:val="0"/>
          <w:bCs w:val="0"/>
          <w:color w:val="auto"/>
          <w:sz w:val="26"/>
          <w:szCs w:val="26"/>
          <w:lang w:eastAsia="en-US"/>
        </w:rPr>
        <w:id w:val="-1573493916"/>
        <w:docPartObj>
          <w:docPartGallery w:val="Table of Contents"/>
          <w:docPartUnique/>
        </w:docPartObj>
      </w:sdtPr>
      <w:sdtEndPr/>
      <w:sdtContent>
        <w:p w:rsidR="00C6709C" w:rsidRPr="002D572F" w:rsidRDefault="00C6709C">
          <w:pPr>
            <w:pStyle w:val="ab"/>
            <w:rPr>
              <w:sz w:val="26"/>
              <w:szCs w:val="26"/>
            </w:rPr>
          </w:pPr>
        </w:p>
        <w:p w:rsidR="002D572F" w:rsidRPr="002D572F" w:rsidRDefault="00C6709C" w:rsidP="002D572F">
          <w:pPr>
            <w:pStyle w:val="11"/>
            <w:tabs>
              <w:tab w:val="right" w:leader="dot" w:pos="9345"/>
            </w:tabs>
            <w:spacing w:line="360" w:lineRule="auto"/>
            <w:rPr>
              <w:rFonts w:ascii="Times New Roman" w:eastAsiaTheme="minorEastAsia" w:hAnsi="Times New Roman" w:cs="Times New Roman"/>
              <w:noProof/>
              <w:sz w:val="26"/>
              <w:szCs w:val="26"/>
              <w:lang w:eastAsia="ru-RU"/>
            </w:rPr>
          </w:pPr>
          <w:r w:rsidRPr="002D572F">
            <w:rPr>
              <w:rFonts w:ascii="Times New Roman" w:hAnsi="Times New Roman" w:cs="Times New Roman"/>
              <w:sz w:val="26"/>
              <w:szCs w:val="26"/>
            </w:rPr>
            <w:fldChar w:fldCharType="begin"/>
          </w:r>
          <w:r w:rsidRPr="002D572F">
            <w:rPr>
              <w:rFonts w:ascii="Times New Roman" w:hAnsi="Times New Roman" w:cs="Times New Roman"/>
              <w:sz w:val="26"/>
              <w:szCs w:val="26"/>
            </w:rPr>
            <w:instrText xml:space="preserve"> TOC \o "1-3" \h \z \u </w:instrText>
          </w:r>
          <w:r w:rsidRPr="002D572F">
            <w:rPr>
              <w:rFonts w:ascii="Times New Roman" w:hAnsi="Times New Roman" w:cs="Times New Roman"/>
              <w:sz w:val="26"/>
              <w:szCs w:val="26"/>
            </w:rPr>
            <w:fldChar w:fldCharType="separate"/>
          </w:r>
          <w:hyperlink w:anchor="_Toc406837242" w:history="1">
            <w:r w:rsidR="002D572F" w:rsidRPr="002D572F">
              <w:rPr>
                <w:rStyle w:val="ac"/>
                <w:rFonts w:ascii="Times New Roman" w:eastAsia="Times New Roman" w:hAnsi="Times New Roman" w:cs="Times New Roman"/>
                <w:noProof/>
                <w:sz w:val="26"/>
                <w:szCs w:val="26"/>
                <w:lang w:eastAsia="ru-RU"/>
              </w:rPr>
              <w:t>Введение</w:t>
            </w:r>
            <w:r w:rsidR="002D572F" w:rsidRPr="002D572F">
              <w:rPr>
                <w:rFonts w:ascii="Times New Roman" w:hAnsi="Times New Roman" w:cs="Times New Roman"/>
                <w:noProof/>
                <w:webHidden/>
                <w:sz w:val="26"/>
                <w:szCs w:val="26"/>
              </w:rPr>
              <w:tab/>
            </w:r>
            <w:r w:rsidR="002D572F" w:rsidRPr="002D572F">
              <w:rPr>
                <w:rFonts w:ascii="Times New Roman" w:hAnsi="Times New Roman" w:cs="Times New Roman"/>
                <w:noProof/>
                <w:webHidden/>
                <w:sz w:val="26"/>
                <w:szCs w:val="26"/>
              </w:rPr>
              <w:fldChar w:fldCharType="begin"/>
            </w:r>
            <w:r w:rsidR="002D572F" w:rsidRPr="002D572F">
              <w:rPr>
                <w:rFonts w:ascii="Times New Roman" w:hAnsi="Times New Roman" w:cs="Times New Roman"/>
                <w:noProof/>
                <w:webHidden/>
                <w:sz w:val="26"/>
                <w:szCs w:val="26"/>
              </w:rPr>
              <w:instrText xml:space="preserve"> PAGEREF _Toc406837242 \h </w:instrText>
            </w:r>
            <w:r w:rsidR="002D572F" w:rsidRPr="002D572F">
              <w:rPr>
                <w:rFonts w:ascii="Times New Roman" w:hAnsi="Times New Roman" w:cs="Times New Roman"/>
                <w:noProof/>
                <w:webHidden/>
                <w:sz w:val="26"/>
                <w:szCs w:val="26"/>
              </w:rPr>
            </w:r>
            <w:r w:rsidR="002D572F" w:rsidRPr="002D572F">
              <w:rPr>
                <w:rFonts w:ascii="Times New Roman" w:hAnsi="Times New Roman" w:cs="Times New Roman"/>
                <w:noProof/>
                <w:webHidden/>
                <w:sz w:val="26"/>
                <w:szCs w:val="26"/>
              </w:rPr>
              <w:fldChar w:fldCharType="separate"/>
            </w:r>
            <w:r w:rsidR="002D572F">
              <w:rPr>
                <w:rFonts w:ascii="Times New Roman" w:hAnsi="Times New Roman" w:cs="Times New Roman"/>
                <w:noProof/>
                <w:webHidden/>
                <w:sz w:val="26"/>
                <w:szCs w:val="26"/>
              </w:rPr>
              <w:t>3</w:t>
            </w:r>
            <w:r w:rsidR="002D572F" w:rsidRPr="002D572F">
              <w:rPr>
                <w:rFonts w:ascii="Times New Roman" w:hAnsi="Times New Roman" w:cs="Times New Roman"/>
                <w:noProof/>
                <w:webHidden/>
                <w:sz w:val="26"/>
                <w:szCs w:val="26"/>
              </w:rPr>
              <w:fldChar w:fldCharType="end"/>
            </w:r>
          </w:hyperlink>
        </w:p>
        <w:p w:rsidR="002D572F" w:rsidRPr="002D572F" w:rsidRDefault="001A2F17" w:rsidP="002D572F">
          <w:pPr>
            <w:pStyle w:val="11"/>
            <w:tabs>
              <w:tab w:val="right" w:leader="dot" w:pos="9345"/>
            </w:tabs>
            <w:spacing w:line="360" w:lineRule="auto"/>
            <w:rPr>
              <w:rFonts w:ascii="Times New Roman" w:eastAsiaTheme="minorEastAsia" w:hAnsi="Times New Roman" w:cs="Times New Roman"/>
              <w:noProof/>
              <w:sz w:val="26"/>
              <w:szCs w:val="26"/>
              <w:lang w:eastAsia="ru-RU"/>
            </w:rPr>
          </w:pPr>
          <w:hyperlink w:anchor="_Toc406837243" w:history="1">
            <w:r w:rsidR="002D572F" w:rsidRPr="002D572F">
              <w:rPr>
                <w:rStyle w:val="ac"/>
                <w:rFonts w:ascii="Times New Roman" w:hAnsi="Times New Roman" w:cs="Times New Roman"/>
                <w:noProof/>
                <w:sz w:val="26"/>
                <w:szCs w:val="26"/>
              </w:rPr>
              <w:t>1 Система регулирования рынка ценных бумаг</w:t>
            </w:r>
            <w:r w:rsidR="002D572F" w:rsidRPr="002D572F">
              <w:rPr>
                <w:rFonts w:ascii="Times New Roman" w:hAnsi="Times New Roman" w:cs="Times New Roman"/>
                <w:noProof/>
                <w:webHidden/>
                <w:sz w:val="26"/>
                <w:szCs w:val="26"/>
              </w:rPr>
              <w:tab/>
            </w:r>
            <w:r w:rsidR="002D572F" w:rsidRPr="002D572F">
              <w:rPr>
                <w:rFonts w:ascii="Times New Roman" w:hAnsi="Times New Roman" w:cs="Times New Roman"/>
                <w:noProof/>
                <w:webHidden/>
                <w:sz w:val="26"/>
                <w:szCs w:val="26"/>
              </w:rPr>
              <w:fldChar w:fldCharType="begin"/>
            </w:r>
            <w:r w:rsidR="002D572F" w:rsidRPr="002D572F">
              <w:rPr>
                <w:rFonts w:ascii="Times New Roman" w:hAnsi="Times New Roman" w:cs="Times New Roman"/>
                <w:noProof/>
                <w:webHidden/>
                <w:sz w:val="26"/>
                <w:szCs w:val="26"/>
              </w:rPr>
              <w:instrText xml:space="preserve"> PAGEREF _Toc406837243 \h </w:instrText>
            </w:r>
            <w:r w:rsidR="002D572F" w:rsidRPr="002D572F">
              <w:rPr>
                <w:rFonts w:ascii="Times New Roman" w:hAnsi="Times New Roman" w:cs="Times New Roman"/>
                <w:noProof/>
                <w:webHidden/>
                <w:sz w:val="26"/>
                <w:szCs w:val="26"/>
              </w:rPr>
            </w:r>
            <w:r w:rsidR="002D572F" w:rsidRPr="002D572F">
              <w:rPr>
                <w:rFonts w:ascii="Times New Roman" w:hAnsi="Times New Roman" w:cs="Times New Roman"/>
                <w:noProof/>
                <w:webHidden/>
                <w:sz w:val="26"/>
                <w:szCs w:val="26"/>
              </w:rPr>
              <w:fldChar w:fldCharType="separate"/>
            </w:r>
            <w:r w:rsidR="002D572F">
              <w:rPr>
                <w:rFonts w:ascii="Times New Roman" w:hAnsi="Times New Roman" w:cs="Times New Roman"/>
                <w:noProof/>
                <w:webHidden/>
                <w:sz w:val="26"/>
                <w:szCs w:val="26"/>
              </w:rPr>
              <w:t>4</w:t>
            </w:r>
            <w:r w:rsidR="002D572F" w:rsidRPr="002D572F">
              <w:rPr>
                <w:rFonts w:ascii="Times New Roman" w:hAnsi="Times New Roman" w:cs="Times New Roman"/>
                <w:noProof/>
                <w:webHidden/>
                <w:sz w:val="26"/>
                <w:szCs w:val="26"/>
              </w:rPr>
              <w:fldChar w:fldCharType="end"/>
            </w:r>
          </w:hyperlink>
        </w:p>
        <w:p w:rsidR="002D572F" w:rsidRPr="002D572F" w:rsidRDefault="001A2F17" w:rsidP="002D572F">
          <w:pPr>
            <w:pStyle w:val="11"/>
            <w:tabs>
              <w:tab w:val="right" w:leader="dot" w:pos="9345"/>
            </w:tabs>
            <w:spacing w:line="360" w:lineRule="auto"/>
            <w:rPr>
              <w:rFonts w:ascii="Times New Roman" w:eastAsiaTheme="minorEastAsia" w:hAnsi="Times New Roman" w:cs="Times New Roman"/>
              <w:noProof/>
              <w:sz w:val="26"/>
              <w:szCs w:val="26"/>
              <w:lang w:eastAsia="ru-RU"/>
            </w:rPr>
          </w:pPr>
          <w:hyperlink w:anchor="_Toc406837244" w:history="1">
            <w:r w:rsidR="002D572F" w:rsidRPr="002D572F">
              <w:rPr>
                <w:rStyle w:val="ac"/>
                <w:rFonts w:ascii="Times New Roman" w:hAnsi="Times New Roman" w:cs="Times New Roman"/>
                <w:noProof/>
                <w:sz w:val="26"/>
                <w:szCs w:val="26"/>
              </w:rPr>
              <w:t>2. Налоговое регулирование рынка ценных бумаг</w:t>
            </w:r>
            <w:r w:rsidR="002D572F" w:rsidRPr="002D572F">
              <w:rPr>
                <w:rFonts w:ascii="Times New Roman" w:hAnsi="Times New Roman" w:cs="Times New Roman"/>
                <w:noProof/>
                <w:webHidden/>
                <w:sz w:val="26"/>
                <w:szCs w:val="26"/>
              </w:rPr>
              <w:tab/>
            </w:r>
            <w:r w:rsidR="002D572F" w:rsidRPr="002D572F">
              <w:rPr>
                <w:rFonts w:ascii="Times New Roman" w:hAnsi="Times New Roman" w:cs="Times New Roman"/>
                <w:noProof/>
                <w:webHidden/>
                <w:sz w:val="26"/>
                <w:szCs w:val="26"/>
              </w:rPr>
              <w:fldChar w:fldCharType="begin"/>
            </w:r>
            <w:r w:rsidR="002D572F" w:rsidRPr="002D572F">
              <w:rPr>
                <w:rFonts w:ascii="Times New Roman" w:hAnsi="Times New Roman" w:cs="Times New Roman"/>
                <w:noProof/>
                <w:webHidden/>
                <w:sz w:val="26"/>
                <w:szCs w:val="26"/>
              </w:rPr>
              <w:instrText xml:space="preserve"> PAGEREF _Toc406837244 \h </w:instrText>
            </w:r>
            <w:r w:rsidR="002D572F" w:rsidRPr="002D572F">
              <w:rPr>
                <w:rFonts w:ascii="Times New Roman" w:hAnsi="Times New Roman" w:cs="Times New Roman"/>
                <w:noProof/>
                <w:webHidden/>
                <w:sz w:val="26"/>
                <w:szCs w:val="26"/>
              </w:rPr>
            </w:r>
            <w:r w:rsidR="002D572F" w:rsidRPr="002D572F">
              <w:rPr>
                <w:rFonts w:ascii="Times New Roman" w:hAnsi="Times New Roman" w:cs="Times New Roman"/>
                <w:noProof/>
                <w:webHidden/>
                <w:sz w:val="26"/>
                <w:szCs w:val="26"/>
              </w:rPr>
              <w:fldChar w:fldCharType="separate"/>
            </w:r>
            <w:r w:rsidR="002D572F">
              <w:rPr>
                <w:rFonts w:ascii="Times New Roman" w:hAnsi="Times New Roman" w:cs="Times New Roman"/>
                <w:noProof/>
                <w:webHidden/>
                <w:sz w:val="26"/>
                <w:szCs w:val="26"/>
              </w:rPr>
              <w:t>7</w:t>
            </w:r>
            <w:r w:rsidR="002D572F" w:rsidRPr="002D572F">
              <w:rPr>
                <w:rFonts w:ascii="Times New Roman" w:hAnsi="Times New Roman" w:cs="Times New Roman"/>
                <w:noProof/>
                <w:webHidden/>
                <w:sz w:val="26"/>
                <w:szCs w:val="26"/>
              </w:rPr>
              <w:fldChar w:fldCharType="end"/>
            </w:r>
          </w:hyperlink>
        </w:p>
        <w:p w:rsidR="002D572F" w:rsidRPr="002D572F" w:rsidRDefault="001A2F17" w:rsidP="002D572F">
          <w:pPr>
            <w:pStyle w:val="11"/>
            <w:tabs>
              <w:tab w:val="right" w:leader="dot" w:pos="9345"/>
            </w:tabs>
            <w:spacing w:line="360" w:lineRule="auto"/>
            <w:rPr>
              <w:rFonts w:ascii="Times New Roman" w:eastAsiaTheme="minorEastAsia" w:hAnsi="Times New Roman" w:cs="Times New Roman"/>
              <w:noProof/>
              <w:sz w:val="26"/>
              <w:szCs w:val="26"/>
              <w:lang w:eastAsia="ru-RU"/>
            </w:rPr>
          </w:pPr>
          <w:hyperlink w:anchor="_Toc406837245" w:history="1">
            <w:r w:rsidR="002D572F" w:rsidRPr="002D572F">
              <w:rPr>
                <w:rStyle w:val="ac"/>
                <w:rFonts w:ascii="Times New Roman" w:eastAsia="Times New Roman" w:hAnsi="Times New Roman" w:cs="Times New Roman"/>
                <w:noProof/>
                <w:sz w:val="26"/>
                <w:szCs w:val="26"/>
                <w:lang w:eastAsia="ru-RU"/>
              </w:rPr>
              <w:t>3. Проблемы налогообложения участников рынка ценных бумаг в РФ</w:t>
            </w:r>
            <w:r w:rsidR="002D572F" w:rsidRPr="002D572F">
              <w:rPr>
                <w:rFonts w:ascii="Times New Roman" w:hAnsi="Times New Roman" w:cs="Times New Roman"/>
                <w:noProof/>
                <w:webHidden/>
                <w:sz w:val="26"/>
                <w:szCs w:val="26"/>
              </w:rPr>
              <w:tab/>
            </w:r>
            <w:r w:rsidR="002D572F" w:rsidRPr="002D572F">
              <w:rPr>
                <w:rFonts w:ascii="Times New Roman" w:hAnsi="Times New Roman" w:cs="Times New Roman"/>
                <w:noProof/>
                <w:webHidden/>
                <w:sz w:val="26"/>
                <w:szCs w:val="26"/>
              </w:rPr>
              <w:fldChar w:fldCharType="begin"/>
            </w:r>
            <w:r w:rsidR="002D572F" w:rsidRPr="002D572F">
              <w:rPr>
                <w:rFonts w:ascii="Times New Roman" w:hAnsi="Times New Roman" w:cs="Times New Roman"/>
                <w:noProof/>
                <w:webHidden/>
                <w:sz w:val="26"/>
                <w:szCs w:val="26"/>
              </w:rPr>
              <w:instrText xml:space="preserve"> PAGEREF _Toc406837245 \h </w:instrText>
            </w:r>
            <w:r w:rsidR="002D572F" w:rsidRPr="002D572F">
              <w:rPr>
                <w:rFonts w:ascii="Times New Roman" w:hAnsi="Times New Roman" w:cs="Times New Roman"/>
                <w:noProof/>
                <w:webHidden/>
                <w:sz w:val="26"/>
                <w:szCs w:val="26"/>
              </w:rPr>
            </w:r>
            <w:r w:rsidR="002D572F" w:rsidRPr="002D572F">
              <w:rPr>
                <w:rFonts w:ascii="Times New Roman" w:hAnsi="Times New Roman" w:cs="Times New Roman"/>
                <w:noProof/>
                <w:webHidden/>
                <w:sz w:val="26"/>
                <w:szCs w:val="26"/>
              </w:rPr>
              <w:fldChar w:fldCharType="separate"/>
            </w:r>
            <w:r w:rsidR="002D572F">
              <w:rPr>
                <w:rFonts w:ascii="Times New Roman" w:hAnsi="Times New Roman" w:cs="Times New Roman"/>
                <w:noProof/>
                <w:webHidden/>
                <w:sz w:val="26"/>
                <w:szCs w:val="26"/>
              </w:rPr>
              <w:t>16</w:t>
            </w:r>
            <w:r w:rsidR="002D572F" w:rsidRPr="002D572F">
              <w:rPr>
                <w:rFonts w:ascii="Times New Roman" w:hAnsi="Times New Roman" w:cs="Times New Roman"/>
                <w:noProof/>
                <w:webHidden/>
                <w:sz w:val="26"/>
                <w:szCs w:val="26"/>
              </w:rPr>
              <w:fldChar w:fldCharType="end"/>
            </w:r>
          </w:hyperlink>
        </w:p>
        <w:p w:rsidR="002D572F" w:rsidRPr="002D572F" w:rsidRDefault="001A2F17" w:rsidP="002D572F">
          <w:pPr>
            <w:pStyle w:val="11"/>
            <w:tabs>
              <w:tab w:val="right" w:leader="dot" w:pos="9345"/>
            </w:tabs>
            <w:spacing w:line="360" w:lineRule="auto"/>
            <w:rPr>
              <w:rFonts w:ascii="Times New Roman" w:eastAsiaTheme="minorEastAsia" w:hAnsi="Times New Roman" w:cs="Times New Roman"/>
              <w:noProof/>
              <w:sz w:val="26"/>
              <w:szCs w:val="26"/>
              <w:lang w:eastAsia="ru-RU"/>
            </w:rPr>
          </w:pPr>
          <w:hyperlink w:anchor="_Toc406837246" w:history="1">
            <w:r w:rsidR="002D572F" w:rsidRPr="002D572F">
              <w:rPr>
                <w:rStyle w:val="ac"/>
                <w:rFonts w:ascii="Times New Roman" w:eastAsia="Times New Roman" w:hAnsi="Times New Roman" w:cs="Times New Roman"/>
                <w:noProof/>
                <w:sz w:val="26"/>
                <w:szCs w:val="26"/>
                <w:lang w:eastAsia="ru-RU"/>
              </w:rPr>
              <w:t>Заключение</w:t>
            </w:r>
            <w:r w:rsidR="002D572F" w:rsidRPr="002D572F">
              <w:rPr>
                <w:rFonts w:ascii="Times New Roman" w:hAnsi="Times New Roman" w:cs="Times New Roman"/>
                <w:noProof/>
                <w:webHidden/>
                <w:sz w:val="26"/>
                <w:szCs w:val="26"/>
              </w:rPr>
              <w:tab/>
            </w:r>
            <w:r w:rsidR="002D572F" w:rsidRPr="002D572F">
              <w:rPr>
                <w:rFonts w:ascii="Times New Roman" w:hAnsi="Times New Roman" w:cs="Times New Roman"/>
                <w:noProof/>
                <w:webHidden/>
                <w:sz w:val="26"/>
                <w:szCs w:val="26"/>
              </w:rPr>
              <w:fldChar w:fldCharType="begin"/>
            </w:r>
            <w:r w:rsidR="002D572F" w:rsidRPr="002D572F">
              <w:rPr>
                <w:rFonts w:ascii="Times New Roman" w:hAnsi="Times New Roman" w:cs="Times New Roman"/>
                <w:noProof/>
                <w:webHidden/>
                <w:sz w:val="26"/>
                <w:szCs w:val="26"/>
              </w:rPr>
              <w:instrText xml:space="preserve"> PAGEREF _Toc406837246 \h </w:instrText>
            </w:r>
            <w:r w:rsidR="002D572F" w:rsidRPr="002D572F">
              <w:rPr>
                <w:rFonts w:ascii="Times New Roman" w:hAnsi="Times New Roman" w:cs="Times New Roman"/>
                <w:noProof/>
                <w:webHidden/>
                <w:sz w:val="26"/>
                <w:szCs w:val="26"/>
              </w:rPr>
            </w:r>
            <w:r w:rsidR="002D572F" w:rsidRPr="002D572F">
              <w:rPr>
                <w:rFonts w:ascii="Times New Roman" w:hAnsi="Times New Roman" w:cs="Times New Roman"/>
                <w:noProof/>
                <w:webHidden/>
                <w:sz w:val="26"/>
                <w:szCs w:val="26"/>
              </w:rPr>
              <w:fldChar w:fldCharType="separate"/>
            </w:r>
            <w:r w:rsidR="002D572F">
              <w:rPr>
                <w:rFonts w:ascii="Times New Roman" w:hAnsi="Times New Roman" w:cs="Times New Roman"/>
                <w:noProof/>
                <w:webHidden/>
                <w:sz w:val="26"/>
                <w:szCs w:val="26"/>
              </w:rPr>
              <w:t>20</w:t>
            </w:r>
            <w:r w:rsidR="002D572F" w:rsidRPr="002D572F">
              <w:rPr>
                <w:rFonts w:ascii="Times New Roman" w:hAnsi="Times New Roman" w:cs="Times New Roman"/>
                <w:noProof/>
                <w:webHidden/>
                <w:sz w:val="26"/>
                <w:szCs w:val="26"/>
              </w:rPr>
              <w:fldChar w:fldCharType="end"/>
            </w:r>
          </w:hyperlink>
        </w:p>
        <w:p w:rsidR="002D572F" w:rsidRPr="002D572F" w:rsidRDefault="001A2F17" w:rsidP="002D572F">
          <w:pPr>
            <w:pStyle w:val="11"/>
            <w:tabs>
              <w:tab w:val="right" w:leader="dot" w:pos="9345"/>
            </w:tabs>
            <w:spacing w:line="360" w:lineRule="auto"/>
            <w:rPr>
              <w:rFonts w:ascii="Times New Roman" w:eastAsiaTheme="minorEastAsia" w:hAnsi="Times New Roman" w:cs="Times New Roman"/>
              <w:noProof/>
              <w:sz w:val="26"/>
              <w:szCs w:val="26"/>
              <w:lang w:eastAsia="ru-RU"/>
            </w:rPr>
          </w:pPr>
          <w:hyperlink w:anchor="_Toc406837247" w:history="1">
            <w:r w:rsidR="002D572F" w:rsidRPr="002D572F">
              <w:rPr>
                <w:rStyle w:val="ac"/>
                <w:rFonts w:ascii="Times New Roman" w:eastAsiaTheme="majorEastAsia" w:hAnsi="Times New Roman" w:cs="Times New Roman"/>
                <w:bCs/>
                <w:noProof/>
                <w:sz w:val="26"/>
                <w:szCs w:val="26"/>
              </w:rPr>
              <w:t>Список литературы</w:t>
            </w:r>
            <w:r w:rsidR="002D572F" w:rsidRPr="002D572F">
              <w:rPr>
                <w:rFonts w:ascii="Times New Roman" w:hAnsi="Times New Roman" w:cs="Times New Roman"/>
                <w:noProof/>
                <w:webHidden/>
                <w:sz w:val="26"/>
                <w:szCs w:val="26"/>
              </w:rPr>
              <w:tab/>
            </w:r>
            <w:r w:rsidR="002D572F" w:rsidRPr="002D572F">
              <w:rPr>
                <w:rFonts w:ascii="Times New Roman" w:hAnsi="Times New Roman" w:cs="Times New Roman"/>
                <w:noProof/>
                <w:webHidden/>
                <w:sz w:val="26"/>
                <w:szCs w:val="26"/>
              </w:rPr>
              <w:fldChar w:fldCharType="begin"/>
            </w:r>
            <w:r w:rsidR="002D572F" w:rsidRPr="002D572F">
              <w:rPr>
                <w:rFonts w:ascii="Times New Roman" w:hAnsi="Times New Roman" w:cs="Times New Roman"/>
                <w:noProof/>
                <w:webHidden/>
                <w:sz w:val="26"/>
                <w:szCs w:val="26"/>
              </w:rPr>
              <w:instrText xml:space="preserve"> PAGEREF _Toc406837247 \h </w:instrText>
            </w:r>
            <w:r w:rsidR="002D572F" w:rsidRPr="002D572F">
              <w:rPr>
                <w:rFonts w:ascii="Times New Roman" w:hAnsi="Times New Roman" w:cs="Times New Roman"/>
                <w:noProof/>
                <w:webHidden/>
                <w:sz w:val="26"/>
                <w:szCs w:val="26"/>
              </w:rPr>
            </w:r>
            <w:r w:rsidR="002D572F" w:rsidRPr="002D572F">
              <w:rPr>
                <w:rFonts w:ascii="Times New Roman" w:hAnsi="Times New Roman" w:cs="Times New Roman"/>
                <w:noProof/>
                <w:webHidden/>
                <w:sz w:val="26"/>
                <w:szCs w:val="26"/>
              </w:rPr>
              <w:fldChar w:fldCharType="separate"/>
            </w:r>
            <w:r w:rsidR="002D572F">
              <w:rPr>
                <w:rFonts w:ascii="Times New Roman" w:hAnsi="Times New Roman" w:cs="Times New Roman"/>
                <w:noProof/>
                <w:webHidden/>
                <w:sz w:val="26"/>
                <w:szCs w:val="26"/>
              </w:rPr>
              <w:t>21</w:t>
            </w:r>
            <w:r w:rsidR="002D572F" w:rsidRPr="002D572F">
              <w:rPr>
                <w:rFonts w:ascii="Times New Roman" w:hAnsi="Times New Roman" w:cs="Times New Roman"/>
                <w:noProof/>
                <w:webHidden/>
                <w:sz w:val="26"/>
                <w:szCs w:val="26"/>
              </w:rPr>
              <w:fldChar w:fldCharType="end"/>
            </w:r>
          </w:hyperlink>
        </w:p>
        <w:p w:rsidR="00C6709C" w:rsidRPr="002D572F" w:rsidRDefault="00C6709C" w:rsidP="002D572F">
          <w:pPr>
            <w:spacing w:line="360" w:lineRule="auto"/>
            <w:rPr>
              <w:sz w:val="26"/>
              <w:szCs w:val="26"/>
            </w:rPr>
          </w:pPr>
          <w:r w:rsidRPr="002D572F">
            <w:rPr>
              <w:rFonts w:ascii="Times New Roman" w:hAnsi="Times New Roman" w:cs="Times New Roman"/>
              <w:bCs/>
              <w:sz w:val="26"/>
              <w:szCs w:val="26"/>
            </w:rPr>
            <w:fldChar w:fldCharType="end"/>
          </w:r>
        </w:p>
      </w:sdtContent>
    </w:sdt>
    <w:p w:rsidR="00C6709C" w:rsidRPr="002D572F" w:rsidRDefault="00C6709C">
      <w:pPr>
        <w:rPr>
          <w:rFonts w:ascii="Times New Roman" w:eastAsia="Times New Roman" w:hAnsi="Times New Roman" w:cs="Times New Roman"/>
          <w:b/>
          <w:bCs/>
          <w:sz w:val="26"/>
          <w:szCs w:val="26"/>
          <w:lang w:eastAsia="ru-RU"/>
        </w:rPr>
      </w:pPr>
    </w:p>
    <w:p w:rsidR="00C6709C" w:rsidRPr="002D572F" w:rsidRDefault="00C6709C">
      <w:pPr>
        <w:rPr>
          <w:rFonts w:ascii="Times New Roman" w:eastAsia="Times New Roman" w:hAnsi="Times New Roman" w:cs="Times New Roman"/>
          <w:b/>
          <w:bCs/>
          <w:sz w:val="26"/>
          <w:szCs w:val="26"/>
          <w:lang w:eastAsia="ru-RU"/>
        </w:rPr>
      </w:pPr>
      <w:r w:rsidRPr="002D572F">
        <w:rPr>
          <w:rFonts w:ascii="Times New Roman" w:eastAsia="Times New Roman" w:hAnsi="Times New Roman" w:cs="Times New Roman"/>
          <w:sz w:val="26"/>
          <w:szCs w:val="26"/>
          <w:lang w:eastAsia="ru-RU"/>
        </w:rPr>
        <w:br w:type="page"/>
      </w:r>
    </w:p>
    <w:p w:rsidR="00DF3A8C" w:rsidRPr="002D572F" w:rsidRDefault="00DF3A8C" w:rsidP="00C6709C">
      <w:pPr>
        <w:pStyle w:val="1"/>
        <w:jc w:val="center"/>
        <w:rPr>
          <w:rFonts w:ascii="Times New Roman" w:eastAsia="Times New Roman" w:hAnsi="Times New Roman" w:cs="Times New Roman"/>
          <w:color w:val="auto"/>
          <w:sz w:val="26"/>
          <w:szCs w:val="26"/>
          <w:lang w:eastAsia="ru-RU"/>
        </w:rPr>
      </w:pPr>
      <w:bookmarkStart w:id="1" w:name="_Toc406837242"/>
      <w:r w:rsidRPr="002D572F">
        <w:rPr>
          <w:rFonts w:ascii="Times New Roman" w:eastAsia="Times New Roman" w:hAnsi="Times New Roman" w:cs="Times New Roman"/>
          <w:color w:val="auto"/>
          <w:sz w:val="26"/>
          <w:szCs w:val="26"/>
          <w:lang w:eastAsia="ru-RU"/>
        </w:rPr>
        <w:lastRenderedPageBreak/>
        <w:t>В</w:t>
      </w:r>
      <w:r w:rsidR="00585828" w:rsidRPr="002D572F">
        <w:rPr>
          <w:rFonts w:ascii="Times New Roman" w:eastAsia="Times New Roman" w:hAnsi="Times New Roman" w:cs="Times New Roman"/>
          <w:color w:val="auto"/>
          <w:sz w:val="26"/>
          <w:szCs w:val="26"/>
          <w:lang w:eastAsia="ru-RU"/>
        </w:rPr>
        <w:t>ведение</w:t>
      </w:r>
      <w:bookmarkEnd w:id="1"/>
    </w:p>
    <w:p w:rsidR="00C6709C" w:rsidRPr="002D572F" w:rsidRDefault="00C6709C" w:rsidP="00C6709C">
      <w:pPr>
        <w:pStyle w:val="a6"/>
        <w:spacing w:line="360" w:lineRule="auto"/>
        <w:ind w:firstLine="709"/>
        <w:jc w:val="both"/>
        <w:rPr>
          <w:rFonts w:ascii="Times New Roman" w:hAnsi="Times New Roman" w:cs="Times New Roman"/>
          <w:b/>
          <w:bCs/>
          <w:sz w:val="26"/>
          <w:szCs w:val="26"/>
        </w:rPr>
      </w:pPr>
    </w:p>
    <w:p w:rsidR="00011599" w:rsidRPr="002D572F" w:rsidRDefault="00DF3A8C" w:rsidP="00C6709C">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xml:space="preserve">Рынок ценных бумаг является одним из системообразующих сегментов финансового сектора рыночной экономики. Посредством рынка ценных бумаг выполняются ключевые экономические задачи, как на макроуровне (эффективное перераспределение финансовых ресурсов между всеми хозяйствующими субъектами, включая государство), так и на микроуровне (построение финансовых потоков предприятия, наилучшим образом обслуживающих и развивающих его деятельность). </w:t>
      </w:r>
    </w:p>
    <w:p w:rsidR="00585828" w:rsidRPr="002D572F" w:rsidRDefault="00585828" w:rsidP="00C6709C">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Важность рынка ценных бумаг для всех отраслей и сфер деятельности, касающихся бизнеса, финансов, инвестиций, неуклонно возрастает. Постоянное перераспределение финансовых потоков привлекает к рынку большой интерес - интерес, который в первую очередь должен быть направлен на нужды самого государства. Данный вопрос обуславливает обострение внимания к системе налогового регулирования рынка ценных бумаг - проблеме материального интереса большей части юридических и физических лиц нашей страны.</w:t>
      </w:r>
    </w:p>
    <w:p w:rsidR="00585828" w:rsidRPr="002D572F" w:rsidRDefault="00585828" w:rsidP="00C6709C">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Роли налогового регулирования фондового рынка до настоящего времени не отводилось должного внимания. Причиной этому служит недостаточный опыт современного рынка ценных бумаг с одной стороны и с другой - трансформация налоговой системы, обусловленной проводимыми реформами.</w:t>
      </w:r>
    </w:p>
    <w:p w:rsidR="00011599" w:rsidRPr="002D572F" w:rsidRDefault="00011599" w:rsidP="00C6709C">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Все это обуславливает актуальность темы работы.</w:t>
      </w:r>
    </w:p>
    <w:p w:rsidR="00585828" w:rsidRPr="002D572F" w:rsidRDefault="00011599" w:rsidP="00C6709C">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Цель работы – изучение налогового регулирования ценных бумаг.</w:t>
      </w:r>
    </w:p>
    <w:p w:rsidR="00011599" w:rsidRPr="002D572F" w:rsidRDefault="00011599" w:rsidP="00C6709C">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Задачи работы:</w:t>
      </w:r>
    </w:p>
    <w:p w:rsidR="00011599" w:rsidRPr="002D572F" w:rsidRDefault="00011599" w:rsidP="00011599">
      <w:pPr>
        <w:pStyle w:val="a6"/>
        <w:numPr>
          <w:ilvl w:val="0"/>
          <w:numId w:val="10"/>
        </w:numPr>
        <w:spacing w:line="360" w:lineRule="auto"/>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изучить систему регулирования рынка ценных бумаг в целом;</w:t>
      </w:r>
    </w:p>
    <w:p w:rsidR="00011599" w:rsidRPr="002D572F" w:rsidRDefault="00011599" w:rsidP="00011599">
      <w:pPr>
        <w:pStyle w:val="a6"/>
        <w:numPr>
          <w:ilvl w:val="0"/>
          <w:numId w:val="10"/>
        </w:numPr>
        <w:spacing w:line="360" w:lineRule="auto"/>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изучить налоговое регулирование РЦБ;</w:t>
      </w:r>
    </w:p>
    <w:p w:rsidR="00011599" w:rsidRPr="002D572F" w:rsidRDefault="00011599" w:rsidP="00011599">
      <w:pPr>
        <w:pStyle w:val="a6"/>
        <w:numPr>
          <w:ilvl w:val="0"/>
          <w:numId w:val="10"/>
        </w:numPr>
        <w:spacing w:line="360" w:lineRule="auto"/>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выявить проблемы налогообложения участников РЦБ.</w:t>
      </w:r>
    </w:p>
    <w:p w:rsidR="002D572F" w:rsidRDefault="002D572F">
      <w:pPr>
        <w:rPr>
          <w:rFonts w:ascii="Times New Roman" w:eastAsiaTheme="majorEastAsia" w:hAnsi="Times New Roman" w:cs="Times New Roman"/>
          <w:b/>
          <w:bCs/>
          <w:sz w:val="26"/>
          <w:szCs w:val="26"/>
        </w:rPr>
      </w:pPr>
      <w:bookmarkStart w:id="2" w:name="_Toc348853773"/>
      <w:bookmarkStart w:id="3" w:name="_Toc406837243"/>
      <w:r>
        <w:rPr>
          <w:sz w:val="26"/>
          <w:szCs w:val="26"/>
        </w:rPr>
        <w:br w:type="page"/>
      </w:r>
    </w:p>
    <w:p w:rsidR="00DF3A8C" w:rsidRPr="002D572F" w:rsidRDefault="00DF3A8C" w:rsidP="00011599">
      <w:pPr>
        <w:pStyle w:val="12"/>
        <w:rPr>
          <w:sz w:val="26"/>
          <w:szCs w:val="26"/>
        </w:rPr>
      </w:pPr>
      <w:r w:rsidRPr="002D572F">
        <w:rPr>
          <w:sz w:val="26"/>
          <w:szCs w:val="26"/>
        </w:rPr>
        <w:lastRenderedPageBreak/>
        <w:t>1 Система регулирования рынка ценных бумаг</w:t>
      </w:r>
      <w:bookmarkEnd w:id="2"/>
      <w:bookmarkEnd w:id="3"/>
    </w:p>
    <w:p w:rsidR="00DF3A8C" w:rsidRPr="002D572F" w:rsidRDefault="00DF3A8C" w:rsidP="00DF3A8C">
      <w:pPr>
        <w:spacing w:after="0" w:line="324" w:lineRule="auto"/>
        <w:ind w:firstLine="709"/>
        <w:jc w:val="both"/>
        <w:rPr>
          <w:rFonts w:ascii="Times New Roman" w:hAnsi="Times New Roman" w:cs="Times New Roman"/>
          <w:bCs/>
          <w:iCs/>
          <w:sz w:val="26"/>
          <w:szCs w:val="26"/>
          <w:lang w:eastAsia="ru-RU"/>
        </w:rPr>
      </w:pP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bCs/>
          <w:iCs/>
          <w:sz w:val="26"/>
          <w:szCs w:val="26"/>
          <w:lang w:eastAsia="ru-RU"/>
        </w:rPr>
        <w:t>Регулирование рынка ценных бумаг</w:t>
      </w:r>
      <w:r w:rsidRPr="002D572F">
        <w:rPr>
          <w:rFonts w:ascii="Times New Roman" w:hAnsi="Times New Roman" w:cs="Times New Roman"/>
          <w:iCs/>
          <w:sz w:val="26"/>
          <w:szCs w:val="26"/>
          <w:lang w:eastAsia="ru-RU"/>
        </w:rPr>
        <w:t xml:space="preserve"> – это упорядочение деятельности всех его участников (эмитентов, инвесторов, профессиональных участников рынка ценных бумаг) и сделок между ними со стороны уполномоченных на это органов.</w:t>
      </w:r>
      <w:r w:rsidRPr="002D572F">
        <w:rPr>
          <w:rFonts w:ascii="Times New Roman" w:hAnsi="Times New Roman" w:cs="Times New Roman"/>
          <w:sz w:val="26"/>
          <w:szCs w:val="26"/>
          <w:lang w:eastAsia="ru-RU"/>
        </w:rPr>
        <w:t xml:space="preserve">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bCs/>
          <w:sz w:val="26"/>
          <w:szCs w:val="26"/>
          <w:lang w:eastAsia="ru-RU"/>
        </w:rPr>
        <w:t>Регулирование рынка ценных бумаг</w:t>
      </w:r>
      <w:r w:rsidRPr="002D572F">
        <w:rPr>
          <w:rFonts w:ascii="Times New Roman" w:hAnsi="Times New Roman" w:cs="Times New Roman"/>
          <w:sz w:val="26"/>
          <w:szCs w:val="26"/>
          <w:lang w:eastAsia="ru-RU"/>
        </w:rPr>
        <w:t xml:space="preserve"> (как и любого другого объекта) можно разделить на внутреннее и внешнее регулирование.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bCs/>
          <w:sz w:val="26"/>
          <w:szCs w:val="26"/>
          <w:lang w:eastAsia="ru-RU"/>
        </w:rPr>
        <w:t>Внутреннее регулирование</w:t>
      </w:r>
      <w:r w:rsidRPr="002D572F">
        <w:rPr>
          <w:rFonts w:ascii="Times New Roman" w:hAnsi="Times New Roman" w:cs="Times New Roman"/>
          <w:sz w:val="26"/>
          <w:szCs w:val="26"/>
          <w:lang w:eastAsia="ru-RU"/>
        </w:rPr>
        <w:t xml:space="preserve"> – это подчиненность участников рынка ценных бумаг собственным нормативным документам: уставу, правилам осуществления деятельности, стандартам деятельности и так далее.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bCs/>
          <w:sz w:val="26"/>
          <w:szCs w:val="26"/>
          <w:lang w:eastAsia="ru-RU"/>
        </w:rPr>
        <w:t>Внешнее регулирование</w:t>
      </w:r>
      <w:r w:rsidRPr="002D572F">
        <w:rPr>
          <w:rFonts w:ascii="Times New Roman" w:hAnsi="Times New Roman" w:cs="Times New Roman"/>
          <w:sz w:val="26"/>
          <w:szCs w:val="26"/>
          <w:lang w:eastAsia="ru-RU"/>
        </w:rPr>
        <w:t xml:space="preserve"> – это подчиненность деятельности участника рынка ценных бумаг нормативным актам государства, других организаций (например, саморегулируемых организаций), международным соглашения. К внешнему регулированию относится также общественное регулирование, то есть воздействие общества на участников рынка ценных бумаг с использованием механизма общественного мнения. Часто именно реакция широкой публики является причиной тех или иных регулирующих действий со стороны государства или саморегулируемых организаций.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Регулирование рынка ценных бумаг преследует достижение следующих целей: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Создание нормальных условий для функционирования рынка ценных бумаг, всех его участников; поддержание порядка на рынке ценных бумаг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Защита участников рынка ценных бумаг от недобросовестных действий, мошенничества, преступлений со стороны отдельных лиц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Обеспечение нормального ценообразования на рынке ценных бумаг на основе свободного формирования спроса и предложения финансовых инструментов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Стимулирование развития рынка ценных бумаг как механизма перераспределения денежных ресурсов, его отдельных сегментов, создание новых сегментов рынка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Использование рынка ценных бумаг для достижения специфических общественных целей (например, для повышения темпов роста экономического развития, разрешения кризиса неплатежей, снижения уровня безработицы и так далее).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Регулятивная инфраструктура – это одна из систем (наряду с информационной и депозитарно - клиринговой и регистраторской инфраструктурой рынка ценных бумаг), обеспечивающих нормальное функционирование рынка ценных бумаг.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Она включает в себя следующие компоненты: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Регулятивные органы (государственные регулирующие органы и саморегулируемые организации)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Регулятивные функции и процедуры (законодательные, регистрирующие, лицензионные, аттестационные, контрольные, надзорные и так далее)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Правовая инфраструктура (законодательная и нормативная база функционирования рынка ценных бумаг)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Этика фондового рынка </w:t>
      </w:r>
    </w:p>
    <w:p w:rsidR="00DF3A8C" w:rsidRPr="002D572F" w:rsidRDefault="00DF3A8C" w:rsidP="00011599">
      <w:pPr>
        <w:numPr>
          <w:ilvl w:val="0"/>
          <w:numId w:val="5"/>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Традиции и обычаи.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В некоторых странах традиции и обычаи играют очень существенную роль в регулировании фондового рынка. Примером может служить Великобритания, где традиции и иные неформальные способы регулирования, как, например, согласованный стиль поведения, договоренности, переговоры по разрешению сложных спорных ситуаций и пр. представляют собой один из методов регулирования рынка ценных бумаг. Можно привести пример влияния на рынок ценных бумаг и религиозных традиций. Так, например, в исламских странах религия не позволяет взимать проценты, в силу чего рынок долговых ценных бумаг там не может быть развит (появился даже такой термин – «исламские финансы»).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В России деловые традиции, обычаи делового оборота были прерваны и утеряны за годы существования директивной экономики. На их становление потребуются годы, а может быть – и десятилетия.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Государственное регулирование на рынке ценных бумаг можно разделить на прямое и косвенное регулирование.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Прямое (административное) государственное регулирование осуществляется посредством установления обязательных требований, предъявляемых к участникам рынка ценных бумаг, лицензирования профессиональной деятельности на рынке ценных бумаг, государственной регистрацией самих ценных бумаг, путем обеспечения гласности и равной информированности участников рынка, поддержания правопорядка и так далее.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Косвенное (экономическое) государственное регулирование рынка ценных бумаг осуществляется такими методами, как, например, проведение определенной налоговой политики, денежной политики, политики в области формирования и использования средств государственного бюджета, политики в области управления государственной собственностью и так далее. </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Государство на рынке ценных бумаг выполняет следующие функции: </w:t>
      </w:r>
    </w:p>
    <w:p w:rsidR="00DF3A8C" w:rsidRPr="002D572F" w:rsidRDefault="00DF3A8C" w:rsidP="00011599">
      <w:pPr>
        <w:numPr>
          <w:ilvl w:val="0"/>
          <w:numId w:val="6"/>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Идеологическая, то есть разработка концепции развития рынка ценных бумаг и программы ее реализации </w:t>
      </w:r>
    </w:p>
    <w:p w:rsidR="00DF3A8C" w:rsidRPr="002D572F" w:rsidRDefault="00DF3A8C" w:rsidP="00011599">
      <w:pPr>
        <w:numPr>
          <w:ilvl w:val="0"/>
          <w:numId w:val="6"/>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Законодательная, то есть законодательное и нормативное обеспечение функционирования рынка ценных бумаг </w:t>
      </w:r>
    </w:p>
    <w:p w:rsidR="00DF3A8C" w:rsidRPr="002D572F" w:rsidRDefault="00DF3A8C" w:rsidP="00011599">
      <w:pPr>
        <w:numPr>
          <w:ilvl w:val="0"/>
          <w:numId w:val="6"/>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Административная, то есть прямое административное регулирование участников рынка </w:t>
      </w:r>
    </w:p>
    <w:p w:rsidR="00DF3A8C" w:rsidRPr="002D572F" w:rsidRDefault="00DF3A8C" w:rsidP="00011599">
      <w:pPr>
        <w:numPr>
          <w:ilvl w:val="0"/>
          <w:numId w:val="6"/>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Стимулирующая, то есть использование всех возможных инструментов воздействия на рынок ценных бумаг с целью его развития, создание эффективного механизма перераспределения денежных ресурсов в наиболее важные и значимые сектора экономики </w:t>
      </w:r>
    </w:p>
    <w:p w:rsidR="00DF3A8C" w:rsidRPr="002D572F" w:rsidRDefault="00DF3A8C" w:rsidP="00011599">
      <w:pPr>
        <w:numPr>
          <w:ilvl w:val="0"/>
          <w:numId w:val="6"/>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Надзорная и контрольная, то есть предотвращение нарушений со стороны различных участников рынка ценных бумаг </w:t>
      </w:r>
    </w:p>
    <w:p w:rsidR="00DF3A8C" w:rsidRPr="002D572F" w:rsidRDefault="00DF3A8C" w:rsidP="00011599">
      <w:pPr>
        <w:numPr>
          <w:ilvl w:val="0"/>
          <w:numId w:val="6"/>
        </w:numPr>
        <w:spacing w:after="0" w:line="324" w:lineRule="auto"/>
        <w:ind w:left="0"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Арбитражная, то есть разрешение споров между участниками рынка ценных бумаг через систему судебных органов. </w:t>
      </w:r>
    </w:p>
    <w:p w:rsidR="00011599"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Таким образом, можно сказать, что государство является одним из основных регуляторов рынка ценных бумаг. Кроме этого государство выступает в качестве участника рынка ценных бумаг</w:t>
      </w:r>
      <w:r w:rsidR="00011599" w:rsidRPr="002D572F">
        <w:rPr>
          <w:rFonts w:ascii="Times New Roman" w:hAnsi="Times New Roman" w:cs="Times New Roman"/>
          <w:sz w:val="26"/>
          <w:szCs w:val="26"/>
          <w:lang w:eastAsia="ru-RU"/>
        </w:rPr>
        <w:t>.</w:t>
      </w:r>
    </w:p>
    <w:p w:rsidR="00DF3A8C" w:rsidRPr="002D572F"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 Основным органом государственной исполнительной власти Российской Федерации, осуществляющим регулирование рынка ценных бумаг, является </w:t>
      </w:r>
      <w:r w:rsidRPr="002D572F">
        <w:rPr>
          <w:rFonts w:ascii="Times New Roman" w:hAnsi="Times New Roman" w:cs="Times New Roman"/>
          <w:bCs/>
          <w:sz w:val="26"/>
          <w:szCs w:val="26"/>
          <w:lang w:eastAsia="ru-RU"/>
        </w:rPr>
        <w:t>Федеральная комиссия по рынку ценных бумаг (ФКЦБ)</w:t>
      </w:r>
      <w:r w:rsidRPr="002D572F">
        <w:rPr>
          <w:rFonts w:ascii="Times New Roman" w:hAnsi="Times New Roman" w:cs="Times New Roman"/>
          <w:sz w:val="26"/>
          <w:szCs w:val="26"/>
          <w:lang w:eastAsia="ru-RU"/>
        </w:rPr>
        <w:t>. Именно ФКЦБ</w:t>
      </w:r>
      <w:r w:rsidR="00011599" w:rsidRPr="002D572F">
        <w:rPr>
          <w:rFonts w:ascii="Times New Roman" w:hAnsi="Times New Roman" w:cs="Times New Roman"/>
          <w:sz w:val="26"/>
          <w:szCs w:val="26"/>
          <w:lang w:eastAsia="ru-RU"/>
        </w:rPr>
        <w:t>.</w:t>
      </w:r>
      <w:r w:rsidRPr="002D572F">
        <w:rPr>
          <w:rFonts w:ascii="Times New Roman" w:hAnsi="Times New Roman" w:cs="Times New Roman"/>
          <w:sz w:val="26"/>
          <w:szCs w:val="26"/>
          <w:lang w:eastAsia="ru-RU"/>
        </w:rPr>
        <w:t xml:space="preserve"> </w:t>
      </w:r>
    </w:p>
    <w:p w:rsidR="00011599" w:rsidRDefault="00DF3A8C"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Основные направления деятельности ФКЦБ России выражаются в ее функциях, </w:t>
      </w:r>
      <w:r w:rsidR="00011599" w:rsidRPr="002D572F">
        <w:rPr>
          <w:rFonts w:ascii="Times New Roman" w:hAnsi="Times New Roman" w:cs="Times New Roman"/>
          <w:sz w:val="26"/>
          <w:szCs w:val="26"/>
          <w:lang w:eastAsia="ru-RU"/>
        </w:rPr>
        <w:t>которые представлены на рисунке 1.</w:t>
      </w:r>
    </w:p>
    <w:p w:rsidR="002D572F" w:rsidRPr="002D572F" w:rsidRDefault="002D572F" w:rsidP="002D572F">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Основными органами, осуществляющими профессиональное регулирование рынка ценных бумаг являются саморегулируемые организации. Саморегулируемые организации – это добровольные объединения профессиональных участников рынка ценных бумаг по видам деятельности, приобретающие статус саморегулируемой организации на основании разрешения ФКЦБ, которые устанавливают обязательные для своих членов правила осуществления профессиональной деятельности, стандарты проведения операций с ценными бумагами и осуществляет контроль за их соблюдением. </w:t>
      </w:r>
    </w:p>
    <w:p w:rsidR="002D572F" w:rsidRPr="002D572F" w:rsidRDefault="002D572F" w:rsidP="00011599">
      <w:pPr>
        <w:spacing w:after="0" w:line="324" w:lineRule="auto"/>
        <w:ind w:firstLine="709"/>
        <w:jc w:val="both"/>
        <w:rPr>
          <w:rFonts w:ascii="Times New Roman" w:hAnsi="Times New Roman" w:cs="Times New Roman"/>
          <w:sz w:val="26"/>
          <w:szCs w:val="26"/>
          <w:lang w:eastAsia="ru-RU"/>
        </w:rPr>
      </w:pPr>
    </w:p>
    <w:p w:rsidR="00011599" w:rsidRPr="002D572F" w:rsidRDefault="00011599"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noProof/>
          <w:sz w:val="26"/>
          <w:szCs w:val="26"/>
          <w:lang w:eastAsia="ru-RU"/>
        </w:rPr>
        <w:drawing>
          <wp:inline distT="0" distB="0" distL="0" distR="0" wp14:anchorId="3DC8DA09" wp14:editId="5D615BF7">
            <wp:extent cx="5486400" cy="3200400"/>
            <wp:effectExtent l="0" t="57150" r="0" b="11430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DF3A8C" w:rsidRPr="002D572F" w:rsidRDefault="00011599" w:rsidP="00011599">
      <w:pPr>
        <w:spacing w:after="0" w:line="324" w:lineRule="auto"/>
        <w:ind w:firstLine="709"/>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Рисунок 1 – Функции ФКЦБ</w:t>
      </w:r>
      <w:r w:rsidR="00DF3A8C" w:rsidRPr="002D572F">
        <w:rPr>
          <w:rFonts w:ascii="Times New Roman" w:hAnsi="Times New Roman" w:cs="Times New Roman"/>
          <w:sz w:val="26"/>
          <w:szCs w:val="26"/>
          <w:lang w:eastAsia="ru-RU"/>
        </w:rPr>
        <w:t xml:space="preserve"> </w:t>
      </w:r>
    </w:p>
    <w:p w:rsidR="00011599" w:rsidRPr="002D572F" w:rsidRDefault="00011599" w:rsidP="00011599">
      <w:pPr>
        <w:spacing w:after="0" w:line="324" w:lineRule="auto"/>
        <w:ind w:firstLine="709"/>
        <w:jc w:val="both"/>
        <w:rPr>
          <w:rFonts w:ascii="Times New Roman" w:hAnsi="Times New Roman" w:cs="Times New Roman"/>
          <w:sz w:val="26"/>
          <w:szCs w:val="26"/>
          <w:lang w:eastAsia="ru-RU"/>
        </w:rPr>
      </w:pPr>
    </w:p>
    <w:p w:rsidR="00DF3A8C" w:rsidRPr="002D572F" w:rsidRDefault="00011599" w:rsidP="00011599">
      <w:pPr>
        <w:pStyle w:val="12"/>
        <w:rPr>
          <w:sz w:val="26"/>
          <w:szCs w:val="26"/>
        </w:rPr>
      </w:pPr>
      <w:bookmarkStart w:id="4" w:name="_Toc406837244"/>
      <w:r w:rsidRPr="002D572F">
        <w:rPr>
          <w:sz w:val="26"/>
          <w:szCs w:val="26"/>
        </w:rPr>
        <w:t>2. Налоговое регулирование рынка ценных бумаг</w:t>
      </w:r>
      <w:bookmarkEnd w:id="4"/>
      <w:r w:rsidRPr="002D572F">
        <w:rPr>
          <w:sz w:val="26"/>
          <w:szCs w:val="26"/>
        </w:rPr>
        <w:t xml:space="preserve"> </w:t>
      </w:r>
    </w:p>
    <w:p w:rsidR="00011599" w:rsidRPr="002D572F" w:rsidRDefault="00011599" w:rsidP="00011599">
      <w:pPr>
        <w:pStyle w:val="a6"/>
        <w:spacing w:line="360" w:lineRule="auto"/>
        <w:ind w:firstLine="709"/>
        <w:jc w:val="both"/>
        <w:rPr>
          <w:rFonts w:ascii="Times New Roman" w:hAnsi="Times New Roman" w:cs="Times New Roman"/>
          <w:sz w:val="26"/>
          <w:szCs w:val="26"/>
        </w:rPr>
      </w:pP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Ключевым элементом государственного регулирования фондового рынка любой страны является система налогообложения операций с ценными бумагами, принятая в ней.</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К налоговому механизму на фондовом рынке обычно предъявляются следующие требования:</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Размеры налогов (налоговая нагрузка) должны быть не только такими, чтобы пополнять государственную казну, но и стимулировать развитие тех предприятий, которые их уплачивают.</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Нельзя часто менять налогооблагаемую базу, она должна быть по возможности стабильна.</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Ни при каких обстоятельствах не следует допускать налогового сепаратизма, т.е. попыток местных органов власти, министерств, ведомств и других организаций по своему усмотрению толковать федеральные законы, вводить собственные инструкции, которые противоречат федеральному законодательству.</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Если коснуться того, как эти требования реализуются на российском рынке ценных бумаг, то ситуация, к сожалению, пока не внушает оптимизма.</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Налоговая нагрузка в России такова, что вряд ли может стимулировать динамичное развитие фондового рынка, при налоговой нагрузке свыше 30% ВВП темпы экономического роста низкие.</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Попытку доказать наличие зависимости между объемом налоговых поступлений и агрегированной величиной ставки налога на доходы физических и юридических лиц предпринял в 1974г. американский экономист Артур Лаффер. Если попытаться проиллюстрировать положение России в настоящее время с помощью кривой Лаффера,то наша страна находится в точке А. Уменьшение налогового бремени хотя бы на 5 % снизит сумму налоговых поступлений в бюджет.</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Поэтому существующая налоговая нагрузка до 50% выручки конкретного налогоплательщика является непомерно тяжелой для экономики России. В период перехода от финансовой стабилизации к промышленному подъему и наряду с текущими (неинвестиционными) раходами государства, она делает Россию страной с наиболее низкими и отрицательными значениями экономического роста.</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Если рассматривать те страны, где рынок ценных бумаг уже достиг значительной зрелости и его обороты (по сравнению с российским) на душу населения в десятки раз выше, то там налоговая нагрузка на участников фондового рынка ценных бумаг значительно ниже чем в России. В большинстве из них стимулируется развитие рынка корпоративных ценных бумаг (особенно рынка акций), максимально поощряются долгосрочные инвестиции в акции и другие корпоративные долговые бумаги (в основном облигации). В России подобного  рода практика пока отсутствует.</w:t>
      </w:r>
    </w:p>
    <w:p w:rsidR="00DF3A8C" w:rsidRPr="002D572F" w:rsidRDefault="00DF3A8C"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В вопросах налогообложения рынка ценных бумаг можно использовать опыт следующих стран: снижение налогообложения доходов акционеров применяют во Франции, Великобритании, Канаде, Японии, Италии и Бельгии; в Испании предусматриваются налоговые льготы для инвесторов, осуществляющих вложения средств в ценные бумаги коммерческих организаций; предоставляется налоговый кредит в объеме приобретаемых ценных бумаг или в части полученных дивидендов в Италии, Канаде, Франции и Финляндии; исключение из объектов налогообложения инвестиций в небольшие акционерные компании в Великобритании; освобождение от налога на прибыль, получаемую в процессе роста курсовой стоимости при инвестициях в акции на срок более трех лет в Дании; полная отмена налога на прибыль от роста курсовой стоимости в Нидерландах.</w:t>
      </w:r>
    </w:p>
    <w:p w:rsidR="00DF3A8C" w:rsidRPr="002D572F" w:rsidRDefault="005C4EB9" w:rsidP="0001159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Кроме того,</w:t>
      </w:r>
      <w:r w:rsidR="00DF3A8C" w:rsidRPr="002D572F">
        <w:rPr>
          <w:rFonts w:ascii="Times New Roman" w:hAnsi="Times New Roman" w:cs="Times New Roman"/>
          <w:sz w:val="26"/>
          <w:szCs w:val="26"/>
        </w:rPr>
        <w:t xml:space="preserve"> </w:t>
      </w:r>
      <w:r w:rsidRPr="002D572F">
        <w:rPr>
          <w:rFonts w:ascii="Times New Roman" w:hAnsi="Times New Roman" w:cs="Times New Roman"/>
          <w:sz w:val="26"/>
          <w:szCs w:val="26"/>
        </w:rPr>
        <w:t>д</w:t>
      </w:r>
      <w:r w:rsidR="00DF3A8C" w:rsidRPr="002D572F">
        <w:rPr>
          <w:rFonts w:ascii="Times New Roman" w:hAnsi="Times New Roman" w:cs="Times New Roman"/>
          <w:sz w:val="26"/>
          <w:szCs w:val="26"/>
        </w:rPr>
        <w:t>ля российского фондового рынка крайне актуальна проблема налогового сепаратизма, поскольку местными организациями власти, министерствами, ведомствами и другими организациями делаются попытки по своему усмотрению толковать федеральные законы, вводить собственные инструкции, противоречащие федеральному законодательству.</w:t>
      </w:r>
    </w:p>
    <w:p w:rsidR="00DF3A8C" w:rsidRPr="002D572F" w:rsidRDefault="00DF3A8C"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Многие вопросы, касающиеся налогообложения по ценным бумагам, рядом министерств и ведомств трактуются неоднозначно. Налоговые органы всех уровней постоянно пытаются или ввести какие-либо дополнительные , не предусмотренные законом, налоги на ценные бумаги, или издавать всевозможные инструкции и толковать законы таким образом, чтобы взимать дополнительные налоги, например:</w:t>
      </w:r>
      <w:r w:rsidR="005C4EB9" w:rsidRPr="002D572F">
        <w:rPr>
          <w:rFonts w:ascii="Times New Roman" w:hAnsi="Times New Roman" w:cs="Times New Roman"/>
          <w:sz w:val="26"/>
          <w:szCs w:val="26"/>
        </w:rPr>
        <w:t xml:space="preserve"> </w:t>
      </w:r>
      <w:r w:rsidRPr="002D572F">
        <w:rPr>
          <w:rFonts w:ascii="Times New Roman" w:hAnsi="Times New Roman" w:cs="Times New Roman"/>
          <w:sz w:val="26"/>
          <w:szCs w:val="26"/>
        </w:rPr>
        <w:t>одна налоговая инспекция пыталась взимать НДС при купле-продаже акций;</w:t>
      </w:r>
      <w:r w:rsidR="005C4EB9" w:rsidRPr="002D572F">
        <w:rPr>
          <w:rFonts w:ascii="Times New Roman" w:hAnsi="Times New Roman" w:cs="Times New Roman"/>
          <w:sz w:val="26"/>
          <w:szCs w:val="26"/>
        </w:rPr>
        <w:t xml:space="preserve"> </w:t>
      </w:r>
      <w:r w:rsidRPr="002D572F">
        <w:rPr>
          <w:rFonts w:ascii="Times New Roman" w:hAnsi="Times New Roman" w:cs="Times New Roman"/>
          <w:sz w:val="26"/>
          <w:szCs w:val="26"/>
        </w:rPr>
        <w:t>другая решила однажды, что простой вексель не является ценной бумагой и соответственно должен иначе облагаться налогами</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Согласно п. 4 ст. 230 НК РФ лица, признаваемые налоговыми агентами в соответствии со ст. 226.1 НК РФ, обязаны представлять в налоговый орган по месту своего учета следующую информацию:</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сведения о доходах, в отношении которых ими был исчислен и удержан НДФЛ;</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сведения о лицах, являющихся получателями этих доходов (при наличии такой информации);</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сведения о суммах налогов, начисленных, удержанных и перечисленных в бюджетную систему РФ за налоговый период.</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Данная информация представляется в порядке, установленном ст. 289 НК РФ для налоговых расчетов налоговыми агентами по налогу на прибыль организаций. Напомним, что согласно п. 4 ст. 289 НК РФ налоговые расчеты по итогам налогового периода представляются налоговыми агентами не позднее 28 марта года, следующего за истекшим налоговым периодом.</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Согласно подп. 3 п. 2 ст. 226.1 НК РФ налоговым агентом, в частности, признается российская организация, осуществляющая выплату налогоплательщику дохода по ценным бумагам, выпущенным этой организацией, права по которым учитываются в реестре ценных бумаг российской организации на дату, определенную в решении о выплате (об объявлении) дохода по таким ценным бумагам, на следующих счетах:</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лицевом счете владельца этих ценных бумаг;</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депозитном лицевом счете;</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лицевом счете доверительного управляющего, если этот доверительный управляющий не является профессиональным участником рынка ценных бумаг.</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В подп. 7 п. 2 ст. 226.1 НК РФ указано, кто признается налоговым агентом при выплате доходов по некоторым видам ценных бумаг, учитывающихся на счете депо иностранного номинального держателя, счете депо иностранного уполномоченного держателя и (или) счете депо депозитарных программ. Им как и ранее признается депозитарий, осуществляющий на основании депозитарного договора выплату (перечисление) налогоплательщику дохода в денежной форме по некоторым видам ценных бумаг, которые учитываются на этих счетах. Перечень ценных бумаг в отличие ранее установленного скорректирован. Теперь в него включены:</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государственные ценные бумаги РФ с обязательным централизованным хранением;</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государственные ценные бумаги субъектов РФ с обязательным централизованным хранением;</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муниципальные ценные бумаги с обязательным централизованным хранением независимо от даты государственной регистрации их выпуска;</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эмиссионные ценные бумаги с обязательным централизованным хранением, выпущенные российскими организациями, выпуск (государственная регистрация) которых или присвоение идентификационного номера которым осуществлены после 1 января 2012 г.;</w:t>
      </w:r>
    </w:p>
    <w:p w:rsidR="005C4EB9" w:rsidRPr="002D572F" w:rsidRDefault="005C4EB9" w:rsidP="005C4EB9">
      <w:pPr>
        <w:pStyle w:val="a6"/>
        <w:spacing w:line="360" w:lineRule="auto"/>
        <w:ind w:firstLine="709"/>
        <w:jc w:val="both"/>
        <w:rPr>
          <w:rFonts w:ascii="Times New Roman" w:hAnsi="Times New Roman" w:cs="Times New Roman"/>
          <w:sz w:val="26"/>
          <w:szCs w:val="26"/>
        </w:rPr>
      </w:pPr>
      <w:r w:rsidRPr="002D572F">
        <w:rPr>
          <w:rFonts w:ascii="Times New Roman" w:hAnsi="Times New Roman" w:cs="Times New Roman"/>
          <w:sz w:val="26"/>
          <w:szCs w:val="26"/>
        </w:rPr>
        <w:t>– иные эмиссионные ценные бумаги, выпущенные российскими организациями, за исключением эмиссионных ценных бумаг с обязательным централизованным хранением выпусков, государственная регистрация которых или присвоение идентификационного номера которым осуществлены до 1 января 2012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28 декабря 2013 года Президентом РФ был подписан Федеральный закон № 420-ФЗ "О внесении изменений в статью 27.5-3 Федерального закона "О рынке ценных бумаг" и части первую и вторую Налогового кодекса Российской Федерации" (далее – "Закон"). Закон официально опубликован 30 декабря 2013 года.</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Законом пересматривается порядок налогообложения операций с ценными бумагами, производными финансовыми инструментами (в терминологии, используемой НК РФ - финансовыми инструментами срочных сделок (ФИСС)), операций по уступке прав требования, сделок РЕПО, процентов по долговым обязательствам, а также некоторых иных операций.</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Большая часть изменений, вносимых Законом, для налога на добавленную стоимость вступает в силу с 1 апреля 2014 года, для налога на прибыль организаций и налога на доходы физических лиц – с 1 января 2015 года, однако для некоторых положений установлены специальные сроки для вступления в силу.</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Остановимся на ключевых положениях Закона.</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b/>
          <w:bCs/>
          <w:iCs/>
          <w:sz w:val="26"/>
          <w:szCs w:val="26"/>
          <w:lang w:eastAsia="ru-RU"/>
        </w:rPr>
        <w:t>I. Налогообложение операций с ФИСС и ценными бумагами</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b/>
          <w:bCs/>
          <w:iCs/>
          <w:sz w:val="26"/>
          <w:szCs w:val="26"/>
          <w:lang w:eastAsia="ru-RU"/>
        </w:rPr>
        <w:t>1. Исчисление налога на прибыль организаций</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изменен порядок определения для целей налогообложения цен по заключенным вне организованного рынка сделкам с ценными бумагами, обращающимися на организованном рынке.</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 отношении указанных сделок, не признаваемых контролируемыми по правилам трансфертного ценообразования,</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1. С 01.01.2015 г. – доходы (расходы) по таким сделкам определяются исходя из фактической цены сделки при условии, если такая цена находится в пределах интервальных значений цен сделок, заключенных в отношении таких же ценных бумаг на организованных торгах. В случае, если фактическая цена не соответствует интервальным значениям, налогоплательщик вправе по своему выбору признать доходы (расходы) либо исходя из интервальных значений цен, либо исходя из расчетной цены сделки, определенной с учетом применения методов, предусмотренных правилами трансфертного ценообразования (второй способ применяется при условии, если заключаемая сделка или деятельность покупателя (продавца) отвечают ряду дополнительных требований, предусмотренных НК РФ);</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2. С 01.01.2016 г. – доходы (расходы) по таким сделкам во всех случаях определяются исходя из фактической цены сделки.</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 отношении указанных сделок, признаваемых контролируемыми по правилам трансфертного ценообразования,</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3. С 01.01.2015 г. - доходы (расходы) определяются исходя из фактической цены сделки при условии, если такая цена находится в пределах интервальных значений цен сделок, заключенных в отношении таких же ценных бумаг на организованных торгах. В случае, если фактическая цена не соответствует интервальным значениям, налогоплательщик вправе по своему выбору признать доходы (расходы), либо исходя из интервальных значений цен, либо исходя из расчетной цены сделки, определенной с учетом применения методов, предусмотренных правилами трансфертного ценообразования (при соблюдении ряда дополнительных условий) (пп. 12, 14-17, 19 ст. 280 НК РФ, п. 3 ст. 6 Закона);</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при приобретении обращающихся эмиссионных ценных бумаг при их размещении, а также при первом после размещения предложении этих ценных бумаг неограниченному кругу лиц фактическая цена приобретения таких ценных бумаг во всех случаях признается рыночной ценой и принимается для целей налогообложения (п. 13 ст. 280 НК РФ, вступает в силу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затраты эмитента на погашение собственных эмиссионных ценных бумаг, обращающихся на организованном рынке ценных бумаг, в размере разницы между стоимостью их погашения и их номинальной стоимостью учитываются в составе внереализационных расходов по налогу на прибыль (пп. 3.1. п. 1 ст. 265 НК РФ, вступает в силу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изменен порядок применения для целей налогообложения цен по сделкам с ФИСС:</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1. С 01.01.2014 г. - в отношении обращающихся ФИСС фактическая цена сделки для целей налогообложения признается рыночной и применяется в целях налогообложения (п. 1 ст. 305 НК РФ);</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2. С 01.01.2016 г. – в отношении необращающихся ФИСС фактическая цена сделки признается рыночной и применяется для целей налогообложения при условии, если такая сделка не является контролируемой по правилам трансфертного ценообразования. Если сделка является контролируемой, то для целей налогообложения принимается фактическая цена при условии, если такая цена отличается не более чем на 20% от расчетной стоимости ФИСС (п. 2 и п. 4 ст. 305 НК РФ);</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доходы и расходы по операциям с ценными бумагами, обращающимися на организованном рынке, а также доходы и расходы по операциям с некоторыми видами необращающихся ФИСС, совершенных с центральным контрагентом, учитываются в рамках общей (основной) налоговой базы, а не в рамках отдельных баз (п. 21 ст. 280 НК РФ, вступает в силу 01.01.2015 г., п. 5 ст. 301 НК РФ, вступает в силу 01.01.2014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доходы и расходы по операциям с ценными бумагами, не обращающимися на организованном рынке, а также с необращающимися ФИСС учитываются совокупно в рамках отдельной налоговой базы (п. 22 ст. 280 НК РФ, вступает в силу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метод ЛИФО не применяется при ведении налогового учета операций с ценными бумагами (ч. 3 ст. 329 НК РФ, вступает в силу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уточнено понятие ФИСС для целей налогообложения. ФИСС признается любой договор, являющийся производным финансовым инструментом в соответствии с законодательством РФ о рынке ценных бумаг, за исключением производных финансовых инструментов, требования по которым не подлежат судебной защите в соответствии с законодательством РФ (речь идет о ст. 1062 ГК РФ) либо в соответствии с применимым иностранным правом. Таким образом, с учетом изменений в качестве ФИСС признаются и производные финансовые инструменты, базовым активом которых является официальная статистическая информация, а также погодные и иные подобные ПФИ (п. 1 ст. 301 НК РФ, вступает в силу 01.01.2014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b/>
          <w:bCs/>
          <w:iCs/>
          <w:sz w:val="26"/>
          <w:szCs w:val="26"/>
          <w:lang w:eastAsia="ru-RU"/>
        </w:rPr>
        <w:t xml:space="preserve">2. Исчисление налога на добавленную стоимость </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конкретизирован порядок расчета пропорции, применяемой для расчета суммы "входного" НДС, который может быть принят к вычету или учтен в расходах по налогу на прибыль, при совершении операций с ФИСС и ЦБ. Законом, в частности, уточняются правила определения величин, используемых для расчета указанной пропорции, в том числе чистого дохода по расчетным ФИСС и стоимости ценных бумаг, операции по реализации которых освобождены от НДС (п. 4 и п 4.1. ст. 170 НК РФ, вступают в силу с 01.04.2014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при совершении операций, не подлежащих налогообложению (освобожденных от налогообложения) в соответствии со ст. 149 НК РФ (к таким операциям относятся, в частности, операции с ценными бумагами и большинством видов ФИСС), налогоплательщики освобождаются от обязанности составлять счет-фактуры, а также вносить сведения о таких операциях в книги покупок и продаж (п. 3 ст. 169 НК РФ, вступает в силу 01.01.2014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от обложения НДС освобождаются операции по уступке (переуступке) прав (требований) по обязательствам, возникающим на основании ФИСС, за исключением финансовых инструментов, реализация базового актива которых подлежит обложению НДС (пп. 30 п. 2 ст. 149 НК РФ, вступает в силу с 01.01.2014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b/>
          <w:bCs/>
          <w:iCs/>
          <w:sz w:val="26"/>
          <w:szCs w:val="26"/>
          <w:lang w:eastAsia="ru-RU"/>
        </w:rPr>
        <w:t xml:space="preserve">II. Учет процентов по долговым обязательствам </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законом отменяются требования по нормированию процентов, учитываемых в составе расходов по налогу на прибыль, в отношении большинства видов долговых обязательств.</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 соответствии с новыми правилами при исчислении налога на прибыль в отношении долговых обязательств доходом (расходом) будет признаваться проценты, исчисленные исходя из фактической ставки по этому обязательству, за исключением:</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1. Долговых обязательств, возникших в результате сделок, признаваемых контролируемыми в соответствии с правилами о трансфертном ценообразовании;</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2. Контролируемой задолженности перед иностранной организацией, в отношении которой применяется правило тонкой капитализации.</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По долговым обязательствам, возникающим в результате контролируемой сделки, доходом (расходом) будет признаваться процент, исчисленный в соответствии с правилами трансфертного ценообразования. В случае если одной из сторон такой контролируемой сделки является банк, то налогоплательщик вправе признать доходом (расходом) фактический процент, при условии, если такой процент соответствует интервалам ставок процентов, определяемых в соответствии с НК РФ (пп. 1 – 1.3. ст. 269 НК РФ, вступают в силу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законом уточнятся момент признания доходов и расходов в виде процентов по долговому обязательству при применении метода начисления по налогу на прибыль. Так, по договорам займа или иным аналогичным договорам, срок действия которых приходится более чем на один отчетный (налоговый) период, доходы и расходы признаются на конец каждого месяца соответствующего отчетного (налогового) периода независимо от даты (сроков) выплаты процентов, предусмотренных договором (п. 6 ст. 271 НК РФ и п. 8 ст. 272 НК РФ, п. 4 ст. 328 НК РФ, вступают в силу 01.01.2014 г.). Эти положения направлены на преодоление правовой неопределенности, возникшей вследствие неоднозначного толкования Президиумом ВАС РФ норм НК РФ о моменте признания в составе расходов процентов по долговому обязательству, выраженному в Постановлении по делу компании СаНиВа (от 24.11.2009 г. № 11200/09).</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b/>
          <w:bCs/>
          <w:iCs/>
          <w:sz w:val="26"/>
          <w:szCs w:val="26"/>
          <w:lang w:eastAsia="ru-RU"/>
        </w:rPr>
        <w:t>III. Уступка прав требования</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при уступке с убытком прав требования по обязательству, по которому еще не наступил срок платежа, налогоплательщик вправе учесть в составе расходов по налогу на прибыль полученный убыток в размере, не превышающем сумму процентов, которые могут быть начислены на сумму уступаемого требования за период с момента уступки до истечения срока платежа по уступаемому требованию,</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1. Исходя из определяемых в соответствии с НК РФ максимальных ставок процентов, применяемых при учете в составе расходов процентов по контролируемым сделкам, одной из сторон которых является банк, либо</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2. Исходя из ставок, величина которых подтверждается налогоплательщиком в соответствии с методами, установленными правилами трансфертного ценообразования.</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Налогоплательщик вправе применить любой из вышеуказанных способов по своему усмотрению, закрепив свой выбор в учетной политике (п. 1 ст. 279 НК РФ, вступает в силу с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b/>
          <w:bCs/>
          <w:iCs/>
          <w:sz w:val="26"/>
          <w:szCs w:val="26"/>
          <w:lang w:eastAsia="ru-RU"/>
        </w:rPr>
        <w:t>IV. Прочие изменения</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 закон вводится институт инвестиционных налоговых вычетов для целей исчисления налога на доходы физических лиц. Инвестиционные налоговые вычеты предоставляются налогоплательщикам при определении дохода от операций с ценными бумагами и ФИСС. Инвестиционный налоговый вычет предоставляется:</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1. При продаже обращающихся ценных бумаг, находящихся в собственности налогоплательщика более 3 лет и приобретенных не ранее 01.01.2014 г., – в сумме полученного дохода (положительного финансового результата), но не более 3 000 000 рублей за каждый полный год нахождения соответствующих бумаг в собственности налогоплательщика;</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2. При осуществлении операций по индивидуальному инвестиционному счету. В этом случае налогоплательщик вправе претендовать либо на налоговый вычет при внесении денежных средств на инвестиционный счет в размере не более 400 000 рублей в год, либо на налоговый вычет при получении денежных средств с инвестиционного счета в размере доходов, полученных от операций, учитываемых на инвестиционном счете, при условии, если срок действия договора инвестиционного счета составлял не менее 3 лет (ст. 219.1 НК РФ, вступает в силу 01.01.2015 г.);</w:t>
      </w:r>
    </w:p>
    <w:p w:rsidR="005C4EB9" w:rsidRPr="002D572F" w:rsidRDefault="005C4EB9" w:rsidP="005C4EB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для целей исчисления налога на прибыль не признается доходом имущество и имущественные права, полученные в пределах вклада (взноса) участником хозяйственного общества или товарищества (его правопреемником или наследником) при уменьшении уставного капитала в соответствии с законодательством Российской Федерации (пп. 4 п. 1 ст. 251 НК РФ, вступает в силу 01.01.2014).</w:t>
      </w:r>
    </w:p>
    <w:p w:rsidR="00DF3A8C" w:rsidRPr="002D572F" w:rsidRDefault="00DF3A8C" w:rsidP="00011599">
      <w:pPr>
        <w:pStyle w:val="a6"/>
        <w:spacing w:line="360" w:lineRule="auto"/>
        <w:ind w:firstLine="709"/>
        <w:jc w:val="both"/>
        <w:rPr>
          <w:rFonts w:ascii="Times New Roman" w:hAnsi="Times New Roman" w:cs="Times New Roman"/>
          <w:sz w:val="26"/>
          <w:szCs w:val="26"/>
        </w:rPr>
      </w:pPr>
    </w:p>
    <w:p w:rsidR="00A97620" w:rsidRPr="002D572F" w:rsidRDefault="005C4EB9" w:rsidP="005C4EB9">
      <w:pPr>
        <w:pStyle w:val="12"/>
        <w:rPr>
          <w:rFonts w:eastAsia="Times New Roman"/>
          <w:sz w:val="26"/>
          <w:szCs w:val="26"/>
          <w:lang w:eastAsia="ru-RU"/>
        </w:rPr>
      </w:pPr>
      <w:bookmarkStart w:id="5" w:name="_Toc406837245"/>
      <w:r w:rsidRPr="002D572F">
        <w:rPr>
          <w:rFonts w:eastAsia="Times New Roman"/>
          <w:sz w:val="26"/>
          <w:szCs w:val="26"/>
          <w:lang w:eastAsia="ru-RU"/>
        </w:rPr>
        <w:t xml:space="preserve">3. </w:t>
      </w:r>
      <w:r w:rsidR="00DF3A8C" w:rsidRPr="002D572F">
        <w:rPr>
          <w:rFonts w:eastAsia="Times New Roman"/>
          <w:sz w:val="26"/>
          <w:szCs w:val="26"/>
          <w:lang w:eastAsia="ru-RU"/>
        </w:rPr>
        <w:t>Проблемы налогообложения участников рынка ценных бумаг в РФ</w:t>
      </w:r>
      <w:bookmarkEnd w:id="5"/>
      <w:r w:rsidR="00DF3A8C" w:rsidRPr="002D572F">
        <w:rPr>
          <w:rFonts w:eastAsia="Times New Roman"/>
          <w:sz w:val="26"/>
          <w:szCs w:val="26"/>
          <w:lang w:eastAsia="ru-RU"/>
        </w:rPr>
        <w:t xml:space="preserve"> </w:t>
      </w:r>
    </w:p>
    <w:p w:rsidR="00A97620" w:rsidRPr="002D572F" w:rsidRDefault="00A97620" w:rsidP="00011599">
      <w:pPr>
        <w:pStyle w:val="a6"/>
        <w:spacing w:line="360" w:lineRule="auto"/>
        <w:ind w:firstLine="709"/>
        <w:jc w:val="both"/>
        <w:rPr>
          <w:rFonts w:ascii="Times New Roman" w:eastAsia="Times New Roman" w:hAnsi="Times New Roman" w:cs="Times New Roman"/>
          <w:sz w:val="26"/>
          <w:szCs w:val="26"/>
          <w:lang w:eastAsia="ru-RU"/>
        </w:rPr>
      </w:pP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Налог - это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w:t>
      </w:r>
      <w:bookmarkStart w:id="6" w:name="Арбитражный_управляющий_Ческидов_Роман_П"/>
      <w:r w:rsidRPr="002D572F">
        <w:rPr>
          <w:rFonts w:ascii="Times New Roman" w:eastAsia="Times New Roman" w:hAnsi="Times New Roman" w:cs="Times New Roman"/>
          <w:sz w:val="26"/>
          <w:szCs w:val="26"/>
          <w:lang w:eastAsia="ru-RU"/>
        </w:rPr>
        <w:fldChar w:fldCharType="begin"/>
      </w:r>
      <w:r w:rsidRPr="002D572F">
        <w:rPr>
          <w:rFonts w:ascii="Times New Roman" w:eastAsia="Times New Roman" w:hAnsi="Times New Roman" w:cs="Times New Roman"/>
          <w:sz w:val="26"/>
          <w:szCs w:val="26"/>
          <w:lang w:eastAsia="ru-RU"/>
        </w:rPr>
        <w:instrText xml:space="preserve"> HYPERLINK "http://arbir.ru/articles/a_3485.htm" </w:instrText>
      </w:r>
      <w:r w:rsidRPr="002D572F">
        <w:rPr>
          <w:rFonts w:ascii="Times New Roman" w:eastAsia="Times New Roman" w:hAnsi="Times New Roman" w:cs="Times New Roman"/>
          <w:sz w:val="26"/>
          <w:szCs w:val="26"/>
          <w:lang w:eastAsia="ru-RU"/>
        </w:rPr>
        <w:fldChar w:fldCharType="separate"/>
      </w:r>
      <w:r w:rsidRPr="002D572F">
        <w:rPr>
          <w:rFonts w:ascii="Times New Roman" w:eastAsia="Times New Roman" w:hAnsi="Times New Roman" w:cs="Times New Roman"/>
          <w:color w:val="000000"/>
          <w:sz w:val="26"/>
          <w:szCs w:val="26"/>
          <w:lang w:eastAsia="ru-RU"/>
        </w:rPr>
        <w:t>го ведения или оперативно</w:t>
      </w:r>
      <w:r w:rsidRPr="002D572F">
        <w:rPr>
          <w:rFonts w:ascii="Times New Roman" w:eastAsia="Times New Roman" w:hAnsi="Times New Roman" w:cs="Times New Roman"/>
          <w:sz w:val="26"/>
          <w:szCs w:val="26"/>
          <w:lang w:eastAsia="ru-RU"/>
        </w:rPr>
        <w:fldChar w:fldCharType="end"/>
      </w:r>
      <w:r w:rsidRPr="002D572F">
        <w:rPr>
          <w:rFonts w:ascii="Times New Roman" w:eastAsia="Times New Roman" w:hAnsi="Times New Roman" w:cs="Times New Roman"/>
          <w:sz w:val="26"/>
          <w:szCs w:val="26"/>
          <w:lang w:eastAsia="ru-RU"/>
        </w:rPr>
        <w:t xml:space="preserve">го управления денежных средств в целях финансового обеспечения деятельности государства и (или) муниципальных образований . Налогообложение субъектов рынка ценных бумаг до настоящего времени не осуществляется на основе системного подхода. Есть проблемы в реализации некоторых документов в части налогообложения рынка ценных бумаг, отсутствует прогноз и учет последствий введения, изменения или отмены тех или иных налогов для субъектов рынка ценных бумаг, существует дифференциация налогообложения в зависимости от </w:t>
      </w:r>
      <w:r w:rsidR="005C4EB9" w:rsidRPr="002D572F">
        <w:rPr>
          <w:rFonts w:ascii="Times New Roman" w:eastAsia="Times New Roman" w:hAnsi="Times New Roman" w:cs="Times New Roman"/>
          <w:sz w:val="26"/>
          <w:szCs w:val="26"/>
          <w:lang w:eastAsia="ru-RU"/>
        </w:rPr>
        <w:t>вида субъектов рынка.</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Все это позволяет утверждать, что вследствие отсутствия системного подхода к организации налогообложения субъектов рынка ценных бумаг регулятивная функция налогов в этой сфере мало используется в практической деятельности органов государственной власти, не нашла должного отражения в действующем зако</w:t>
      </w:r>
      <w:r w:rsidR="005C4EB9" w:rsidRPr="002D572F">
        <w:rPr>
          <w:rFonts w:ascii="Times New Roman" w:eastAsia="Times New Roman" w:hAnsi="Times New Roman" w:cs="Times New Roman"/>
          <w:sz w:val="26"/>
          <w:szCs w:val="26"/>
          <w:lang w:eastAsia="ru-RU"/>
        </w:rPr>
        <w:t>нодательстве и правовой науке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Таким образом, проблемы налогообложения участников рынка ценных бумаг являются на сегодняшний день достаточно актуальными. В связи с развивающимся характером российского рынка ценных бумаг законодательство в части правил налогообложения при совершении операций с ценным</w:t>
      </w:r>
      <w:hyperlink r:id="rId14" w:history="1">
        <w:r w:rsidRPr="002D572F">
          <w:rPr>
            <w:rFonts w:ascii="Times New Roman" w:eastAsia="Times New Roman" w:hAnsi="Times New Roman" w:cs="Times New Roman"/>
            <w:color w:val="000000"/>
            <w:sz w:val="26"/>
            <w:szCs w:val="26"/>
            <w:lang w:eastAsia="ru-RU"/>
          </w:rPr>
          <w:t>и бумагами постоянно сове</w:t>
        </w:r>
      </w:hyperlink>
      <w:r w:rsidRPr="002D572F">
        <w:rPr>
          <w:rFonts w:ascii="Times New Roman" w:eastAsia="Times New Roman" w:hAnsi="Times New Roman" w:cs="Times New Roman"/>
          <w:sz w:val="26"/>
          <w:szCs w:val="26"/>
          <w:lang w:eastAsia="ru-RU"/>
        </w:rPr>
        <w:t xml:space="preserve">ршенствуется. В среднесрочной перспективе предполагается решить некоторые проблемы, связанные с налогообложением прибыли при совершении организациями операций с ценными бумагами. В настоящее время существует немало проблем в налогообложении участников рынка ценных бумаг.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 xml:space="preserve">Они включают в себя, во-первых, проблемы, связанные с налогообложением налогом на прибыль при совершении организациями операций с ценными бумагами.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Во-вторых, проблемы, связанные с процессом расчета и удержания налоговым агентом подоходного налога с физических лиц по операциям с ценными бумагами.</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 xml:space="preserve"> К проблемам, связанным с налогообложением налога на прибыль можно отнести следующие проблемы: порядок определения рыночной цены ценной бумаги в случае ее реализации (если ценная бумага реализована на торгах, необходимо использовать цену на торгах, состоявшихся до конца отчетного периода, в котором была заключена сделка с ценной бумагой); не урегулирован вопрос с определением рыночной (расчетной) цены ценной бумаги при ее покупке или продаже через международные электронные системы (следует рассмотреть вопрос о признании рыночной цены по месту продажи или по месту приобретения ценной бумаги); регулирования налогообложения при уступке прав требования долга; с </w:t>
      </w:r>
      <w:hyperlink r:id="rId15" w:history="1">
        <w:r w:rsidRPr="002D572F">
          <w:rPr>
            <w:rFonts w:ascii="Times New Roman" w:eastAsia="Times New Roman" w:hAnsi="Times New Roman" w:cs="Times New Roman"/>
            <w:color w:val="000000"/>
            <w:sz w:val="26"/>
            <w:szCs w:val="26"/>
            <w:lang w:eastAsia="ru-RU"/>
          </w:rPr>
          <w:t>налогообложением закладны</w:t>
        </w:r>
      </w:hyperlink>
      <w:r w:rsidRPr="002D572F">
        <w:rPr>
          <w:rFonts w:ascii="Times New Roman" w:eastAsia="Times New Roman" w:hAnsi="Times New Roman" w:cs="Times New Roman"/>
          <w:sz w:val="26"/>
          <w:szCs w:val="26"/>
          <w:lang w:eastAsia="ru-RU"/>
        </w:rPr>
        <w:t xml:space="preserve">х, выпускаемых в обеспечение ипотечных кредитов (учитывая, что в основе договора ипотеки и закладной лежат одни и те же отношения займа, представляется целесообразным применять одинаковые правила </w:t>
      </w:r>
      <w:r w:rsidR="005C4EB9" w:rsidRPr="002D572F">
        <w:rPr>
          <w:rFonts w:ascii="Times New Roman" w:eastAsia="Times New Roman" w:hAnsi="Times New Roman" w:cs="Times New Roman"/>
          <w:sz w:val="26"/>
          <w:szCs w:val="26"/>
          <w:lang w:eastAsia="ru-RU"/>
        </w:rPr>
        <w:t>налогообложения)</w:t>
      </w:r>
      <w:r w:rsidRPr="002D572F">
        <w:rPr>
          <w:rFonts w:ascii="Times New Roman" w:eastAsia="Times New Roman" w:hAnsi="Times New Roman" w:cs="Times New Roman"/>
          <w:sz w:val="26"/>
          <w:szCs w:val="26"/>
          <w:lang w:eastAsia="ru-RU"/>
        </w:rPr>
        <w:t>; налогообложение операций с финан</w:t>
      </w:r>
      <w:hyperlink r:id="rId16" w:history="1">
        <w:r w:rsidRPr="002D572F">
          <w:rPr>
            <w:rFonts w:ascii="Times New Roman" w:eastAsia="Times New Roman" w:hAnsi="Times New Roman" w:cs="Times New Roman"/>
            <w:color w:val="000000"/>
            <w:sz w:val="26"/>
            <w:szCs w:val="26"/>
            <w:lang w:eastAsia="ru-RU"/>
          </w:rPr>
          <w:t>совыми инструментами сроч</w:t>
        </w:r>
      </w:hyperlink>
      <w:r w:rsidRPr="002D572F">
        <w:rPr>
          <w:rFonts w:ascii="Times New Roman" w:eastAsia="Times New Roman" w:hAnsi="Times New Roman" w:cs="Times New Roman"/>
          <w:sz w:val="26"/>
          <w:szCs w:val="26"/>
          <w:lang w:eastAsia="ru-RU"/>
        </w:rPr>
        <w:t xml:space="preserve">ных сделок.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 xml:space="preserve">К проблемам, связанным с процессом расчета подоходного налога с физических лиц относятся следующие: проблема определения налогового статуса налогоплательщика: множественность режимов налогообложения, неоднократность процедуры установления налогового статуса (установление единого порядка налогообложения для всех категорий физических лиц (вне зависимости от того, резидент или нерезидент, инвалид или не инвалид, основной источник дохода или неосновной)); проблема определения доходов от реализации ценных бумаг; проблема определения расходов на приобретение ценных бумаг: проблема документального подтверждения затрат, проблема установления затрат по ценным бумагам, приобретенным на стороне, проблема определения затрат по бумагам, приобретенным на разных торговых площадках, проблема учета расходов, связанных с продажей бумаг; проблема соотнесения доходов и расходов по операциям с ценными бумагами; проблема исчисления налогооблагаемой базы накопленным итогом. </w:t>
      </w:r>
    </w:p>
    <w:p w:rsidR="005C4EB9" w:rsidRPr="002D572F" w:rsidRDefault="00DF3A8C" w:rsidP="00011599">
      <w:pPr>
        <w:pStyle w:val="a6"/>
        <w:spacing w:line="360" w:lineRule="auto"/>
        <w:ind w:firstLine="709"/>
        <w:jc w:val="both"/>
        <w:rPr>
          <w:rFonts w:ascii="Times New Roman" w:eastAsia="Times New Roman" w:hAnsi="Times New Roman" w:cs="Times New Roman"/>
          <w:color w:val="000000"/>
          <w:sz w:val="26"/>
          <w:szCs w:val="26"/>
          <w:lang w:eastAsia="ru-RU"/>
        </w:rPr>
      </w:pPr>
      <w:r w:rsidRPr="002D572F">
        <w:rPr>
          <w:rFonts w:ascii="Times New Roman" w:eastAsia="Times New Roman" w:hAnsi="Times New Roman" w:cs="Times New Roman"/>
          <w:sz w:val="26"/>
          <w:szCs w:val="26"/>
          <w:lang w:eastAsia="ru-RU"/>
        </w:rPr>
        <w:t>Решение всех поставленных проблем заключается, в первую очередь, в изменении налогового законодательства по данным вопросам. Существует необходимость во внесении четких определений. Должны регулироваться спорные ситуации, возникающие в процессе налогооблож</w:t>
      </w:r>
      <w:r w:rsidRPr="002D572F">
        <w:rPr>
          <w:rFonts w:ascii="Times New Roman" w:eastAsia="Times New Roman" w:hAnsi="Times New Roman" w:cs="Times New Roman"/>
          <w:color w:val="000000"/>
          <w:sz w:val="26"/>
          <w:szCs w:val="26"/>
          <w:lang w:eastAsia="ru-RU"/>
        </w:rPr>
        <w:t xml:space="preserve">ения.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color w:val="000000"/>
          <w:sz w:val="26"/>
          <w:szCs w:val="26"/>
          <w:lang w:eastAsia="ru-RU"/>
        </w:rPr>
        <w:t>При необходимост</w:t>
      </w:r>
      <w:bookmarkEnd w:id="6"/>
      <w:r w:rsidRPr="002D572F">
        <w:rPr>
          <w:rFonts w:ascii="Times New Roman" w:eastAsia="Times New Roman" w:hAnsi="Times New Roman" w:cs="Times New Roman"/>
          <w:sz w:val="26"/>
          <w:szCs w:val="26"/>
          <w:lang w:eastAsia="ru-RU"/>
        </w:rPr>
        <w:t xml:space="preserve">и должны рассматриваться вопросы ввода новых законов, а в крайней мере и отмены налогов, взимаемых с участников рынка ценных бумаг полностью. При проведении операций с ценными бумагами часто возникает вопрос, а возможно ли перенести убытки по данной деятельности. На сегодняшний день этот вопрос является наиболее актуальной проблемой в судебной практике по налогообложению ценных бумаг. В связи с тем, что все суммы начисленных налогов «произрастают» от налогооблагаемой базы, проблема ее выбора и оценки является исходной в оценке всех нюансов налогового производства. 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 xml:space="preserve">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 xml:space="preserve">Минфин России считает, что налоговая база может быть уменьшена. В письме от 30.08.2007 № 03-03-06/1/614 отмечено, что согласно ст. 280 НК РФ при определении налоговой базы по налогу на прибыль организаций убытки от основной деятельности уменьшаются на сумму прибыли по операциям с ценными бумагами. Если величина убытка от основной деятельности превышает прибыль, полученную от операций с ценными бумагами, объекта обложения налогом на прибыль не возникает. </w:t>
      </w:r>
    </w:p>
    <w:p w:rsidR="005C4EB9"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 xml:space="preserve">Несмотря на это, некоторые налоговые органы по-прежнему считают, что прибыль по операциям с ценными бумагами должна облагаться налогом в полной сумме без уменьшения на сумму убытка по иным видам деятельности . Наряду со всем этим спектром проблем в настоящее время российская налоговая система характеризуется также нестабильностью, частой сменой «правил игры с государством», принятие налоговых актов задним числом, противоречивостью законов и подзаконных актов, в том числе директивных конструктивных материалов, создающих возможность, а порой просто необходимость их дополнительного толкования. Таким образом, можно сказать, что налогообложение участников рынка ценных бумаг не является совершенным и нуждается в рассмотрении некоторых проблем. </w:t>
      </w:r>
    </w:p>
    <w:p w:rsidR="00DF3A8C" w:rsidRPr="002D572F" w:rsidRDefault="00DF3A8C" w:rsidP="00011599">
      <w:pPr>
        <w:pStyle w:val="a6"/>
        <w:spacing w:line="360" w:lineRule="auto"/>
        <w:ind w:firstLine="709"/>
        <w:jc w:val="both"/>
        <w:rPr>
          <w:rFonts w:ascii="Times New Roman" w:eastAsia="Times New Roman" w:hAnsi="Times New Roman" w:cs="Times New Roman"/>
          <w:sz w:val="26"/>
          <w:szCs w:val="26"/>
          <w:lang w:eastAsia="ru-RU"/>
        </w:rPr>
      </w:pPr>
      <w:r w:rsidRPr="002D572F">
        <w:rPr>
          <w:rFonts w:ascii="Times New Roman" w:eastAsia="Times New Roman" w:hAnsi="Times New Roman" w:cs="Times New Roman"/>
          <w:sz w:val="26"/>
          <w:szCs w:val="26"/>
          <w:lang w:eastAsia="ru-RU"/>
        </w:rPr>
        <w:t>Изменение налогового законодательства по данным вопросам, а также решение этих проблем позволят обеспечить стабильность регулирования налоговых отношени</w:t>
      </w:r>
      <w:r w:rsidR="005C4EB9" w:rsidRPr="002D572F">
        <w:rPr>
          <w:rFonts w:ascii="Times New Roman" w:eastAsia="Times New Roman" w:hAnsi="Times New Roman" w:cs="Times New Roman"/>
          <w:sz w:val="26"/>
          <w:szCs w:val="26"/>
          <w:lang w:eastAsia="ru-RU"/>
        </w:rPr>
        <w:t xml:space="preserve">й в этой сфере. </w:t>
      </w:r>
    </w:p>
    <w:p w:rsidR="005C4EB9" w:rsidRPr="002D572F" w:rsidRDefault="005C4EB9" w:rsidP="00011599">
      <w:pPr>
        <w:pStyle w:val="a6"/>
        <w:spacing w:line="360" w:lineRule="auto"/>
        <w:ind w:firstLine="709"/>
        <w:jc w:val="both"/>
        <w:rPr>
          <w:rFonts w:ascii="Times New Roman" w:eastAsia="Times New Roman" w:hAnsi="Times New Roman" w:cs="Times New Roman"/>
          <w:sz w:val="26"/>
          <w:szCs w:val="26"/>
          <w:lang w:eastAsia="ru-RU"/>
        </w:rPr>
      </w:pPr>
    </w:p>
    <w:p w:rsidR="00DF3A8C" w:rsidRPr="002D572F" w:rsidRDefault="00DF3A8C" w:rsidP="00585828">
      <w:pPr>
        <w:jc w:val="both"/>
        <w:rPr>
          <w:sz w:val="26"/>
          <w:szCs w:val="26"/>
        </w:rPr>
      </w:pPr>
    </w:p>
    <w:p w:rsidR="002D572F" w:rsidRPr="002D572F" w:rsidRDefault="002D572F">
      <w:pPr>
        <w:rPr>
          <w:rFonts w:ascii="Times New Roman" w:eastAsia="Times New Roman" w:hAnsi="Times New Roman" w:cs="Times New Roman"/>
          <w:b/>
          <w:bCs/>
          <w:sz w:val="26"/>
          <w:szCs w:val="26"/>
          <w:lang w:eastAsia="ru-RU"/>
        </w:rPr>
      </w:pPr>
      <w:r w:rsidRPr="002D572F">
        <w:rPr>
          <w:rFonts w:eastAsia="Times New Roman"/>
          <w:sz w:val="26"/>
          <w:szCs w:val="26"/>
          <w:lang w:eastAsia="ru-RU"/>
        </w:rPr>
        <w:br w:type="page"/>
      </w:r>
    </w:p>
    <w:p w:rsidR="00585828" w:rsidRPr="002D572F" w:rsidRDefault="00585828" w:rsidP="002D572F">
      <w:pPr>
        <w:pStyle w:val="12"/>
        <w:rPr>
          <w:rFonts w:eastAsia="Times New Roman"/>
          <w:sz w:val="26"/>
          <w:szCs w:val="26"/>
          <w:lang w:eastAsia="ru-RU"/>
        </w:rPr>
      </w:pPr>
      <w:bookmarkStart w:id="7" w:name="_Toc406837246"/>
      <w:r w:rsidRPr="002D572F">
        <w:rPr>
          <w:rFonts w:eastAsia="Times New Roman"/>
          <w:sz w:val="26"/>
          <w:szCs w:val="26"/>
          <w:lang w:eastAsia="ru-RU"/>
        </w:rPr>
        <w:t>Заключение</w:t>
      </w:r>
      <w:bookmarkEnd w:id="7"/>
    </w:p>
    <w:p w:rsidR="002D572F" w:rsidRPr="002D572F" w:rsidRDefault="002D572F" w:rsidP="002D572F">
      <w:pPr>
        <w:pStyle w:val="a6"/>
        <w:spacing w:line="360" w:lineRule="auto"/>
        <w:ind w:firstLine="567"/>
        <w:jc w:val="both"/>
        <w:rPr>
          <w:rFonts w:ascii="Times New Roman" w:hAnsi="Times New Roman" w:cs="Times New Roman"/>
          <w:sz w:val="26"/>
          <w:szCs w:val="26"/>
          <w:lang w:eastAsia="ru-RU"/>
        </w:rPr>
      </w:pPr>
    </w:p>
    <w:p w:rsidR="00585828" w:rsidRPr="002D572F" w:rsidRDefault="00585828" w:rsidP="002D572F">
      <w:pPr>
        <w:pStyle w:val="a6"/>
        <w:spacing w:line="360" w:lineRule="auto"/>
        <w:ind w:firstLine="567"/>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Сложившаяся в мировой экономике практика регулирования рынка ценных бумаг позволяет воздействовать на него с разных позиций, достигая наиболее эффективного его функционирования. данного воздействия является система налогового регулирования.</w:t>
      </w:r>
    </w:p>
    <w:p w:rsidR="00585828" w:rsidRPr="002D572F" w:rsidRDefault="00585828" w:rsidP="002D572F">
      <w:pPr>
        <w:pStyle w:val="a6"/>
        <w:spacing w:line="360" w:lineRule="auto"/>
        <w:ind w:firstLine="567"/>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Система налогов организованного рынка ценных бумаг обеспечивает формирование основной массы финансовых ресурсов государства. В силу этого сбалансированность и выполнение функций налогового регулирования позволит производить высокую отдачу фондового рынка в виде налоговых поступлений. Поэтому в целях своей эффективности налоговая система рынка ценных бумаг должна соответствовать следующим требованиям: налогов и сборов, предусмотренных на рынке ценных бумаг, должны быть четко и просто </w:t>
      </w:r>
      <w:r w:rsidR="002D572F" w:rsidRPr="002D572F">
        <w:rPr>
          <w:rFonts w:ascii="Times New Roman" w:hAnsi="Times New Roman" w:cs="Times New Roman"/>
          <w:sz w:val="26"/>
          <w:szCs w:val="26"/>
          <w:lang w:eastAsia="ru-RU"/>
        </w:rPr>
        <w:t>сформулированы</w:t>
      </w:r>
      <w:r w:rsidRPr="002D572F">
        <w:rPr>
          <w:rFonts w:ascii="Times New Roman" w:hAnsi="Times New Roman" w:cs="Times New Roman"/>
          <w:sz w:val="26"/>
          <w:szCs w:val="26"/>
          <w:lang w:eastAsia="ru-RU"/>
        </w:rPr>
        <w:t xml:space="preserve"> и изложены в комплексном документе периодического характера в силу своей </w:t>
      </w:r>
      <w:r w:rsidR="002D572F" w:rsidRPr="002D572F">
        <w:rPr>
          <w:rFonts w:ascii="Times New Roman" w:hAnsi="Times New Roman" w:cs="Times New Roman"/>
          <w:sz w:val="26"/>
          <w:szCs w:val="26"/>
          <w:lang w:eastAsia="ru-RU"/>
        </w:rPr>
        <w:t>изменчивости</w:t>
      </w:r>
      <w:r w:rsidRPr="002D572F">
        <w:rPr>
          <w:rFonts w:ascii="Times New Roman" w:hAnsi="Times New Roman" w:cs="Times New Roman"/>
          <w:sz w:val="26"/>
          <w:szCs w:val="26"/>
          <w:lang w:eastAsia="ru-RU"/>
        </w:rPr>
        <w:t>.</w:t>
      </w:r>
    </w:p>
    <w:p w:rsidR="002D572F" w:rsidRPr="002D572F" w:rsidRDefault="00585828" w:rsidP="002D572F">
      <w:pPr>
        <w:pStyle w:val="a6"/>
        <w:spacing w:line="360" w:lineRule="auto"/>
        <w:ind w:firstLine="567"/>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 xml:space="preserve">Законодательство по рынку ценных бумаг должно поддерживать баланс отношений, выражающихся с одной стороны в необходимости обеспечения поступлений государственных бюджетных средств, а с другой стороны - в поддержании интересов российского фондового рынка и необходимости инвестиционного стимулирования отечественной экономики. Важно сохранять побудительные мотивы деятельности на. рынке ценных бумаг в целях обеспечения необходимых условий функционирования и развития конкурентоспособности и стабильности. </w:t>
      </w:r>
    </w:p>
    <w:p w:rsidR="00585828" w:rsidRPr="002D572F" w:rsidRDefault="00585828" w:rsidP="002D572F">
      <w:pPr>
        <w:pStyle w:val="a6"/>
        <w:spacing w:line="360" w:lineRule="auto"/>
        <w:ind w:firstLine="567"/>
        <w:jc w:val="both"/>
        <w:rPr>
          <w:rFonts w:ascii="Times New Roman" w:hAnsi="Times New Roman" w:cs="Times New Roman"/>
          <w:sz w:val="26"/>
          <w:szCs w:val="26"/>
          <w:lang w:eastAsia="ru-RU"/>
        </w:rPr>
      </w:pPr>
      <w:r w:rsidRPr="002D572F">
        <w:rPr>
          <w:rFonts w:ascii="Times New Roman" w:hAnsi="Times New Roman" w:cs="Times New Roman"/>
          <w:sz w:val="26"/>
          <w:szCs w:val="26"/>
          <w:lang w:eastAsia="ru-RU"/>
        </w:rPr>
        <w:t>Для эффективного функционирования на рынке ценных бумаг должен быть создан комплексный подход к налогообложению доходов и активов рынка.</w:t>
      </w:r>
    </w:p>
    <w:p w:rsidR="002D572F" w:rsidRPr="002D572F" w:rsidRDefault="002D572F">
      <w:pPr>
        <w:rPr>
          <w:rFonts w:ascii="Times New Roman" w:eastAsiaTheme="majorEastAsia" w:hAnsi="Times New Roman" w:cs="Times New Roman"/>
          <w:b/>
          <w:bCs/>
          <w:sz w:val="26"/>
          <w:szCs w:val="26"/>
        </w:rPr>
      </w:pPr>
      <w:bookmarkStart w:id="8" w:name="_Toc325826800"/>
      <w:bookmarkStart w:id="9" w:name="_Toc347507807"/>
      <w:bookmarkStart w:id="10" w:name="_Toc348853777"/>
      <w:r w:rsidRPr="002D572F">
        <w:rPr>
          <w:rFonts w:ascii="Times New Roman" w:eastAsiaTheme="majorEastAsia" w:hAnsi="Times New Roman" w:cs="Times New Roman"/>
          <w:b/>
          <w:bCs/>
          <w:sz w:val="26"/>
          <w:szCs w:val="26"/>
        </w:rPr>
        <w:br w:type="page"/>
      </w:r>
    </w:p>
    <w:p w:rsidR="00DF3A8C" w:rsidRPr="002D572F" w:rsidRDefault="00DF3A8C" w:rsidP="00DF3A8C">
      <w:pPr>
        <w:keepNext/>
        <w:keepLines/>
        <w:spacing w:before="480" w:after="0"/>
        <w:jc w:val="center"/>
        <w:outlineLvl w:val="0"/>
        <w:rPr>
          <w:rFonts w:ascii="Times New Roman" w:eastAsiaTheme="majorEastAsia" w:hAnsi="Times New Roman" w:cs="Times New Roman"/>
          <w:b/>
          <w:bCs/>
          <w:sz w:val="26"/>
          <w:szCs w:val="26"/>
        </w:rPr>
      </w:pPr>
      <w:bookmarkStart w:id="11" w:name="_Toc406837247"/>
      <w:r w:rsidRPr="002D572F">
        <w:rPr>
          <w:rFonts w:ascii="Times New Roman" w:eastAsiaTheme="majorEastAsia" w:hAnsi="Times New Roman" w:cs="Times New Roman"/>
          <w:b/>
          <w:bCs/>
          <w:sz w:val="26"/>
          <w:szCs w:val="26"/>
        </w:rPr>
        <w:t>Список литературы</w:t>
      </w:r>
      <w:bookmarkEnd w:id="8"/>
      <w:bookmarkEnd w:id="9"/>
      <w:bookmarkEnd w:id="10"/>
      <w:bookmarkEnd w:id="11"/>
    </w:p>
    <w:p w:rsidR="00DF3A8C" w:rsidRPr="002D572F" w:rsidRDefault="00DF3A8C" w:rsidP="00DF3A8C">
      <w:pPr>
        <w:spacing w:after="0" w:line="360" w:lineRule="auto"/>
        <w:ind w:firstLine="709"/>
        <w:jc w:val="both"/>
        <w:rPr>
          <w:rFonts w:ascii="Times New Roman" w:hAnsi="Times New Roman" w:cs="Times New Roman"/>
          <w:sz w:val="26"/>
          <w:szCs w:val="26"/>
        </w:rPr>
      </w:pP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Налоговый кодекс Российской Федерации (часть первая) от 31.07.1998 N 146-ФЗ (ред. от 04.11.2014)</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Федеральный закон от 22.04.1996 N 39-ФЗ (ред. от 21.07.2014) "О рынке ценных бумаг" (с изм. и доп., вступ. в силу с 01.10.2014)</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Федеральный закон № 420-ФЗ "О внесении изменений в статью 27.5-3 Федерального закона "О рынке ценных бумаг" и части первую и вторую Налогового кодекса Российской Федерации"</w:t>
      </w:r>
    </w:p>
    <w:p w:rsidR="00DF3A8C"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Приказ ФСФР «</w:t>
      </w:r>
      <w:r w:rsidR="00DF3A8C" w:rsidRPr="002D572F">
        <w:rPr>
          <w:rFonts w:ascii="Times New Roman" w:hAnsi="Times New Roman" w:cs="Times New Roman"/>
          <w:sz w:val="26"/>
          <w:szCs w:val="26"/>
        </w:rPr>
        <w:t xml:space="preserve">Об утверждении </w:t>
      </w:r>
      <w:hyperlink r:id="rId17" w:history="1">
        <w:r w:rsidR="00DF3A8C" w:rsidRPr="002D572F">
          <w:rPr>
            <w:rFonts w:ascii="Times New Roman" w:hAnsi="Times New Roman" w:cs="Times New Roman"/>
            <w:sz w:val="26"/>
            <w:szCs w:val="26"/>
          </w:rPr>
          <w:t>Положени</w:t>
        </w:r>
      </w:hyperlink>
      <w:r w:rsidR="00DF3A8C" w:rsidRPr="002D572F">
        <w:rPr>
          <w:rFonts w:ascii="Times New Roman" w:hAnsi="Times New Roman" w:cs="Times New Roman"/>
          <w:sz w:val="26"/>
          <w:szCs w:val="26"/>
        </w:rPr>
        <w:t xml:space="preserve">я "О внутреннем контроле профессионального участника рынка ценных бумаг» от 21 марта </w:t>
      </w:r>
      <w:smartTag w:uri="urn:schemas-microsoft-com:office:smarttags" w:element="metricconverter">
        <w:smartTagPr>
          <w:attr w:name="ProductID" w:val="2006 г"/>
        </w:smartTagPr>
        <w:r w:rsidR="00DF3A8C" w:rsidRPr="002D572F">
          <w:rPr>
            <w:rFonts w:ascii="Times New Roman" w:hAnsi="Times New Roman" w:cs="Times New Roman"/>
            <w:sz w:val="26"/>
            <w:szCs w:val="26"/>
          </w:rPr>
          <w:t>2006 г</w:t>
        </w:r>
      </w:smartTag>
      <w:r w:rsidR="00DF3A8C" w:rsidRPr="002D572F">
        <w:rPr>
          <w:rFonts w:ascii="Times New Roman" w:hAnsi="Times New Roman" w:cs="Times New Roman"/>
          <w:sz w:val="26"/>
          <w:szCs w:val="26"/>
        </w:rPr>
        <w:t>. N 06-29/пз-н</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Балкаров А.Б. Современные тенденции административно-правового регулирования рынка ценных бумаг // Банковское право. 2013. -№ 4. -с. 35 - 37.</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Габов А.В. Ценные бумаги: вопросы теории и регулирования рынка. - М.: Статут, 2011. - 1104 с.</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eastAsia="Times New Roman" w:hAnsi="Times New Roman" w:cs="Times New Roman"/>
          <w:sz w:val="26"/>
          <w:szCs w:val="26"/>
          <w:lang w:eastAsia="ru-RU"/>
        </w:rPr>
        <w:t>Гончаренко Л.И., Новиков Д.Ю. Вопросы теории и практики налогообложения ценных бумаг // Финансы.- 2013.- №5 -.с.25-29.</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Сагдиев А.А. Совершеннолетие рынка ценных бумаг в России — есть ли перспектива?// Рынок ценных бумаг.-2012.-№5.-с.25-29</w:t>
      </w:r>
    </w:p>
    <w:p w:rsidR="002D572F" w:rsidRPr="002D572F" w:rsidRDefault="002D572F" w:rsidP="002D572F">
      <w:pPr>
        <w:numPr>
          <w:ilvl w:val="0"/>
          <w:numId w:val="7"/>
        </w:numPr>
        <w:spacing w:after="0" w:line="360" w:lineRule="auto"/>
        <w:ind w:left="0" w:firstLine="567"/>
        <w:jc w:val="both"/>
        <w:rPr>
          <w:rFonts w:ascii="Times New Roman" w:hAnsi="Times New Roman" w:cs="Times New Roman"/>
          <w:sz w:val="26"/>
          <w:szCs w:val="26"/>
        </w:rPr>
      </w:pPr>
      <w:r w:rsidRPr="002D572F">
        <w:rPr>
          <w:rFonts w:ascii="Times New Roman" w:hAnsi="Times New Roman" w:cs="Times New Roman"/>
          <w:sz w:val="26"/>
          <w:szCs w:val="26"/>
        </w:rPr>
        <w:t>Ценные бумаги: учебник /под ред.В.И. Колесникова, В.С. Торкановского.– 2-е изд., перераб. и доп. – М.: Финансы и статистика, 2011. – 448с.</w:t>
      </w:r>
    </w:p>
    <w:p w:rsidR="00EC5E69" w:rsidRPr="002D572F" w:rsidRDefault="001A2F17" w:rsidP="00585828">
      <w:pPr>
        <w:rPr>
          <w:sz w:val="26"/>
          <w:szCs w:val="26"/>
        </w:rPr>
      </w:pPr>
    </w:p>
    <w:sectPr w:rsidR="00EC5E69" w:rsidRPr="002D572F" w:rsidSect="00C6709C">
      <w:footerReference w:type="default" r:id="rId18"/>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F17" w:rsidRDefault="001A2F17" w:rsidP="00C6709C">
      <w:pPr>
        <w:spacing w:after="0" w:line="240" w:lineRule="auto"/>
      </w:pPr>
      <w:r>
        <w:separator/>
      </w:r>
    </w:p>
  </w:endnote>
  <w:endnote w:type="continuationSeparator" w:id="0">
    <w:p w:rsidR="001A2F17" w:rsidRDefault="001A2F17" w:rsidP="00C6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716311"/>
      <w:docPartObj>
        <w:docPartGallery w:val="Page Numbers (Bottom of Page)"/>
        <w:docPartUnique/>
      </w:docPartObj>
    </w:sdtPr>
    <w:sdtEndPr/>
    <w:sdtContent>
      <w:p w:rsidR="00C6709C" w:rsidRDefault="00C6709C">
        <w:pPr>
          <w:pStyle w:val="a9"/>
          <w:jc w:val="center"/>
        </w:pPr>
        <w:r>
          <w:fldChar w:fldCharType="begin"/>
        </w:r>
        <w:r>
          <w:instrText>PAGE   \* MERGEFORMAT</w:instrText>
        </w:r>
        <w:r>
          <w:fldChar w:fldCharType="separate"/>
        </w:r>
        <w:r w:rsidR="009751DE">
          <w:rPr>
            <w:noProof/>
          </w:rPr>
          <w:t>3</w:t>
        </w:r>
        <w:r>
          <w:fldChar w:fldCharType="end"/>
        </w:r>
      </w:p>
    </w:sdtContent>
  </w:sdt>
  <w:p w:rsidR="00C6709C" w:rsidRDefault="00C6709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F17" w:rsidRDefault="001A2F17" w:rsidP="00C6709C">
      <w:pPr>
        <w:spacing w:after="0" w:line="240" w:lineRule="auto"/>
      </w:pPr>
      <w:r>
        <w:separator/>
      </w:r>
    </w:p>
  </w:footnote>
  <w:footnote w:type="continuationSeparator" w:id="0">
    <w:p w:rsidR="001A2F17" w:rsidRDefault="001A2F17" w:rsidP="00C670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7C7"/>
    <w:multiLevelType w:val="multilevel"/>
    <w:tmpl w:val="1BA2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028EA"/>
    <w:multiLevelType w:val="multilevel"/>
    <w:tmpl w:val="A82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F6881"/>
    <w:multiLevelType w:val="multilevel"/>
    <w:tmpl w:val="10086024"/>
    <w:lvl w:ilvl="0">
      <w:start w:val="1"/>
      <w:numFmt w:val="decimal"/>
      <w:lvlText w:val="%1."/>
      <w:lvlJc w:val="left"/>
      <w:pPr>
        <w:tabs>
          <w:tab w:val="num" w:pos="720"/>
        </w:tabs>
        <w:ind w:left="720" w:hanging="360"/>
      </w:pPr>
    </w:lvl>
    <w:lvl w:ilvl="1">
      <w:start w:val="200"/>
      <w:numFmt w:val="decimal"/>
      <w:lvlText w:val="%2"/>
      <w:lvlJc w:val="left"/>
      <w:pPr>
        <w:tabs>
          <w:tab w:val="num" w:pos="3900"/>
        </w:tabs>
        <w:ind w:left="3900" w:hanging="28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FE0367E"/>
    <w:multiLevelType w:val="multilevel"/>
    <w:tmpl w:val="A00E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CD54AA"/>
    <w:multiLevelType w:val="multilevel"/>
    <w:tmpl w:val="A00E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994B5F"/>
    <w:multiLevelType w:val="multilevel"/>
    <w:tmpl w:val="A35A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120C81"/>
    <w:multiLevelType w:val="multilevel"/>
    <w:tmpl w:val="A6D4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E30714"/>
    <w:multiLevelType w:val="hybridMultilevel"/>
    <w:tmpl w:val="627C8568"/>
    <w:lvl w:ilvl="0" w:tplc="0419000F">
      <w:start w:val="1"/>
      <w:numFmt w:val="decimal"/>
      <w:lvlText w:val="%1."/>
      <w:lvlJc w:val="left"/>
      <w:pPr>
        <w:tabs>
          <w:tab w:val="num" w:pos="1426"/>
        </w:tabs>
        <w:ind w:left="1426" w:hanging="360"/>
      </w:pPr>
    </w:lvl>
    <w:lvl w:ilvl="1" w:tplc="04190019">
      <w:start w:val="1"/>
      <w:numFmt w:val="lowerLetter"/>
      <w:lvlText w:val="%2."/>
      <w:lvlJc w:val="left"/>
      <w:pPr>
        <w:tabs>
          <w:tab w:val="num" w:pos="2146"/>
        </w:tabs>
        <w:ind w:left="2146" w:hanging="360"/>
      </w:pPr>
    </w:lvl>
    <w:lvl w:ilvl="2" w:tplc="0419001B">
      <w:start w:val="1"/>
      <w:numFmt w:val="lowerRoman"/>
      <w:lvlText w:val="%3."/>
      <w:lvlJc w:val="right"/>
      <w:pPr>
        <w:tabs>
          <w:tab w:val="num" w:pos="2866"/>
        </w:tabs>
        <w:ind w:left="2866" w:hanging="180"/>
      </w:pPr>
    </w:lvl>
    <w:lvl w:ilvl="3" w:tplc="0419000F">
      <w:start w:val="1"/>
      <w:numFmt w:val="decimal"/>
      <w:lvlText w:val="%4."/>
      <w:lvlJc w:val="left"/>
      <w:pPr>
        <w:tabs>
          <w:tab w:val="num" w:pos="3586"/>
        </w:tabs>
        <w:ind w:left="3586" w:hanging="360"/>
      </w:pPr>
    </w:lvl>
    <w:lvl w:ilvl="4" w:tplc="04190019">
      <w:start w:val="1"/>
      <w:numFmt w:val="lowerLetter"/>
      <w:lvlText w:val="%5."/>
      <w:lvlJc w:val="left"/>
      <w:pPr>
        <w:tabs>
          <w:tab w:val="num" w:pos="4306"/>
        </w:tabs>
        <w:ind w:left="4306" w:hanging="360"/>
      </w:pPr>
    </w:lvl>
    <w:lvl w:ilvl="5" w:tplc="0419001B">
      <w:start w:val="1"/>
      <w:numFmt w:val="lowerRoman"/>
      <w:lvlText w:val="%6."/>
      <w:lvlJc w:val="right"/>
      <w:pPr>
        <w:tabs>
          <w:tab w:val="num" w:pos="5026"/>
        </w:tabs>
        <w:ind w:left="5026" w:hanging="180"/>
      </w:pPr>
    </w:lvl>
    <w:lvl w:ilvl="6" w:tplc="0419000F">
      <w:start w:val="1"/>
      <w:numFmt w:val="decimal"/>
      <w:lvlText w:val="%7."/>
      <w:lvlJc w:val="left"/>
      <w:pPr>
        <w:tabs>
          <w:tab w:val="num" w:pos="5746"/>
        </w:tabs>
        <w:ind w:left="5746" w:hanging="360"/>
      </w:pPr>
    </w:lvl>
    <w:lvl w:ilvl="7" w:tplc="04190019">
      <w:start w:val="1"/>
      <w:numFmt w:val="lowerLetter"/>
      <w:lvlText w:val="%8."/>
      <w:lvlJc w:val="left"/>
      <w:pPr>
        <w:tabs>
          <w:tab w:val="num" w:pos="6466"/>
        </w:tabs>
        <w:ind w:left="6466" w:hanging="360"/>
      </w:pPr>
    </w:lvl>
    <w:lvl w:ilvl="8" w:tplc="0419001B">
      <w:start w:val="1"/>
      <w:numFmt w:val="lowerRoman"/>
      <w:lvlText w:val="%9."/>
      <w:lvlJc w:val="right"/>
      <w:pPr>
        <w:tabs>
          <w:tab w:val="num" w:pos="7186"/>
        </w:tabs>
        <w:ind w:left="7186" w:hanging="180"/>
      </w:pPr>
    </w:lvl>
  </w:abstractNum>
  <w:abstractNum w:abstractNumId="8">
    <w:nsid w:val="3B2719A4"/>
    <w:multiLevelType w:val="hybridMultilevel"/>
    <w:tmpl w:val="EF18F77A"/>
    <w:lvl w:ilvl="0" w:tplc="F54870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6115006"/>
    <w:multiLevelType w:val="multilevel"/>
    <w:tmpl w:val="7C16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6721F4"/>
    <w:multiLevelType w:val="hybridMultilevel"/>
    <w:tmpl w:val="B032EB98"/>
    <w:lvl w:ilvl="0" w:tplc="04190001">
      <w:start w:val="1"/>
      <w:numFmt w:val="bullet"/>
      <w:lvlText w:val=""/>
      <w:lvlJc w:val="left"/>
      <w:pPr>
        <w:tabs>
          <w:tab w:val="num" w:pos="1426"/>
        </w:tabs>
        <w:ind w:left="1426" w:hanging="360"/>
      </w:pPr>
      <w:rPr>
        <w:rFonts w:ascii="Symbol" w:hAnsi="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hint="default"/>
      </w:rPr>
    </w:lvl>
    <w:lvl w:ilvl="3" w:tplc="04190001">
      <w:start w:val="1"/>
      <w:numFmt w:val="bullet"/>
      <w:lvlText w:val=""/>
      <w:lvlJc w:val="left"/>
      <w:pPr>
        <w:tabs>
          <w:tab w:val="num" w:pos="3586"/>
        </w:tabs>
        <w:ind w:left="3586" w:hanging="360"/>
      </w:pPr>
      <w:rPr>
        <w:rFonts w:ascii="Symbol" w:hAnsi="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hint="default"/>
      </w:rPr>
    </w:lvl>
    <w:lvl w:ilvl="6" w:tplc="04190001">
      <w:start w:val="1"/>
      <w:numFmt w:val="bullet"/>
      <w:lvlText w:val=""/>
      <w:lvlJc w:val="left"/>
      <w:pPr>
        <w:tabs>
          <w:tab w:val="num" w:pos="5746"/>
        </w:tabs>
        <w:ind w:left="5746" w:hanging="360"/>
      </w:pPr>
      <w:rPr>
        <w:rFonts w:ascii="Symbol" w:hAnsi="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hint="default"/>
      </w:rPr>
    </w:lvl>
  </w:abstractNum>
  <w:abstractNum w:abstractNumId="11">
    <w:nsid w:val="56C05CE0"/>
    <w:multiLevelType w:val="hybridMultilevel"/>
    <w:tmpl w:val="A76EA2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A996C76"/>
    <w:multiLevelType w:val="multilevel"/>
    <w:tmpl w:val="6B72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B395F8A"/>
    <w:multiLevelType w:val="multilevel"/>
    <w:tmpl w:val="10086024"/>
    <w:lvl w:ilvl="0">
      <w:start w:val="1"/>
      <w:numFmt w:val="decimal"/>
      <w:lvlText w:val="%1."/>
      <w:lvlJc w:val="left"/>
      <w:pPr>
        <w:tabs>
          <w:tab w:val="num" w:pos="720"/>
        </w:tabs>
        <w:ind w:left="720" w:hanging="360"/>
      </w:pPr>
    </w:lvl>
    <w:lvl w:ilvl="1">
      <w:start w:val="200"/>
      <w:numFmt w:val="decimal"/>
      <w:lvlText w:val="%2"/>
      <w:lvlJc w:val="left"/>
      <w:pPr>
        <w:tabs>
          <w:tab w:val="num" w:pos="3900"/>
        </w:tabs>
        <w:ind w:left="3900" w:hanging="28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65873D64"/>
    <w:multiLevelType w:val="hybridMultilevel"/>
    <w:tmpl w:val="F066237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D4011D2"/>
    <w:multiLevelType w:val="multilevel"/>
    <w:tmpl w:val="99C0C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A85BA4"/>
    <w:multiLevelType w:val="hybridMultilevel"/>
    <w:tmpl w:val="0ABC50FE"/>
    <w:lvl w:ilvl="0" w:tplc="5296C9B0">
      <w:start w:val="1"/>
      <w:numFmt w:val="bullet"/>
      <w:lvlText w:val="~"/>
      <w:lvlJc w:val="left"/>
      <w:pPr>
        <w:ind w:left="213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6CC47D6"/>
    <w:multiLevelType w:val="multilevel"/>
    <w:tmpl w:val="10086024"/>
    <w:lvl w:ilvl="0">
      <w:start w:val="1"/>
      <w:numFmt w:val="decimal"/>
      <w:lvlText w:val="%1."/>
      <w:lvlJc w:val="left"/>
      <w:pPr>
        <w:tabs>
          <w:tab w:val="num" w:pos="720"/>
        </w:tabs>
        <w:ind w:left="720" w:hanging="360"/>
      </w:pPr>
    </w:lvl>
    <w:lvl w:ilvl="1">
      <w:start w:val="200"/>
      <w:numFmt w:val="decimal"/>
      <w:lvlText w:val="%2"/>
      <w:lvlJc w:val="left"/>
      <w:pPr>
        <w:tabs>
          <w:tab w:val="num" w:pos="3900"/>
        </w:tabs>
        <w:ind w:left="3900" w:hanging="28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F5E7B44"/>
    <w:multiLevelType w:val="hybridMultilevel"/>
    <w:tmpl w:val="430ECA8A"/>
    <w:lvl w:ilvl="0" w:tplc="5296C9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2"/>
    <w:lvlOverride w:ilvl="0">
      <w:startOverride w:val="1"/>
    </w:lvlOverride>
    <w:lvlOverride w:ilvl="1">
      <w:startOverride w:val="20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20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20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15"/>
  </w:num>
  <w:num w:numId="12">
    <w:abstractNumId w:val="3"/>
  </w:num>
  <w:num w:numId="13">
    <w:abstractNumId w:val="4"/>
  </w:num>
  <w:num w:numId="14">
    <w:abstractNumId w:val="6"/>
  </w:num>
  <w:num w:numId="15">
    <w:abstractNumId w:val="5"/>
  </w:num>
  <w:num w:numId="16">
    <w:abstractNumId w:val="9"/>
  </w:num>
  <w:num w:numId="17">
    <w:abstractNumId w:val="1"/>
  </w:num>
  <w:num w:numId="18">
    <w:abstractNumId w:val="1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828"/>
    <w:rsid w:val="00011599"/>
    <w:rsid w:val="001A2F17"/>
    <w:rsid w:val="00233C20"/>
    <w:rsid w:val="002D572F"/>
    <w:rsid w:val="00324FF4"/>
    <w:rsid w:val="00585828"/>
    <w:rsid w:val="005C4EB9"/>
    <w:rsid w:val="006514A2"/>
    <w:rsid w:val="007B1D4C"/>
    <w:rsid w:val="009751DE"/>
    <w:rsid w:val="00A97620"/>
    <w:rsid w:val="00C6709C"/>
    <w:rsid w:val="00DF3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F3A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3A8C"/>
    <w:rPr>
      <w:rFonts w:asciiTheme="majorHAnsi" w:eastAsiaTheme="majorEastAsia" w:hAnsiTheme="majorHAnsi" w:cstheme="majorBidi"/>
      <w:b/>
      <w:bCs/>
      <w:color w:val="365F91" w:themeColor="accent1" w:themeShade="BF"/>
      <w:sz w:val="28"/>
      <w:szCs w:val="28"/>
    </w:rPr>
  </w:style>
  <w:style w:type="paragraph" w:styleId="a3">
    <w:name w:val="Title"/>
    <w:basedOn w:val="a"/>
    <w:link w:val="a4"/>
    <w:qFormat/>
    <w:rsid w:val="00DF3A8C"/>
    <w:pPr>
      <w:spacing w:after="0" w:line="240" w:lineRule="auto"/>
      <w:jc w:val="center"/>
    </w:pPr>
    <w:rPr>
      <w:rFonts w:ascii="Times New Roman" w:eastAsia="Times New Roman" w:hAnsi="Times New Roman" w:cs="Times New Roman"/>
      <w:b/>
      <w:sz w:val="36"/>
      <w:szCs w:val="20"/>
      <w:lang w:eastAsia="ru-RU"/>
    </w:rPr>
  </w:style>
  <w:style w:type="character" w:customStyle="1" w:styleId="a4">
    <w:name w:val="Название Знак"/>
    <w:basedOn w:val="a0"/>
    <w:link w:val="a3"/>
    <w:rsid w:val="00DF3A8C"/>
    <w:rPr>
      <w:rFonts w:ascii="Times New Roman" w:eastAsia="Times New Roman" w:hAnsi="Times New Roman" w:cs="Times New Roman"/>
      <w:b/>
      <w:sz w:val="36"/>
      <w:szCs w:val="20"/>
      <w:lang w:eastAsia="ru-RU"/>
    </w:rPr>
  </w:style>
  <w:style w:type="paragraph" w:styleId="a5">
    <w:name w:val="Normal (Web)"/>
    <w:basedOn w:val="a"/>
    <w:uiPriority w:val="99"/>
    <w:semiHidden/>
    <w:unhideWhenUsed/>
    <w:rsid w:val="00DF3A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C6709C"/>
    <w:pPr>
      <w:spacing w:after="0" w:line="240" w:lineRule="auto"/>
    </w:pPr>
  </w:style>
  <w:style w:type="paragraph" w:styleId="a7">
    <w:name w:val="header"/>
    <w:basedOn w:val="a"/>
    <w:link w:val="a8"/>
    <w:uiPriority w:val="99"/>
    <w:unhideWhenUsed/>
    <w:rsid w:val="00C670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6709C"/>
  </w:style>
  <w:style w:type="paragraph" w:styleId="a9">
    <w:name w:val="footer"/>
    <w:basedOn w:val="a"/>
    <w:link w:val="aa"/>
    <w:uiPriority w:val="99"/>
    <w:unhideWhenUsed/>
    <w:rsid w:val="00C670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6709C"/>
  </w:style>
  <w:style w:type="paragraph" w:styleId="ab">
    <w:name w:val="TOC Heading"/>
    <w:basedOn w:val="1"/>
    <w:next w:val="a"/>
    <w:uiPriority w:val="39"/>
    <w:semiHidden/>
    <w:unhideWhenUsed/>
    <w:qFormat/>
    <w:rsid w:val="00C6709C"/>
    <w:pPr>
      <w:outlineLvl w:val="9"/>
    </w:pPr>
    <w:rPr>
      <w:lang w:eastAsia="ru-RU"/>
    </w:rPr>
  </w:style>
  <w:style w:type="paragraph" w:styleId="11">
    <w:name w:val="toc 1"/>
    <w:basedOn w:val="a"/>
    <w:next w:val="a"/>
    <w:autoRedefine/>
    <w:uiPriority w:val="39"/>
    <w:unhideWhenUsed/>
    <w:rsid w:val="00C6709C"/>
    <w:pPr>
      <w:spacing w:after="100"/>
    </w:pPr>
  </w:style>
  <w:style w:type="character" w:styleId="ac">
    <w:name w:val="Hyperlink"/>
    <w:basedOn w:val="a0"/>
    <w:uiPriority w:val="99"/>
    <w:unhideWhenUsed/>
    <w:rsid w:val="00C6709C"/>
    <w:rPr>
      <w:color w:val="0000FF" w:themeColor="hyperlink"/>
      <w:u w:val="single"/>
    </w:rPr>
  </w:style>
  <w:style w:type="paragraph" w:styleId="ad">
    <w:name w:val="Balloon Text"/>
    <w:basedOn w:val="a"/>
    <w:link w:val="ae"/>
    <w:uiPriority w:val="99"/>
    <w:semiHidden/>
    <w:unhideWhenUsed/>
    <w:rsid w:val="00C6709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6709C"/>
    <w:rPr>
      <w:rFonts w:ascii="Tahoma" w:hAnsi="Tahoma" w:cs="Tahoma"/>
      <w:sz w:val="16"/>
      <w:szCs w:val="16"/>
    </w:rPr>
  </w:style>
  <w:style w:type="paragraph" w:customStyle="1" w:styleId="12">
    <w:name w:val="Стиль1"/>
    <w:basedOn w:val="1"/>
    <w:link w:val="13"/>
    <w:qFormat/>
    <w:rsid w:val="00011599"/>
    <w:pPr>
      <w:jc w:val="center"/>
    </w:pPr>
    <w:rPr>
      <w:rFonts w:ascii="Times New Roman" w:hAnsi="Times New Roman" w:cs="Times New Roman"/>
      <w:color w:val="auto"/>
    </w:rPr>
  </w:style>
  <w:style w:type="character" w:customStyle="1" w:styleId="13">
    <w:name w:val="Стиль1 Знак"/>
    <w:basedOn w:val="10"/>
    <w:link w:val="12"/>
    <w:rsid w:val="00011599"/>
    <w:rPr>
      <w:rFonts w:ascii="Times New Roman" w:eastAsiaTheme="majorEastAsia" w:hAnsi="Times New Roman" w:cs="Times New Roman"/>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F3A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3A8C"/>
    <w:rPr>
      <w:rFonts w:asciiTheme="majorHAnsi" w:eastAsiaTheme="majorEastAsia" w:hAnsiTheme="majorHAnsi" w:cstheme="majorBidi"/>
      <w:b/>
      <w:bCs/>
      <w:color w:val="365F91" w:themeColor="accent1" w:themeShade="BF"/>
      <w:sz w:val="28"/>
      <w:szCs w:val="28"/>
    </w:rPr>
  </w:style>
  <w:style w:type="paragraph" w:styleId="a3">
    <w:name w:val="Title"/>
    <w:basedOn w:val="a"/>
    <w:link w:val="a4"/>
    <w:qFormat/>
    <w:rsid w:val="00DF3A8C"/>
    <w:pPr>
      <w:spacing w:after="0" w:line="240" w:lineRule="auto"/>
      <w:jc w:val="center"/>
    </w:pPr>
    <w:rPr>
      <w:rFonts w:ascii="Times New Roman" w:eastAsia="Times New Roman" w:hAnsi="Times New Roman" w:cs="Times New Roman"/>
      <w:b/>
      <w:sz w:val="36"/>
      <w:szCs w:val="20"/>
      <w:lang w:eastAsia="ru-RU"/>
    </w:rPr>
  </w:style>
  <w:style w:type="character" w:customStyle="1" w:styleId="a4">
    <w:name w:val="Название Знак"/>
    <w:basedOn w:val="a0"/>
    <w:link w:val="a3"/>
    <w:rsid w:val="00DF3A8C"/>
    <w:rPr>
      <w:rFonts w:ascii="Times New Roman" w:eastAsia="Times New Roman" w:hAnsi="Times New Roman" w:cs="Times New Roman"/>
      <w:b/>
      <w:sz w:val="36"/>
      <w:szCs w:val="20"/>
      <w:lang w:eastAsia="ru-RU"/>
    </w:rPr>
  </w:style>
  <w:style w:type="paragraph" w:styleId="a5">
    <w:name w:val="Normal (Web)"/>
    <w:basedOn w:val="a"/>
    <w:uiPriority w:val="99"/>
    <w:semiHidden/>
    <w:unhideWhenUsed/>
    <w:rsid w:val="00DF3A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C6709C"/>
    <w:pPr>
      <w:spacing w:after="0" w:line="240" w:lineRule="auto"/>
    </w:pPr>
  </w:style>
  <w:style w:type="paragraph" w:styleId="a7">
    <w:name w:val="header"/>
    <w:basedOn w:val="a"/>
    <w:link w:val="a8"/>
    <w:uiPriority w:val="99"/>
    <w:unhideWhenUsed/>
    <w:rsid w:val="00C670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6709C"/>
  </w:style>
  <w:style w:type="paragraph" w:styleId="a9">
    <w:name w:val="footer"/>
    <w:basedOn w:val="a"/>
    <w:link w:val="aa"/>
    <w:uiPriority w:val="99"/>
    <w:unhideWhenUsed/>
    <w:rsid w:val="00C670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6709C"/>
  </w:style>
  <w:style w:type="paragraph" w:styleId="ab">
    <w:name w:val="TOC Heading"/>
    <w:basedOn w:val="1"/>
    <w:next w:val="a"/>
    <w:uiPriority w:val="39"/>
    <w:semiHidden/>
    <w:unhideWhenUsed/>
    <w:qFormat/>
    <w:rsid w:val="00C6709C"/>
    <w:pPr>
      <w:outlineLvl w:val="9"/>
    </w:pPr>
    <w:rPr>
      <w:lang w:eastAsia="ru-RU"/>
    </w:rPr>
  </w:style>
  <w:style w:type="paragraph" w:styleId="11">
    <w:name w:val="toc 1"/>
    <w:basedOn w:val="a"/>
    <w:next w:val="a"/>
    <w:autoRedefine/>
    <w:uiPriority w:val="39"/>
    <w:unhideWhenUsed/>
    <w:rsid w:val="00C6709C"/>
    <w:pPr>
      <w:spacing w:after="100"/>
    </w:pPr>
  </w:style>
  <w:style w:type="character" w:styleId="ac">
    <w:name w:val="Hyperlink"/>
    <w:basedOn w:val="a0"/>
    <w:uiPriority w:val="99"/>
    <w:unhideWhenUsed/>
    <w:rsid w:val="00C6709C"/>
    <w:rPr>
      <w:color w:val="0000FF" w:themeColor="hyperlink"/>
      <w:u w:val="single"/>
    </w:rPr>
  </w:style>
  <w:style w:type="paragraph" w:styleId="ad">
    <w:name w:val="Balloon Text"/>
    <w:basedOn w:val="a"/>
    <w:link w:val="ae"/>
    <w:uiPriority w:val="99"/>
    <w:semiHidden/>
    <w:unhideWhenUsed/>
    <w:rsid w:val="00C6709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6709C"/>
    <w:rPr>
      <w:rFonts w:ascii="Tahoma" w:hAnsi="Tahoma" w:cs="Tahoma"/>
      <w:sz w:val="16"/>
      <w:szCs w:val="16"/>
    </w:rPr>
  </w:style>
  <w:style w:type="paragraph" w:customStyle="1" w:styleId="12">
    <w:name w:val="Стиль1"/>
    <w:basedOn w:val="1"/>
    <w:link w:val="13"/>
    <w:qFormat/>
    <w:rsid w:val="00011599"/>
    <w:pPr>
      <w:jc w:val="center"/>
    </w:pPr>
    <w:rPr>
      <w:rFonts w:ascii="Times New Roman" w:hAnsi="Times New Roman" w:cs="Times New Roman"/>
      <w:color w:val="auto"/>
    </w:rPr>
  </w:style>
  <w:style w:type="character" w:customStyle="1" w:styleId="13">
    <w:name w:val="Стиль1 Знак"/>
    <w:basedOn w:val="10"/>
    <w:link w:val="12"/>
    <w:rsid w:val="00011599"/>
    <w:rPr>
      <w:rFonts w:ascii="Times New Roman" w:eastAsiaTheme="majorEastAsia" w:hAnsi="Times New Roman" w:cs="Times New Roman"/>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6382">
      <w:bodyDiv w:val="1"/>
      <w:marLeft w:val="0"/>
      <w:marRight w:val="0"/>
      <w:marTop w:val="0"/>
      <w:marBottom w:val="0"/>
      <w:divBdr>
        <w:top w:val="none" w:sz="0" w:space="0" w:color="auto"/>
        <w:left w:val="none" w:sz="0" w:space="0" w:color="auto"/>
        <w:bottom w:val="none" w:sz="0" w:space="0" w:color="auto"/>
        <w:right w:val="none" w:sz="0" w:space="0" w:color="auto"/>
      </w:divBdr>
    </w:div>
    <w:div w:id="281495294">
      <w:bodyDiv w:val="1"/>
      <w:marLeft w:val="0"/>
      <w:marRight w:val="0"/>
      <w:marTop w:val="0"/>
      <w:marBottom w:val="0"/>
      <w:divBdr>
        <w:top w:val="none" w:sz="0" w:space="0" w:color="auto"/>
        <w:left w:val="none" w:sz="0" w:space="0" w:color="auto"/>
        <w:bottom w:val="none" w:sz="0" w:space="0" w:color="auto"/>
        <w:right w:val="none" w:sz="0" w:space="0" w:color="auto"/>
      </w:divBdr>
      <w:divsChild>
        <w:div w:id="1372919410">
          <w:marLeft w:val="0"/>
          <w:marRight w:val="0"/>
          <w:marTop w:val="0"/>
          <w:marBottom w:val="0"/>
          <w:divBdr>
            <w:top w:val="none" w:sz="0" w:space="0" w:color="auto"/>
            <w:left w:val="none" w:sz="0" w:space="0" w:color="auto"/>
            <w:bottom w:val="none" w:sz="0" w:space="0" w:color="auto"/>
            <w:right w:val="none" w:sz="0" w:space="0" w:color="auto"/>
          </w:divBdr>
        </w:div>
      </w:divsChild>
    </w:div>
    <w:div w:id="740762147">
      <w:bodyDiv w:val="1"/>
      <w:marLeft w:val="0"/>
      <w:marRight w:val="0"/>
      <w:marTop w:val="0"/>
      <w:marBottom w:val="0"/>
      <w:divBdr>
        <w:top w:val="none" w:sz="0" w:space="0" w:color="auto"/>
        <w:left w:val="none" w:sz="0" w:space="0" w:color="auto"/>
        <w:bottom w:val="none" w:sz="0" w:space="0" w:color="auto"/>
        <w:right w:val="none" w:sz="0" w:space="0" w:color="auto"/>
      </w:divBdr>
    </w:div>
    <w:div w:id="992175599">
      <w:bodyDiv w:val="1"/>
      <w:marLeft w:val="0"/>
      <w:marRight w:val="0"/>
      <w:marTop w:val="0"/>
      <w:marBottom w:val="0"/>
      <w:divBdr>
        <w:top w:val="none" w:sz="0" w:space="0" w:color="auto"/>
        <w:left w:val="none" w:sz="0" w:space="0" w:color="auto"/>
        <w:bottom w:val="none" w:sz="0" w:space="0" w:color="auto"/>
        <w:right w:val="none" w:sz="0" w:space="0" w:color="auto"/>
      </w:divBdr>
    </w:div>
    <w:div w:id="1473332990">
      <w:bodyDiv w:val="1"/>
      <w:marLeft w:val="0"/>
      <w:marRight w:val="0"/>
      <w:marTop w:val="0"/>
      <w:marBottom w:val="0"/>
      <w:divBdr>
        <w:top w:val="none" w:sz="0" w:space="0" w:color="auto"/>
        <w:left w:val="none" w:sz="0" w:space="0" w:color="auto"/>
        <w:bottom w:val="none" w:sz="0" w:space="0" w:color="auto"/>
        <w:right w:val="none" w:sz="0" w:space="0" w:color="auto"/>
      </w:divBdr>
    </w:div>
    <w:div w:id="1576209213">
      <w:bodyDiv w:val="1"/>
      <w:marLeft w:val="0"/>
      <w:marRight w:val="0"/>
      <w:marTop w:val="0"/>
      <w:marBottom w:val="0"/>
      <w:divBdr>
        <w:top w:val="none" w:sz="0" w:space="0" w:color="auto"/>
        <w:left w:val="none" w:sz="0" w:space="0" w:color="auto"/>
        <w:bottom w:val="none" w:sz="0" w:space="0" w:color="auto"/>
        <w:right w:val="none" w:sz="0" w:space="0" w:color="auto"/>
      </w:divBdr>
      <w:divsChild>
        <w:div w:id="562103910">
          <w:marLeft w:val="0"/>
          <w:marRight w:val="0"/>
          <w:marTop w:val="0"/>
          <w:marBottom w:val="0"/>
          <w:divBdr>
            <w:top w:val="none" w:sz="0" w:space="0" w:color="auto"/>
            <w:left w:val="none" w:sz="0" w:space="0" w:color="auto"/>
            <w:bottom w:val="none" w:sz="0" w:space="0" w:color="auto"/>
            <w:right w:val="none" w:sz="0" w:space="0" w:color="auto"/>
          </w:divBdr>
        </w:div>
        <w:div w:id="183908545">
          <w:marLeft w:val="0"/>
          <w:marRight w:val="0"/>
          <w:marTop w:val="0"/>
          <w:marBottom w:val="0"/>
          <w:divBdr>
            <w:top w:val="none" w:sz="0" w:space="0" w:color="auto"/>
            <w:left w:val="none" w:sz="0" w:space="0" w:color="auto"/>
            <w:bottom w:val="none" w:sz="0" w:space="0" w:color="auto"/>
            <w:right w:val="none" w:sz="0" w:space="0" w:color="auto"/>
          </w:divBdr>
        </w:div>
      </w:divsChild>
    </w:div>
    <w:div w:id="1829318180">
      <w:bodyDiv w:val="1"/>
      <w:marLeft w:val="0"/>
      <w:marRight w:val="0"/>
      <w:marTop w:val="0"/>
      <w:marBottom w:val="0"/>
      <w:divBdr>
        <w:top w:val="none" w:sz="0" w:space="0" w:color="auto"/>
        <w:left w:val="none" w:sz="0" w:space="0" w:color="auto"/>
        <w:bottom w:val="none" w:sz="0" w:space="0" w:color="auto"/>
        <w:right w:val="none" w:sz="0" w:space="0" w:color="auto"/>
      </w:divBdr>
    </w:div>
    <w:div w:id="1956475451">
      <w:bodyDiv w:val="1"/>
      <w:marLeft w:val="0"/>
      <w:marRight w:val="0"/>
      <w:marTop w:val="0"/>
      <w:marBottom w:val="0"/>
      <w:divBdr>
        <w:top w:val="none" w:sz="0" w:space="0" w:color="auto"/>
        <w:left w:val="none" w:sz="0" w:space="0" w:color="auto"/>
        <w:bottom w:val="none" w:sz="0" w:space="0" w:color="auto"/>
        <w:right w:val="none" w:sz="0" w:space="0" w:color="auto"/>
      </w:divBdr>
    </w:div>
    <w:div w:id="1965111051">
      <w:bodyDiv w:val="1"/>
      <w:marLeft w:val="0"/>
      <w:marRight w:val="0"/>
      <w:marTop w:val="0"/>
      <w:marBottom w:val="0"/>
      <w:divBdr>
        <w:top w:val="none" w:sz="0" w:space="0" w:color="auto"/>
        <w:left w:val="none" w:sz="0" w:space="0" w:color="auto"/>
        <w:bottom w:val="none" w:sz="0" w:space="0" w:color="auto"/>
        <w:right w:val="none" w:sz="0" w:space="0" w:color="auto"/>
      </w:divBdr>
      <w:divsChild>
        <w:div w:id="8593899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hyperlink" Target="consultantplus://offline/ref=F26BAE64EDDE0E2811D8F7ADF4E0AA263CE2586875595D258EB252F0A773834986C1A3B1D8B3B8G4GAN" TargetMode="External"/><Relationship Id="rId2" Type="http://schemas.openxmlformats.org/officeDocument/2006/relationships/numbering" Target="numbering.xml"/><Relationship Id="rId16" Type="http://schemas.openxmlformats.org/officeDocument/2006/relationships/hyperlink" Target="http://arbir.ru/articles/a_3485.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yperlink" Target="http://arbir.ru/articles/a_3485.htm" TargetMode="External"/><Relationship Id="rId10" Type="http://schemas.openxmlformats.org/officeDocument/2006/relationships/diagramLayout" Target="diagrams/layout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http://arbir.ru/articles/a_3485.h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D7E763F-D060-40C2-AF09-D73C58D8BDC9}" type="doc">
      <dgm:prSet loTypeId="urn:microsoft.com/office/officeart/2005/8/layout/default" loCatId="list" qsTypeId="urn:microsoft.com/office/officeart/2005/8/quickstyle/simple3" qsCatId="simple" csTypeId="urn:microsoft.com/office/officeart/2005/8/colors/accent1_2" csCatId="accent1" phldr="1"/>
      <dgm:spPr/>
      <dgm:t>
        <a:bodyPr/>
        <a:lstStyle/>
        <a:p>
          <a:endParaRPr lang="ru-RU"/>
        </a:p>
      </dgm:t>
    </dgm:pt>
    <dgm:pt modelId="{BA1E7D56-8E51-454B-9508-0F5D3D790970}">
      <dgm:prSet phldrT="[Текст]" custT="1"/>
      <dgm:spPr/>
      <dgm:t>
        <a:bodyPr/>
        <a:lstStyle/>
        <a:p>
          <a:r>
            <a:rPr lang="ru-RU" sz="1050">
              <a:latin typeface="Times New Roman" panose="02020603050405020304" pitchFamily="18" charset="0"/>
              <a:cs typeface="Times New Roman" panose="02020603050405020304" pitchFamily="18" charset="0"/>
            </a:rPr>
            <a:t>разработка основных направлений развития рынка ценных бумаг и координация деятельности государственных органов в этой сфере; </a:t>
          </a:r>
        </a:p>
      </dgm:t>
    </dgm:pt>
    <dgm:pt modelId="{CE18BF7F-2ED0-492C-9F62-E6829C722CF0}" type="parTrans" cxnId="{9B140F45-F48A-478E-913D-A5A69BE55851}">
      <dgm:prSet/>
      <dgm:spPr/>
      <dgm:t>
        <a:bodyPr/>
        <a:lstStyle/>
        <a:p>
          <a:endParaRPr lang="ru-RU" sz="1100">
            <a:latin typeface="Times New Roman" panose="02020603050405020304" pitchFamily="18" charset="0"/>
            <a:cs typeface="Times New Roman" panose="02020603050405020304" pitchFamily="18" charset="0"/>
          </a:endParaRPr>
        </a:p>
      </dgm:t>
    </dgm:pt>
    <dgm:pt modelId="{07C606A0-36F9-4837-B686-2A825CFDF151}" type="sibTrans" cxnId="{9B140F45-F48A-478E-913D-A5A69BE55851}">
      <dgm:prSet/>
      <dgm:spPr/>
      <dgm:t>
        <a:bodyPr/>
        <a:lstStyle/>
        <a:p>
          <a:endParaRPr lang="ru-RU" sz="1100">
            <a:latin typeface="Times New Roman" panose="02020603050405020304" pitchFamily="18" charset="0"/>
            <a:cs typeface="Times New Roman" panose="02020603050405020304" pitchFamily="18" charset="0"/>
          </a:endParaRPr>
        </a:p>
      </dgm:t>
    </dgm:pt>
    <dgm:pt modelId="{C578CECB-37FD-4066-9F6A-1E1ACA38553A}">
      <dgm:prSet custT="1"/>
      <dgm:spPr/>
      <dgm:t>
        <a:bodyPr/>
        <a:lstStyle/>
        <a:p>
          <a:r>
            <a:rPr lang="ru-RU" sz="1100">
              <a:latin typeface="Times New Roman" panose="02020603050405020304" pitchFamily="18" charset="0"/>
              <a:cs typeface="Times New Roman" panose="02020603050405020304" pitchFamily="18" charset="0"/>
            </a:rPr>
            <a:t>утверждение стандартов (правил) эмиссии ценных бумаг, проспектов эмиссии и порядка регистрации выпусков ценных бумаг; </a:t>
          </a:r>
        </a:p>
      </dgm:t>
    </dgm:pt>
    <dgm:pt modelId="{573E30F6-A9AD-471D-8EF8-A1B4DD07E737}" type="parTrans" cxnId="{6CDFDD3B-CE3E-443D-AF24-FE8EA0A9E6FF}">
      <dgm:prSet/>
      <dgm:spPr/>
      <dgm:t>
        <a:bodyPr/>
        <a:lstStyle/>
        <a:p>
          <a:endParaRPr lang="ru-RU" sz="1100">
            <a:latin typeface="Times New Roman" panose="02020603050405020304" pitchFamily="18" charset="0"/>
            <a:cs typeface="Times New Roman" panose="02020603050405020304" pitchFamily="18" charset="0"/>
          </a:endParaRPr>
        </a:p>
      </dgm:t>
    </dgm:pt>
    <dgm:pt modelId="{2172BE8B-5EC8-47E3-AB63-71960155E2E3}" type="sibTrans" cxnId="{6CDFDD3B-CE3E-443D-AF24-FE8EA0A9E6FF}">
      <dgm:prSet/>
      <dgm:spPr/>
      <dgm:t>
        <a:bodyPr/>
        <a:lstStyle/>
        <a:p>
          <a:endParaRPr lang="ru-RU" sz="1100">
            <a:latin typeface="Times New Roman" panose="02020603050405020304" pitchFamily="18" charset="0"/>
            <a:cs typeface="Times New Roman" panose="02020603050405020304" pitchFamily="18" charset="0"/>
          </a:endParaRPr>
        </a:p>
      </dgm:t>
    </dgm:pt>
    <dgm:pt modelId="{D99EF71C-D88D-42A9-8063-0BBB27A33232}">
      <dgm:prSet custT="1"/>
      <dgm:spPr/>
      <dgm:t>
        <a:bodyPr/>
        <a:lstStyle/>
        <a:p>
          <a:r>
            <a:rPr lang="ru-RU" sz="1100">
              <a:latin typeface="Times New Roman" panose="02020603050405020304" pitchFamily="18" charset="0"/>
              <a:cs typeface="Times New Roman" panose="02020603050405020304" pitchFamily="18" charset="0"/>
            </a:rPr>
            <a:t>утверждение единых требований к правилам осуществления профессиональной деятельности с ценными бумагами; </a:t>
          </a:r>
        </a:p>
      </dgm:t>
    </dgm:pt>
    <dgm:pt modelId="{5E4A75D7-3A49-4047-B041-33E866084BF3}" type="parTrans" cxnId="{6CCFD84E-7211-4545-BD08-B1195815A3A9}">
      <dgm:prSet/>
      <dgm:spPr/>
      <dgm:t>
        <a:bodyPr/>
        <a:lstStyle/>
        <a:p>
          <a:endParaRPr lang="ru-RU" sz="1100">
            <a:latin typeface="Times New Roman" panose="02020603050405020304" pitchFamily="18" charset="0"/>
            <a:cs typeface="Times New Roman" panose="02020603050405020304" pitchFamily="18" charset="0"/>
          </a:endParaRPr>
        </a:p>
      </dgm:t>
    </dgm:pt>
    <dgm:pt modelId="{899F33CA-2AD4-47D8-A093-B6158A7D75C6}" type="sibTrans" cxnId="{6CCFD84E-7211-4545-BD08-B1195815A3A9}">
      <dgm:prSet/>
      <dgm:spPr/>
      <dgm:t>
        <a:bodyPr/>
        <a:lstStyle/>
        <a:p>
          <a:endParaRPr lang="ru-RU" sz="1100">
            <a:latin typeface="Times New Roman" panose="02020603050405020304" pitchFamily="18" charset="0"/>
            <a:cs typeface="Times New Roman" panose="02020603050405020304" pitchFamily="18" charset="0"/>
          </a:endParaRPr>
        </a:p>
      </dgm:t>
    </dgm:pt>
    <dgm:pt modelId="{72E67DCF-40E8-40A7-932E-65B6A8994BF9}">
      <dgm:prSet custT="1"/>
      <dgm:spPr/>
      <dgm:t>
        <a:bodyPr/>
        <a:lstStyle/>
        <a:p>
          <a:r>
            <a:rPr lang="ru-RU" sz="1050">
              <a:latin typeface="Times New Roman" panose="02020603050405020304" pitchFamily="18" charset="0"/>
              <a:cs typeface="Times New Roman" panose="02020603050405020304" pitchFamily="18" charset="0"/>
            </a:rPr>
            <a:t>установление порядка лицензирования профессиональных видов деятельности на рынке ценных бумаг и осуществление лицензирования</a:t>
          </a:r>
        </a:p>
      </dgm:t>
    </dgm:pt>
    <dgm:pt modelId="{291B3348-1DA0-49EB-80B3-D71F33D09D4A}" type="parTrans" cxnId="{CD8237B4-607F-4B34-AF63-715A8D10E490}">
      <dgm:prSet/>
      <dgm:spPr/>
      <dgm:t>
        <a:bodyPr/>
        <a:lstStyle/>
        <a:p>
          <a:endParaRPr lang="ru-RU" sz="1100">
            <a:latin typeface="Times New Roman" panose="02020603050405020304" pitchFamily="18" charset="0"/>
            <a:cs typeface="Times New Roman" panose="02020603050405020304" pitchFamily="18" charset="0"/>
          </a:endParaRPr>
        </a:p>
      </dgm:t>
    </dgm:pt>
    <dgm:pt modelId="{B9C71742-8198-4F7E-83E1-FE18EF2BBF0B}" type="sibTrans" cxnId="{CD8237B4-607F-4B34-AF63-715A8D10E490}">
      <dgm:prSet/>
      <dgm:spPr/>
      <dgm:t>
        <a:bodyPr/>
        <a:lstStyle/>
        <a:p>
          <a:endParaRPr lang="ru-RU" sz="1100">
            <a:latin typeface="Times New Roman" panose="02020603050405020304" pitchFamily="18" charset="0"/>
            <a:cs typeface="Times New Roman" panose="02020603050405020304" pitchFamily="18" charset="0"/>
          </a:endParaRPr>
        </a:p>
      </dgm:t>
    </dgm:pt>
    <dgm:pt modelId="{69B364AA-1A52-4D22-AFB6-25DFC2D5ECE1}">
      <dgm:prSet custT="1"/>
      <dgm:spPr/>
      <dgm:t>
        <a:bodyPr/>
        <a:lstStyle/>
        <a:p>
          <a:r>
            <a:rPr lang="ru-RU" sz="1100">
              <a:latin typeface="Times New Roman" panose="02020603050405020304" pitchFamily="18" charset="0"/>
              <a:cs typeface="Times New Roman" panose="02020603050405020304" pitchFamily="18" charset="0"/>
            </a:rPr>
            <a:t>обеспечение создания общедоступной системы раскрытия информации на рынке ценных бумаг; </a:t>
          </a:r>
        </a:p>
      </dgm:t>
    </dgm:pt>
    <dgm:pt modelId="{58B7072E-38E5-41F0-A4F7-2F0AC2326AD0}" type="parTrans" cxnId="{04D416A0-F811-42EF-B36B-977A1D5EF722}">
      <dgm:prSet/>
      <dgm:spPr/>
      <dgm:t>
        <a:bodyPr/>
        <a:lstStyle/>
        <a:p>
          <a:endParaRPr lang="ru-RU" sz="1100">
            <a:latin typeface="Times New Roman" panose="02020603050405020304" pitchFamily="18" charset="0"/>
            <a:cs typeface="Times New Roman" panose="02020603050405020304" pitchFamily="18" charset="0"/>
          </a:endParaRPr>
        </a:p>
      </dgm:t>
    </dgm:pt>
    <dgm:pt modelId="{A7C68AAF-B520-4BD4-8AC9-9E3C095F109D}" type="sibTrans" cxnId="{04D416A0-F811-42EF-B36B-977A1D5EF722}">
      <dgm:prSet/>
      <dgm:spPr/>
      <dgm:t>
        <a:bodyPr/>
        <a:lstStyle/>
        <a:p>
          <a:endParaRPr lang="ru-RU" sz="1100">
            <a:latin typeface="Times New Roman" panose="02020603050405020304" pitchFamily="18" charset="0"/>
            <a:cs typeface="Times New Roman" panose="02020603050405020304" pitchFamily="18" charset="0"/>
          </a:endParaRPr>
        </a:p>
      </dgm:t>
    </dgm:pt>
    <dgm:pt modelId="{67D94F02-E520-46BE-A3B6-4829016FD681}">
      <dgm:prSet custT="1"/>
      <dgm:spPr/>
      <dgm:t>
        <a:bodyPr/>
        <a:lstStyle/>
        <a:p>
          <a:r>
            <a:rPr lang="ru-RU" sz="1100">
              <a:latin typeface="Times New Roman" panose="02020603050405020304" pitchFamily="18" charset="0"/>
              <a:cs typeface="Times New Roman" panose="02020603050405020304" pitchFamily="18" charset="0"/>
            </a:rPr>
            <a:t>осуществление контроля за деятельностью эмитентов и профессиональных участников рынка ценных бумаг; </a:t>
          </a:r>
        </a:p>
      </dgm:t>
    </dgm:pt>
    <dgm:pt modelId="{36AF8EFC-2732-4893-BDD3-57818D9BB81D}" type="parTrans" cxnId="{C1E4D940-4F11-426A-B927-231D329878F0}">
      <dgm:prSet/>
      <dgm:spPr/>
      <dgm:t>
        <a:bodyPr/>
        <a:lstStyle/>
        <a:p>
          <a:endParaRPr lang="ru-RU" sz="1100">
            <a:latin typeface="Times New Roman" panose="02020603050405020304" pitchFamily="18" charset="0"/>
            <a:cs typeface="Times New Roman" panose="02020603050405020304" pitchFamily="18" charset="0"/>
          </a:endParaRPr>
        </a:p>
      </dgm:t>
    </dgm:pt>
    <dgm:pt modelId="{63F81095-7986-486A-974E-A9752070D0F2}" type="sibTrans" cxnId="{C1E4D940-4F11-426A-B927-231D329878F0}">
      <dgm:prSet/>
      <dgm:spPr/>
      <dgm:t>
        <a:bodyPr/>
        <a:lstStyle/>
        <a:p>
          <a:endParaRPr lang="ru-RU" sz="1100">
            <a:latin typeface="Times New Roman" panose="02020603050405020304" pitchFamily="18" charset="0"/>
            <a:cs typeface="Times New Roman" panose="02020603050405020304" pitchFamily="18" charset="0"/>
          </a:endParaRPr>
        </a:p>
      </dgm:t>
    </dgm:pt>
    <dgm:pt modelId="{86DF451B-95C5-409F-B9D1-0CCD8B43F21E}">
      <dgm:prSet custT="1"/>
      <dgm:spPr/>
      <dgm:t>
        <a:bodyPr/>
        <a:lstStyle/>
        <a:p>
          <a:r>
            <a:rPr lang="ru-RU" sz="1100">
              <a:latin typeface="Times New Roman" panose="02020603050405020304" pitchFamily="18" charset="0"/>
              <a:cs typeface="Times New Roman" panose="02020603050405020304" pitchFamily="18" charset="0"/>
            </a:rPr>
            <a:t>защита прав инвесторов, в том числе в судебном порядке. </a:t>
          </a:r>
        </a:p>
      </dgm:t>
    </dgm:pt>
    <dgm:pt modelId="{C517D55C-A5E5-4FA1-8502-8C312A7323F6}" type="parTrans" cxnId="{8740043A-0D77-43FA-AAAA-3DF7A8CB771E}">
      <dgm:prSet/>
      <dgm:spPr/>
      <dgm:t>
        <a:bodyPr/>
        <a:lstStyle/>
        <a:p>
          <a:endParaRPr lang="ru-RU" sz="1100">
            <a:latin typeface="Times New Roman" panose="02020603050405020304" pitchFamily="18" charset="0"/>
            <a:cs typeface="Times New Roman" panose="02020603050405020304" pitchFamily="18" charset="0"/>
          </a:endParaRPr>
        </a:p>
      </dgm:t>
    </dgm:pt>
    <dgm:pt modelId="{A34CB728-EE3B-40E2-9F53-466C966279B7}" type="sibTrans" cxnId="{8740043A-0D77-43FA-AAAA-3DF7A8CB771E}">
      <dgm:prSet/>
      <dgm:spPr/>
      <dgm:t>
        <a:bodyPr/>
        <a:lstStyle/>
        <a:p>
          <a:endParaRPr lang="ru-RU" sz="1100">
            <a:latin typeface="Times New Roman" panose="02020603050405020304" pitchFamily="18" charset="0"/>
            <a:cs typeface="Times New Roman" panose="02020603050405020304" pitchFamily="18" charset="0"/>
          </a:endParaRPr>
        </a:p>
      </dgm:t>
    </dgm:pt>
    <dgm:pt modelId="{1596EF01-7634-492B-927E-51D16948E200}" type="pres">
      <dgm:prSet presAssocID="{9D7E763F-D060-40C2-AF09-D73C58D8BDC9}" presName="diagram" presStyleCnt="0">
        <dgm:presLayoutVars>
          <dgm:dir/>
          <dgm:resizeHandles val="exact"/>
        </dgm:presLayoutVars>
      </dgm:prSet>
      <dgm:spPr/>
      <dgm:t>
        <a:bodyPr/>
        <a:lstStyle/>
        <a:p>
          <a:endParaRPr lang="ru-RU"/>
        </a:p>
      </dgm:t>
    </dgm:pt>
    <dgm:pt modelId="{6E1F9BDE-E9AC-46FF-99A4-77D744447E7E}" type="pres">
      <dgm:prSet presAssocID="{BA1E7D56-8E51-454B-9508-0F5D3D790970}" presName="node" presStyleLbl="node1" presStyleIdx="0" presStyleCnt="7">
        <dgm:presLayoutVars>
          <dgm:bulletEnabled val="1"/>
        </dgm:presLayoutVars>
      </dgm:prSet>
      <dgm:spPr/>
      <dgm:t>
        <a:bodyPr/>
        <a:lstStyle/>
        <a:p>
          <a:endParaRPr lang="ru-RU"/>
        </a:p>
      </dgm:t>
    </dgm:pt>
    <dgm:pt modelId="{EB16E4AE-7A57-4635-9B90-53461051739F}" type="pres">
      <dgm:prSet presAssocID="{07C606A0-36F9-4837-B686-2A825CFDF151}" presName="sibTrans" presStyleCnt="0"/>
      <dgm:spPr/>
    </dgm:pt>
    <dgm:pt modelId="{E0665BF1-8CC6-4471-AB78-863888ABD680}" type="pres">
      <dgm:prSet presAssocID="{C578CECB-37FD-4066-9F6A-1E1ACA38553A}" presName="node" presStyleLbl="node1" presStyleIdx="1" presStyleCnt="7">
        <dgm:presLayoutVars>
          <dgm:bulletEnabled val="1"/>
        </dgm:presLayoutVars>
      </dgm:prSet>
      <dgm:spPr/>
      <dgm:t>
        <a:bodyPr/>
        <a:lstStyle/>
        <a:p>
          <a:endParaRPr lang="ru-RU"/>
        </a:p>
      </dgm:t>
    </dgm:pt>
    <dgm:pt modelId="{2D15701C-85FE-43F6-B74C-CD5F813A68C2}" type="pres">
      <dgm:prSet presAssocID="{2172BE8B-5EC8-47E3-AB63-71960155E2E3}" presName="sibTrans" presStyleCnt="0"/>
      <dgm:spPr/>
    </dgm:pt>
    <dgm:pt modelId="{7D62CCEE-3E02-4950-B68E-FF205A9D4989}" type="pres">
      <dgm:prSet presAssocID="{D99EF71C-D88D-42A9-8063-0BBB27A33232}" presName="node" presStyleLbl="node1" presStyleIdx="2" presStyleCnt="7">
        <dgm:presLayoutVars>
          <dgm:bulletEnabled val="1"/>
        </dgm:presLayoutVars>
      </dgm:prSet>
      <dgm:spPr/>
      <dgm:t>
        <a:bodyPr/>
        <a:lstStyle/>
        <a:p>
          <a:endParaRPr lang="ru-RU"/>
        </a:p>
      </dgm:t>
    </dgm:pt>
    <dgm:pt modelId="{F0E556A8-C3F7-441A-9D78-5CD64A5EC486}" type="pres">
      <dgm:prSet presAssocID="{899F33CA-2AD4-47D8-A093-B6158A7D75C6}" presName="sibTrans" presStyleCnt="0"/>
      <dgm:spPr/>
    </dgm:pt>
    <dgm:pt modelId="{ADF53F34-7A07-43DC-9C2D-4575BC237E9D}" type="pres">
      <dgm:prSet presAssocID="{72E67DCF-40E8-40A7-932E-65B6A8994BF9}" presName="node" presStyleLbl="node1" presStyleIdx="3" presStyleCnt="7">
        <dgm:presLayoutVars>
          <dgm:bulletEnabled val="1"/>
        </dgm:presLayoutVars>
      </dgm:prSet>
      <dgm:spPr/>
      <dgm:t>
        <a:bodyPr/>
        <a:lstStyle/>
        <a:p>
          <a:endParaRPr lang="ru-RU"/>
        </a:p>
      </dgm:t>
    </dgm:pt>
    <dgm:pt modelId="{BE742CBA-9C92-4722-912D-823060B6887D}" type="pres">
      <dgm:prSet presAssocID="{B9C71742-8198-4F7E-83E1-FE18EF2BBF0B}" presName="sibTrans" presStyleCnt="0"/>
      <dgm:spPr/>
    </dgm:pt>
    <dgm:pt modelId="{971755C8-EDEE-424A-8D9E-91FCAB5CDEFB}" type="pres">
      <dgm:prSet presAssocID="{69B364AA-1A52-4D22-AFB6-25DFC2D5ECE1}" presName="node" presStyleLbl="node1" presStyleIdx="4" presStyleCnt="7">
        <dgm:presLayoutVars>
          <dgm:bulletEnabled val="1"/>
        </dgm:presLayoutVars>
      </dgm:prSet>
      <dgm:spPr/>
      <dgm:t>
        <a:bodyPr/>
        <a:lstStyle/>
        <a:p>
          <a:endParaRPr lang="ru-RU"/>
        </a:p>
      </dgm:t>
    </dgm:pt>
    <dgm:pt modelId="{9F71E581-3903-4320-98E8-E5D9EF449F71}" type="pres">
      <dgm:prSet presAssocID="{A7C68AAF-B520-4BD4-8AC9-9E3C095F109D}" presName="sibTrans" presStyleCnt="0"/>
      <dgm:spPr/>
    </dgm:pt>
    <dgm:pt modelId="{4ACDE19F-F356-476E-85D9-31E2A915D153}" type="pres">
      <dgm:prSet presAssocID="{67D94F02-E520-46BE-A3B6-4829016FD681}" presName="node" presStyleLbl="node1" presStyleIdx="5" presStyleCnt="7">
        <dgm:presLayoutVars>
          <dgm:bulletEnabled val="1"/>
        </dgm:presLayoutVars>
      </dgm:prSet>
      <dgm:spPr/>
      <dgm:t>
        <a:bodyPr/>
        <a:lstStyle/>
        <a:p>
          <a:endParaRPr lang="ru-RU"/>
        </a:p>
      </dgm:t>
    </dgm:pt>
    <dgm:pt modelId="{E9EC3089-2480-4752-BF23-48FC85981E55}" type="pres">
      <dgm:prSet presAssocID="{63F81095-7986-486A-974E-A9752070D0F2}" presName="sibTrans" presStyleCnt="0"/>
      <dgm:spPr/>
    </dgm:pt>
    <dgm:pt modelId="{E4A8E1F9-2507-4947-B3DD-31E1579D0046}" type="pres">
      <dgm:prSet presAssocID="{86DF451B-95C5-409F-B9D1-0CCD8B43F21E}" presName="node" presStyleLbl="node1" presStyleIdx="6" presStyleCnt="7">
        <dgm:presLayoutVars>
          <dgm:bulletEnabled val="1"/>
        </dgm:presLayoutVars>
      </dgm:prSet>
      <dgm:spPr/>
      <dgm:t>
        <a:bodyPr/>
        <a:lstStyle/>
        <a:p>
          <a:endParaRPr lang="ru-RU"/>
        </a:p>
      </dgm:t>
    </dgm:pt>
  </dgm:ptLst>
  <dgm:cxnLst>
    <dgm:cxn modelId="{8740043A-0D77-43FA-AAAA-3DF7A8CB771E}" srcId="{9D7E763F-D060-40C2-AF09-D73C58D8BDC9}" destId="{86DF451B-95C5-409F-B9D1-0CCD8B43F21E}" srcOrd="6" destOrd="0" parTransId="{C517D55C-A5E5-4FA1-8502-8C312A7323F6}" sibTransId="{A34CB728-EE3B-40E2-9F53-466C966279B7}"/>
    <dgm:cxn modelId="{B7790607-7175-4252-B873-A66B1D0F380C}" type="presOf" srcId="{72E67DCF-40E8-40A7-932E-65B6A8994BF9}" destId="{ADF53F34-7A07-43DC-9C2D-4575BC237E9D}" srcOrd="0" destOrd="0" presId="urn:microsoft.com/office/officeart/2005/8/layout/default"/>
    <dgm:cxn modelId="{932B6282-618D-443F-99FB-AC10D5CCBFBD}" type="presOf" srcId="{86DF451B-95C5-409F-B9D1-0CCD8B43F21E}" destId="{E4A8E1F9-2507-4947-B3DD-31E1579D0046}" srcOrd="0" destOrd="0" presId="urn:microsoft.com/office/officeart/2005/8/layout/default"/>
    <dgm:cxn modelId="{67BB17D6-651A-4F7A-9983-C2A95E32A016}" type="presOf" srcId="{69B364AA-1A52-4D22-AFB6-25DFC2D5ECE1}" destId="{971755C8-EDEE-424A-8D9E-91FCAB5CDEFB}" srcOrd="0" destOrd="0" presId="urn:microsoft.com/office/officeart/2005/8/layout/default"/>
    <dgm:cxn modelId="{0BB68948-3EF3-422F-8B6C-F2AD861EDDF4}" type="presOf" srcId="{67D94F02-E520-46BE-A3B6-4829016FD681}" destId="{4ACDE19F-F356-476E-85D9-31E2A915D153}" srcOrd="0" destOrd="0" presId="urn:microsoft.com/office/officeart/2005/8/layout/default"/>
    <dgm:cxn modelId="{FF16AE23-C0C2-43CE-9606-2E0AE01950C0}" type="presOf" srcId="{D99EF71C-D88D-42A9-8063-0BBB27A33232}" destId="{7D62CCEE-3E02-4950-B68E-FF205A9D4989}" srcOrd="0" destOrd="0" presId="urn:microsoft.com/office/officeart/2005/8/layout/default"/>
    <dgm:cxn modelId="{53C7583B-DE30-4132-9625-8258AAC91383}" type="presOf" srcId="{9D7E763F-D060-40C2-AF09-D73C58D8BDC9}" destId="{1596EF01-7634-492B-927E-51D16948E200}" srcOrd="0" destOrd="0" presId="urn:microsoft.com/office/officeart/2005/8/layout/default"/>
    <dgm:cxn modelId="{1AC65F62-EE34-469C-8E6F-D37D8F990B38}" type="presOf" srcId="{BA1E7D56-8E51-454B-9508-0F5D3D790970}" destId="{6E1F9BDE-E9AC-46FF-99A4-77D744447E7E}" srcOrd="0" destOrd="0" presId="urn:microsoft.com/office/officeart/2005/8/layout/default"/>
    <dgm:cxn modelId="{CD8237B4-607F-4B34-AF63-715A8D10E490}" srcId="{9D7E763F-D060-40C2-AF09-D73C58D8BDC9}" destId="{72E67DCF-40E8-40A7-932E-65B6A8994BF9}" srcOrd="3" destOrd="0" parTransId="{291B3348-1DA0-49EB-80B3-D71F33D09D4A}" sibTransId="{B9C71742-8198-4F7E-83E1-FE18EF2BBF0B}"/>
    <dgm:cxn modelId="{04D416A0-F811-42EF-B36B-977A1D5EF722}" srcId="{9D7E763F-D060-40C2-AF09-D73C58D8BDC9}" destId="{69B364AA-1A52-4D22-AFB6-25DFC2D5ECE1}" srcOrd="4" destOrd="0" parTransId="{58B7072E-38E5-41F0-A4F7-2F0AC2326AD0}" sibTransId="{A7C68AAF-B520-4BD4-8AC9-9E3C095F109D}"/>
    <dgm:cxn modelId="{C1E4D940-4F11-426A-B927-231D329878F0}" srcId="{9D7E763F-D060-40C2-AF09-D73C58D8BDC9}" destId="{67D94F02-E520-46BE-A3B6-4829016FD681}" srcOrd="5" destOrd="0" parTransId="{36AF8EFC-2732-4893-BDD3-57818D9BB81D}" sibTransId="{63F81095-7986-486A-974E-A9752070D0F2}"/>
    <dgm:cxn modelId="{6CDFDD3B-CE3E-443D-AF24-FE8EA0A9E6FF}" srcId="{9D7E763F-D060-40C2-AF09-D73C58D8BDC9}" destId="{C578CECB-37FD-4066-9F6A-1E1ACA38553A}" srcOrd="1" destOrd="0" parTransId="{573E30F6-A9AD-471D-8EF8-A1B4DD07E737}" sibTransId="{2172BE8B-5EC8-47E3-AB63-71960155E2E3}"/>
    <dgm:cxn modelId="{244FB9F6-C61D-49C2-A395-C70D39364C34}" type="presOf" srcId="{C578CECB-37FD-4066-9F6A-1E1ACA38553A}" destId="{E0665BF1-8CC6-4471-AB78-863888ABD680}" srcOrd="0" destOrd="0" presId="urn:microsoft.com/office/officeart/2005/8/layout/default"/>
    <dgm:cxn modelId="{6CCFD84E-7211-4545-BD08-B1195815A3A9}" srcId="{9D7E763F-D060-40C2-AF09-D73C58D8BDC9}" destId="{D99EF71C-D88D-42A9-8063-0BBB27A33232}" srcOrd="2" destOrd="0" parTransId="{5E4A75D7-3A49-4047-B041-33E866084BF3}" sibTransId="{899F33CA-2AD4-47D8-A093-B6158A7D75C6}"/>
    <dgm:cxn modelId="{9B140F45-F48A-478E-913D-A5A69BE55851}" srcId="{9D7E763F-D060-40C2-AF09-D73C58D8BDC9}" destId="{BA1E7D56-8E51-454B-9508-0F5D3D790970}" srcOrd="0" destOrd="0" parTransId="{CE18BF7F-2ED0-492C-9F62-E6829C722CF0}" sibTransId="{07C606A0-36F9-4837-B686-2A825CFDF151}"/>
    <dgm:cxn modelId="{9C0B771E-4DFD-4514-814C-E8239D7F33B9}" type="presParOf" srcId="{1596EF01-7634-492B-927E-51D16948E200}" destId="{6E1F9BDE-E9AC-46FF-99A4-77D744447E7E}" srcOrd="0" destOrd="0" presId="urn:microsoft.com/office/officeart/2005/8/layout/default"/>
    <dgm:cxn modelId="{EFD6DF62-4BEE-46BB-BECE-1F12EB52B17E}" type="presParOf" srcId="{1596EF01-7634-492B-927E-51D16948E200}" destId="{EB16E4AE-7A57-4635-9B90-53461051739F}" srcOrd="1" destOrd="0" presId="urn:microsoft.com/office/officeart/2005/8/layout/default"/>
    <dgm:cxn modelId="{9836F6BA-B31C-4DA2-AFBC-C4DFD44AF770}" type="presParOf" srcId="{1596EF01-7634-492B-927E-51D16948E200}" destId="{E0665BF1-8CC6-4471-AB78-863888ABD680}" srcOrd="2" destOrd="0" presId="urn:microsoft.com/office/officeart/2005/8/layout/default"/>
    <dgm:cxn modelId="{1B28B644-7E10-40CE-814D-8F8B98125356}" type="presParOf" srcId="{1596EF01-7634-492B-927E-51D16948E200}" destId="{2D15701C-85FE-43F6-B74C-CD5F813A68C2}" srcOrd="3" destOrd="0" presId="urn:microsoft.com/office/officeart/2005/8/layout/default"/>
    <dgm:cxn modelId="{1912F29A-EC8B-4F0A-99E1-77C7124C7DC5}" type="presParOf" srcId="{1596EF01-7634-492B-927E-51D16948E200}" destId="{7D62CCEE-3E02-4950-B68E-FF205A9D4989}" srcOrd="4" destOrd="0" presId="urn:microsoft.com/office/officeart/2005/8/layout/default"/>
    <dgm:cxn modelId="{2EE47893-115D-44C2-80AD-F0C900297C3C}" type="presParOf" srcId="{1596EF01-7634-492B-927E-51D16948E200}" destId="{F0E556A8-C3F7-441A-9D78-5CD64A5EC486}" srcOrd="5" destOrd="0" presId="urn:microsoft.com/office/officeart/2005/8/layout/default"/>
    <dgm:cxn modelId="{3FF5CE8E-672B-4E16-821D-884E741A58A1}" type="presParOf" srcId="{1596EF01-7634-492B-927E-51D16948E200}" destId="{ADF53F34-7A07-43DC-9C2D-4575BC237E9D}" srcOrd="6" destOrd="0" presId="urn:microsoft.com/office/officeart/2005/8/layout/default"/>
    <dgm:cxn modelId="{9BF630CB-CE0E-4274-A71A-F483CB72CBD7}" type="presParOf" srcId="{1596EF01-7634-492B-927E-51D16948E200}" destId="{BE742CBA-9C92-4722-912D-823060B6887D}" srcOrd="7" destOrd="0" presId="urn:microsoft.com/office/officeart/2005/8/layout/default"/>
    <dgm:cxn modelId="{BE273AE0-4250-4B7F-BE43-A41FB218441A}" type="presParOf" srcId="{1596EF01-7634-492B-927E-51D16948E200}" destId="{971755C8-EDEE-424A-8D9E-91FCAB5CDEFB}" srcOrd="8" destOrd="0" presId="urn:microsoft.com/office/officeart/2005/8/layout/default"/>
    <dgm:cxn modelId="{2CD01974-DCD1-47DB-8FF5-98BCBC81F2C4}" type="presParOf" srcId="{1596EF01-7634-492B-927E-51D16948E200}" destId="{9F71E581-3903-4320-98E8-E5D9EF449F71}" srcOrd="9" destOrd="0" presId="urn:microsoft.com/office/officeart/2005/8/layout/default"/>
    <dgm:cxn modelId="{0D011CBC-6357-4139-A544-AB28C30E6B71}" type="presParOf" srcId="{1596EF01-7634-492B-927E-51D16948E200}" destId="{4ACDE19F-F356-476E-85D9-31E2A915D153}" srcOrd="10" destOrd="0" presId="urn:microsoft.com/office/officeart/2005/8/layout/default"/>
    <dgm:cxn modelId="{01830D5C-1DF0-4684-9F29-95C7D9F25FF8}" type="presParOf" srcId="{1596EF01-7634-492B-927E-51D16948E200}" destId="{E9EC3089-2480-4752-BF23-48FC85981E55}" srcOrd="11" destOrd="0" presId="urn:microsoft.com/office/officeart/2005/8/layout/default"/>
    <dgm:cxn modelId="{36A7F12E-58F8-4781-83FB-4AB50EB0BB73}" type="presParOf" srcId="{1596EF01-7634-492B-927E-51D16948E200}" destId="{E4A8E1F9-2507-4947-B3DD-31E1579D0046}" srcOrd="12" destOrd="0" presId="urn:microsoft.com/office/officeart/2005/8/layout/default"/>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1F9BDE-E9AC-46FF-99A4-77D744447E7E}">
      <dsp:nvSpPr>
        <dsp:cNvPr id="0" name=""/>
        <dsp:cNvSpPr/>
      </dsp:nvSpPr>
      <dsp:spPr>
        <a:xfrm>
          <a:off x="184308" y="892"/>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anose="02020603050405020304" pitchFamily="18" charset="0"/>
              <a:cs typeface="Times New Roman" panose="02020603050405020304" pitchFamily="18" charset="0"/>
            </a:rPr>
            <a:t>разработка основных направлений развития рынка ценных бумаг и координация деятельности государственных органов в этой сфере; </a:t>
          </a:r>
        </a:p>
      </dsp:txBody>
      <dsp:txXfrm>
        <a:off x="184308" y="892"/>
        <a:ext cx="1599307" cy="959584"/>
      </dsp:txXfrm>
    </dsp:sp>
    <dsp:sp modelId="{E0665BF1-8CC6-4471-AB78-863888ABD680}">
      <dsp:nvSpPr>
        <dsp:cNvPr id="0" name=""/>
        <dsp:cNvSpPr/>
      </dsp:nvSpPr>
      <dsp:spPr>
        <a:xfrm>
          <a:off x="1943546" y="892"/>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утверждение стандартов (правил) эмиссии ценных бумаг, проспектов эмиссии и порядка регистрации выпусков ценных бумаг; </a:t>
          </a:r>
        </a:p>
      </dsp:txBody>
      <dsp:txXfrm>
        <a:off x="1943546" y="892"/>
        <a:ext cx="1599307" cy="959584"/>
      </dsp:txXfrm>
    </dsp:sp>
    <dsp:sp modelId="{7D62CCEE-3E02-4950-B68E-FF205A9D4989}">
      <dsp:nvSpPr>
        <dsp:cNvPr id="0" name=""/>
        <dsp:cNvSpPr/>
      </dsp:nvSpPr>
      <dsp:spPr>
        <a:xfrm>
          <a:off x="3702784" y="892"/>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утверждение единых требований к правилам осуществления профессиональной деятельности с ценными бумагами; </a:t>
          </a:r>
        </a:p>
      </dsp:txBody>
      <dsp:txXfrm>
        <a:off x="3702784" y="892"/>
        <a:ext cx="1599307" cy="959584"/>
      </dsp:txXfrm>
    </dsp:sp>
    <dsp:sp modelId="{ADF53F34-7A07-43DC-9C2D-4575BC237E9D}">
      <dsp:nvSpPr>
        <dsp:cNvPr id="0" name=""/>
        <dsp:cNvSpPr/>
      </dsp:nvSpPr>
      <dsp:spPr>
        <a:xfrm>
          <a:off x="184308" y="1120407"/>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anose="02020603050405020304" pitchFamily="18" charset="0"/>
              <a:cs typeface="Times New Roman" panose="02020603050405020304" pitchFamily="18" charset="0"/>
            </a:rPr>
            <a:t>установление порядка лицензирования профессиональных видов деятельности на рынке ценных бумаг и осуществление лицензирования</a:t>
          </a:r>
        </a:p>
      </dsp:txBody>
      <dsp:txXfrm>
        <a:off x="184308" y="1120407"/>
        <a:ext cx="1599307" cy="959584"/>
      </dsp:txXfrm>
    </dsp:sp>
    <dsp:sp modelId="{971755C8-EDEE-424A-8D9E-91FCAB5CDEFB}">
      <dsp:nvSpPr>
        <dsp:cNvPr id="0" name=""/>
        <dsp:cNvSpPr/>
      </dsp:nvSpPr>
      <dsp:spPr>
        <a:xfrm>
          <a:off x="1943546" y="1120407"/>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обеспечение создания общедоступной системы раскрытия информации на рынке ценных бумаг; </a:t>
          </a:r>
        </a:p>
      </dsp:txBody>
      <dsp:txXfrm>
        <a:off x="1943546" y="1120407"/>
        <a:ext cx="1599307" cy="959584"/>
      </dsp:txXfrm>
    </dsp:sp>
    <dsp:sp modelId="{4ACDE19F-F356-476E-85D9-31E2A915D153}">
      <dsp:nvSpPr>
        <dsp:cNvPr id="0" name=""/>
        <dsp:cNvSpPr/>
      </dsp:nvSpPr>
      <dsp:spPr>
        <a:xfrm>
          <a:off x="3702784" y="1120407"/>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осуществление контроля за деятельностью эмитентов и профессиональных участников рынка ценных бумаг; </a:t>
          </a:r>
        </a:p>
      </dsp:txBody>
      <dsp:txXfrm>
        <a:off x="3702784" y="1120407"/>
        <a:ext cx="1599307" cy="959584"/>
      </dsp:txXfrm>
    </dsp:sp>
    <dsp:sp modelId="{E4A8E1F9-2507-4947-B3DD-31E1579D0046}">
      <dsp:nvSpPr>
        <dsp:cNvPr id="0" name=""/>
        <dsp:cNvSpPr/>
      </dsp:nvSpPr>
      <dsp:spPr>
        <a:xfrm>
          <a:off x="1943546" y="2239922"/>
          <a:ext cx="1599307" cy="9595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защита прав инвесторов, в том числе в судебном порядке. </a:t>
          </a:r>
        </a:p>
      </dsp:txBody>
      <dsp:txXfrm>
        <a:off x="1943546" y="2239922"/>
        <a:ext cx="1599307" cy="959584"/>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307F-A13C-47B9-B82E-2187EFB6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5457</Words>
  <Characters>31106</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Пользователь Windows</cp:lastModifiedBy>
  <cp:revision>2</cp:revision>
  <dcterms:created xsi:type="dcterms:W3CDTF">2015-01-11T09:41:00Z</dcterms:created>
  <dcterms:modified xsi:type="dcterms:W3CDTF">2015-01-11T09:41:00Z</dcterms:modified>
</cp:coreProperties>
</file>