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DE1" w:rsidRPr="00740DE1" w:rsidRDefault="002F6F21" w:rsidP="00740DE1">
      <w:pPr>
        <w:shd w:val="clear" w:color="auto" w:fill="FFFFFF"/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  <w:r w:rsidRPr="002F6F21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>Введение</w:t>
      </w:r>
    </w:p>
    <w:p w:rsidR="00740DE1" w:rsidRPr="00740DE1" w:rsidRDefault="00740DE1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E1">
        <w:rPr>
          <w:rFonts w:ascii="Times New Roman" w:hAnsi="Times New Roman" w:cs="Times New Roman"/>
          <w:sz w:val="28"/>
          <w:szCs w:val="28"/>
        </w:rPr>
        <w:t>Сегодня стабилизировалась политическая ситуация</w:t>
      </w:r>
      <w:r>
        <w:rPr>
          <w:rFonts w:ascii="Times New Roman" w:hAnsi="Times New Roman" w:cs="Times New Roman"/>
          <w:sz w:val="28"/>
          <w:szCs w:val="28"/>
        </w:rPr>
        <w:t xml:space="preserve"> в России</w:t>
      </w:r>
      <w:r w:rsidRPr="00740DE1">
        <w:rPr>
          <w:rFonts w:ascii="Times New Roman" w:hAnsi="Times New Roman" w:cs="Times New Roman"/>
          <w:sz w:val="28"/>
          <w:szCs w:val="28"/>
        </w:rPr>
        <w:t>, наблюдается оживление экономики, которого удалось добиться именно благодаря окрепшему частному сектору.</w:t>
      </w:r>
    </w:p>
    <w:p w:rsidR="00740DE1" w:rsidRPr="00740DE1" w:rsidRDefault="00740DE1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E1">
        <w:rPr>
          <w:rFonts w:ascii="Times New Roman" w:hAnsi="Times New Roman" w:cs="Times New Roman"/>
          <w:sz w:val="28"/>
          <w:szCs w:val="28"/>
        </w:rPr>
        <w:t>Следует отметить, что Россия все еще обладает значительным потенциалом ускоренного развития. Огромный интеллектуальный капитал, созданные основы рыночных институтов, обширные природные ресурсы, основные элементы производственной и коммуникационной инфраструктуры, накопленные финансовые сбережения, - все эти факторы создают позитивные предпосылки для обновления страны. Главная задача заключается в том, чтобы ускорить этот процесс. В среднесрочной перспективе необходимо предотвратить дальнейшее увеличение разрыва между Россией и развитыми странами, а в долгосрочной перспективе – восстановить и упрочить позиции России как одной из стран-лидеров мирового развития.</w:t>
      </w:r>
    </w:p>
    <w:p w:rsidR="00740DE1" w:rsidRPr="00740DE1" w:rsidRDefault="00740DE1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E1">
        <w:rPr>
          <w:rFonts w:ascii="Times New Roman" w:hAnsi="Times New Roman" w:cs="Times New Roman"/>
          <w:sz w:val="28"/>
          <w:szCs w:val="28"/>
        </w:rPr>
        <w:t>Система социальной поддержки, основу которой составляют всеобщие социальные трансферты, субсидии на товары и услуги, а также категориальные льготы, принципиально неспособна решать задачу перераспределения ресурсов в пользу наиболее нуждающихся домохозяйств. В условиях возросшего недофинансирования социальных программ эта проблема приобрела особенно большую остроту, в том числе политическую.</w:t>
      </w:r>
    </w:p>
    <w:p w:rsidR="00740DE1" w:rsidRDefault="00740DE1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E1">
        <w:rPr>
          <w:rFonts w:ascii="Times New Roman" w:hAnsi="Times New Roman" w:cs="Times New Roman"/>
          <w:sz w:val="28"/>
          <w:szCs w:val="28"/>
        </w:rPr>
        <w:t>Ни одна из социальных функций государства не реализуется в тех количественных и качественных параметрах, которые предусмотрены законом. Эффективность ряда направлений социальной политики, таких как выплата пособий на детей и финансирование программ занятости, достигла критически низкого уровня. Существенно возрос уровень фактической платности услуг здравоохранения и образования, что сделало многие из этих услуг недоступными для малообеспеченных слоев населения. Следовательно, реформирование социальной политики стало задачей, решение которой нельзя дальше откладывать.</w:t>
      </w:r>
    </w:p>
    <w:p w:rsidR="005048D2" w:rsidRDefault="005048D2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Объектом исследования данной контрольной работы является современное</w:t>
      </w:r>
      <w:r w:rsidRPr="005048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понятие о</w:t>
      </w:r>
      <w:r w:rsidRPr="005048D2">
        <w:rPr>
          <w:rFonts w:ascii="Times New Roman" w:hAnsi="Times New Roman" w:cs="Times New Roman"/>
          <w:sz w:val="28"/>
          <w:szCs w:val="28"/>
        </w:rPr>
        <w:t xml:space="preserve"> социально-экономической политики в условиях рыночной экономики.</w:t>
      </w:r>
    </w:p>
    <w:p w:rsidR="005048D2" w:rsidRPr="005048D2" w:rsidRDefault="005048D2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8D2">
        <w:rPr>
          <w:rFonts w:ascii="Times New Roman" w:hAnsi="Times New Roman" w:cs="Times New Roman"/>
          <w:sz w:val="28"/>
          <w:szCs w:val="28"/>
        </w:rPr>
        <w:t xml:space="preserve">Предметом исследования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48D2">
        <w:rPr>
          <w:rFonts w:ascii="Times New Roman" w:hAnsi="Times New Roman" w:cs="Times New Roman"/>
          <w:sz w:val="28"/>
          <w:szCs w:val="28"/>
        </w:rPr>
        <w:t>социально-правовые и экономические реалии обеспечивающие достойный уровень доходов и качество жизни населения в условиях рыночной.</w:t>
      </w:r>
    </w:p>
    <w:p w:rsidR="00EE507E" w:rsidRDefault="005048D2" w:rsidP="00740DE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8D2">
        <w:rPr>
          <w:rFonts w:ascii="Times New Roman" w:hAnsi="Times New Roman" w:cs="Times New Roman"/>
          <w:sz w:val="28"/>
          <w:szCs w:val="28"/>
        </w:rPr>
        <w:t xml:space="preserve">Основная цель данной работы - всесторонний анализ социально-экономической политики </w:t>
      </w:r>
      <w:r w:rsidR="003A0F3E">
        <w:rPr>
          <w:rFonts w:ascii="Times New Roman" w:hAnsi="Times New Roman" w:cs="Times New Roman"/>
          <w:sz w:val="28"/>
          <w:szCs w:val="28"/>
        </w:rPr>
        <w:t>современной России.</w:t>
      </w:r>
    </w:p>
    <w:p w:rsidR="003A0F3E" w:rsidRDefault="003A0F3E" w:rsidP="003A0F3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F3E"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3A0F3E" w:rsidRDefault="003A0F3E" w:rsidP="003A0F3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F3E">
        <w:rPr>
          <w:rFonts w:ascii="Times New Roman" w:hAnsi="Times New Roman" w:cs="Times New Roman"/>
          <w:sz w:val="28"/>
          <w:szCs w:val="28"/>
        </w:rPr>
        <w:t>Проанализировать понятие социально-экономической политики.</w:t>
      </w:r>
    </w:p>
    <w:p w:rsidR="003A0F3E" w:rsidRDefault="003A0F3E" w:rsidP="003A0F3E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F3E">
        <w:rPr>
          <w:rFonts w:ascii="Times New Roman" w:hAnsi="Times New Roman" w:cs="Times New Roman"/>
          <w:sz w:val="28"/>
          <w:szCs w:val="28"/>
        </w:rPr>
        <w:t>Охарактеризовать основные направления по развитию социально-экономической политики РФ.</w:t>
      </w:r>
    </w:p>
    <w:p w:rsidR="003A0F3E" w:rsidRDefault="003A0F3E" w:rsidP="003A0F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0F3E">
        <w:rPr>
          <w:rFonts w:ascii="Times New Roman" w:hAnsi="Times New Roman" w:cs="Times New Roman"/>
          <w:sz w:val="28"/>
          <w:szCs w:val="28"/>
        </w:rPr>
        <w:t>При выполнении данной курсовой работы использованы следующие методы: статистико-экономические, анализа и синтеза, исторический подход, сравнительный и системный метод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0F3E" w:rsidRPr="00592A1E" w:rsidRDefault="003A0F3E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Теоретической основой для написания данной работы послужили труды ученых, экономистов, различные справочные материалы о социально-экономической политике. Среди авторов, чьи работы были проанализированы при на</w:t>
      </w:r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писании данного исследования мож</w:t>
      </w: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отметить публикации </w:t>
      </w:r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Чапурина М.Н. Курс экономической теории</w:t>
      </w: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56EF1">
        <w:rPr>
          <w:rFonts w:ascii="Times New Roman" w:hAnsi="Times New Roman" w:cs="Times New Roman"/>
          <w:color w:val="000000" w:themeColor="text1"/>
          <w:sz w:val="28"/>
          <w:szCs w:val="28"/>
        </w:rPr>
        <w:t>Малевой</w:t>
      </w:r>
      <w:proofErr w:type="spellEnd"/>
      <w:r w:rsidR="00F56EF1" w:rsidRPr="00F56E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Т.М. Государственная социальная политика - М.: Инфра, 2013</w:t>
      </w: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Носова С.С. Экономическая теория</w:t>
      </w: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Захарова М.Л., «Социальная защита», </w:t>
      </w:r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компании "</w:t>
      </w:r>
      <w:proofErr w:type="spellStart"/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КонсультантПлюс</w:t>
      </w:r>
      <w:proofErr w:type="spellEnd"/>
      <w:r w:rsidR="00592A1E"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0F3E" w:rsidRPr="00592A1E" w:rsidRDefault="003A0F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73E22" w:rsidRPr="00D73E22" w:rsidRDefault="003A0F3E" w:rsidP="00D73E22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D73E22">
        <w:rPr>
          <w:rFonts w:ascii="Times New Roman" w:hAnsi="Times New Roman" w:cs="Times New Roman"/>
          <w:b/>
          <w:i/>
          <w:sz w:val="36"/>
          <w:szCs w:val="36"/>
        </w:rPr>
        <w:lastRenderedPageBreak/>
        <w:t xml:space="preserve">Основные понятие и задачи социально-экономической политики. </w:t>
      </w:r>
    </w:p>
    <w:p w:rsidR="00D73E22" w:rsidRDefault="00D73E22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0F3E" w:rsidRDefault="003A0F3E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В широком смысле слова социальным принято называть все, что непосредственно относится к обществу, людям,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жизни. Так как экономика - </w:t>
      </w: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это система жизнеобеспечения людей и общества, то по своей целевой направленности все экономические процессы в той или иной степени одновременно имеют социальную окраску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0F3E" w:rsidRDefault="003A0F3E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К социальной сфере принято относить экономические объекты и процессы, виды экономической деятельности, непосредственно связанные и касающиеся образа жизни людей, потребления населением материальных и духовных благ, услуг, удовлетворения конечных запросов человека, семьи, коллективов, групп, общества в целом.</w:t>
      </w:r>
    </w:p>
    <w:p w:rsidR="003A0F3E" w:rsidRDefault="003A0F3E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 экономика - это часть экономики, связанная с потребностями людей и потреблением ими благ и услуг. Социальная экономика как наука изучает, исследует, анализирует природу возникновения потребностей, потребительские запросы, структуру потребления, выделяет рациональные потребности человека, семьи, социальных групп, регионов, общества с учетом разнообразия самих потребностей и потребителей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</w:p>
    <w:p w:rsidR="003A0F3E" w:rsidRDefault="003A0F3E" w:rsidP="003A0F3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С другой стороны, в зону действия социальной экономики попадают доходы различных слоев и групп населения. Виды, природа возникновения, источники, уровень доходов, включая в первую очеред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денежные доходы населения, - </w:t>
      </w:r>
      <w:r w:rsidRPr="003A0F3E">
        <w:rPr>
          <w:rFonts w:ascii="Times New Roman" w:hAnsi="Times New Roman" w:cs="Times New Roman"/>
          <w:color w:val="000000" w:themeColor="text1"/>
          <w:sz w:val="28"/>
          <w:szCs w:val="28"/>
        </w:rPr>
        <w:t>это все вопросы социальной экономики.</w:t>
      </w:r>
    </w:p>
    <w:p w:rsidR="00E4192B" w:rsidRPr="00E4192B" w:rsidRDefault="00E4192B" w:rsidP="00E4192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Существует два основных экономических метода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регулирования:</w:t>
      </w:r>
    </w:p>
    <w:p w:rsidR="00217328" w:rsidRDefault="00E4192B" w:rsidP="0021732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1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Определенная и достаточно жесткая налоговая политика, которая позволяет государству успешно решать его социальные задачи, а </w:t>
      </w:r>
      <w:r w:rsidRPr="00E419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также перераспределять часть национального дохода в целях более сбалансированного развития производственных сил общества;</w:t>
      </w:r>
    </w:p>
    <w:p w:rsidR="003A0F3E" w:rsidRDefault="00E4192B" w:rsidP="00217328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328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наиболее благоприятных условий хозяйствования в приоритетных отраслях экономики, развитие которых дает наибольшую выгоду обществу в целом.</w:t>
      </w:r>
    </w:p>
    <w:p w:rsidR="00217328" w:rsidRDefault="00217328" w:rsidP="00217328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328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Социальная политика правового государства предполагает</w:t>
      </w:r>
      <w:r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17328" w:rsidRDefault="00217328" w:rsidP="00217328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328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социальных благ независимо от трудового вклада в целях обеспечения достойного уровня жизни для всех.</w:t>
      </w:r>
    </w:p>
    <w:p w:rsidR="00217328" w:rsidRDefault="00217328" w:rsidP="00217328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32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 выделяет необходимые средства на здравоохранение, культурный отдых, просвещение, строительство жилья, четкую работу транспорта и связи. Тем самым обеспечивается надлежащая реализация социальных прав, которыми должны в максимальном объеме пользоваться все граждане государства.</w:t>
      </w:r>
      <w:r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D230C0" w:rsidRDefault="00D2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D230C0" w:rsidRDefault="00D230C0" w:rsidP="00D230C0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lastRenderedPageBreak/>
        <w:t>II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.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Основные направления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бюджетной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политики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на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2014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год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и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плановый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период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2015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и</w:t>
      </w:r>
      <w:r w:rsidRPr="00D230C0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2016 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годов.</w:t>
      </w:r>
    </w:p>
    <w:p w:rsidR="00D230C0" w:rsidRDefault="00D230C0" w:rsidP="00D230C0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30C0" w:rsidRDefault="00D230C0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0C0">
        <w:rPr>
          <w:rFonts w:ascii="Times New Roman" w:hAnsi="Times New Roman" w:cs="Times New Roman"/>
          <w:color w:val="000000" w:themeColor="text1"/>
          <w:sz w:val="28"/>
          <w:szCs w:val="28"/>
        </w:rPr>
        <w:t>В основу бюджетной политики на 2014 год и на плановый период 2015 и 2016 годов положены стратегические цели развития страны, сформулированные в указах Президента Российской Федерации от 7 мая 2012 года, Концепции долгосрочного социально-экономического развития Российской Федерации на период до 2020 года, Основных направлениях деятельности Правительства Российской Федерации на период до 2018 года, а также основные положения Бюджетного послания Президента Российской Федерации о бюджетной политике в 2014 - 2016 годах</w:t>
      </w:r>
      <w:r w:rsidR="00D73E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3E22" w:rsidRDefault="00D73E22" w:rsidP="00D73E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D73E22" w:rsidRPr="00D73E22" w:rsidRDefault="00D73E22" w:rsidP="00D73E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  <w:r w:rsidRPr="00D73E22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1. Основные параметры прогноза социально-экономического</w:t>
      </w: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 xml:space="preserve"> р</w:t>
      </w:r>
      <w:r w:rsidRPr="00D73E22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азвития Российской Федерации</w:t>
      </w: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.</w:t>
      </w:r>
    </w:p>
    <w:p w:rsidR="00D73E22" w:rsidRPr="00D6588D" w:rsidRDefault="00D73E22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3E22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В основу бюджетной политики на 2014 год и на плановый период 2015 и 2016 годов положены стратегические цели развития страны, сформулированные в указах Президента Российской Федерации от 7 мая 2012 года, Концепции долгосрочного социально-экономического развития Российской Федерации на период до 2020 года, Основных направлениях деятельности Правительства Российской Федерации на период до 2018 года, а также основные положения Бюджетного послания Президента Российской Федерации о бюджетной политике в 2014 - 2016 годах</w:t>
      </w:r>
    </w:p>
    <w:p w:rsidR="00D6588D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В основе расчетов основных параметров федерального бюджета на 2014 - 2016 годы лежат сценарные условия функционирования экономики Российской Федерации и основные параметры прогноза социально-экономического развития Российской Федерации на 2014 год и плановый период 2015 и 2016 годов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588D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Основными причинами замедления экономического роста в России являются снижение темпов мирового экономического роста (нерешенные долговые проблемы еврозоны, США, замедление экономики Китая), снижение цен на нефть. Также негативное влияние на замедление экономического роста оказали и внутренние проблемы российской экономики.</w:t>
      </w:r>
    </w:p>
    <w:p w:rsidR="00D6588D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этим необходима реализация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модернизации.</w:t>
      </w:r>
    </w:p>
    <w:p w:rsidR="00BD575E" w:rsidRDefault="00D6588D" w:rsidP="00BD575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решению Президента, в течение 5 лет, начиная с 2014 г., тарифы естественных монополий будут расти темпами, не превышающими уровень инфляции предыдущего года, одновременно компании должны предпринимать меры по сокращению издержек. Это позволит сдерживать уровень инфляции, существенный вклад в которую в последние годы вносил опережающий рост тарифов. Кроме того, такой подход позволит предотвратить потерю конкурентоспособности российскими производителями в результате существенного роста расходов на оплату услуг естественных монополий. Более низкий уровень инфляции, в свою очередь, должен оказать положительное влияние на инвестиционную активность, необходимую для поддержания стабильного экономического роста.</w:t>
      </w:r>
    </w:p>
    <w:p w:rsidR="00D6588D" w:rsidRPr="008B4DF6" w:rsidRDefault="00D6588D" w:rsidP="00BD575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0" w:name="_GoBack"/>
      <w:r w:rsidRPr="008B4DF6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2. Основные цели бюджетной политики в 2014 - 2016 годах.</w:t>
      </w:r>
    </w:p>
    <w:bookmarkEnd w:id="0"/>
    <w:p w:rsidR="00D6588D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8D" w:rsidRDefault="00D6588D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Проект федерального бюджета на 2014 год и на плановый период 2015 и 2016 годов сформирован в соответствии со следующими базовыми подходами:</w:t>
      </w:r>
    </w:p>
    <w:p w:rsidR="00D6588D" w:rsidRPr="00D6588D" w:rsidRDefault="00D6588D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1. Формирование бюджетных параметров исходя из необходимости безусловного исполнения действующих расходных обязательств, с учетом их оптимизации и повышения эффективности использования финансовых ресурсов.</w:t>
      </w:r>
    </w:p>
    <w:p w:rsidR="00D6588D" w:rsidRPr="00D6588D" w:rsidRDefault="00D6588D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Реализация подхода заключается в обязательном приоритете целей и задач, государственных обязательств, установленных действующим законодательством РФ и документами государственного стратегического планирования, при формировании проекта федерального бюджета на очередной финансовый год и плановый период.</w:t>
      </w:r>
    </w:p>
    <w:p w:rsidR="00D6588D" w:rsidRPr="00D6588D" w:rsidRDefault="00D6588D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2. Минимизация рисков несбалансированности бюджетов бюджетной системы Российской Федерации при бюджетном планировании.</w:t>
      </w:r>
    </w:p>
    <w:p w:rsidR="00D6588D" w:rsidRDefault="00D6588D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88D">
        <w:rPr>
          <w:rFonts w:ascii="Times New Roman" w:hAnsi="Times New Roman" w:cs="Times New Roman"/>
          <w:color w:val="000000" w:themeColor="text1"/>
          <w:sz w:val="28"/>
          <w:szCs w:val="28"/>
        </w:rPr>
        <w:t>Для этого формирование проекта федерального бюджета должно основываться на реалистичных оценках и прогнозах социально-экономического развития Российской Федерации в средне- и долгосрочном периодах и учитывать перспективные параметры других бюджетов бюджетной системы РФ.</w:t>
      </w:r>
    </w:p>
    <w:p w:rsidR="00F91D0B" w:rsidRDefault="00F91D0B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устойчивости федерального бюджета и снижение его зависимости от внешнеэкономических факторов в долгосрочной перспективе.</w:t>
      </w:r>
    </w:p>
    <w:p w:rsidR="00F91D0B" w:rsidRDefault="00F91D0B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инструментом применения этого подхода выступают "бюджетные правила", обеспечивающи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последовательное сокращение </w:t>
      </w: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нефтегазового дефицита федерального бюджета и сохранение объема государственного долга Российской Федерации на экономически безопасном уровне (не превышающем 20% ВВП).</w:t>
      </w:r>
    </w:p>
    <w:p w:rsidR="00F91D0B" w:rsidRPr="00F91D0B" w:rsidRDefault="00F91D0B" w:rsidP="00F91D0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4. Сравнительная оценка эффективности новых расходных обязательств с учетом сроков и механизмов их реализации.</w:t>
      </w:r>
    </w:p>
    <w:p w:rsidR="00F91D0B" w:rsidRPr="00F91D0B" w:rsidRDefault="00F91D0B" w:rsidP="00F91D0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Ограниченность финансовых ресурсов федерального бюджета в обязательном порядке предполагает выбор приоритетных расходных обязательств, позволяющих достичь наилучшего результата, в том числе в долгосрочном периоде.</w:t>
      </w:r>
    </w:p>
    <w:p w:rsidR="00F91D0B" w:rsidRPr="00F91D0B" w:rsidRDefault="00F91D0B" w:rsidP="00F91D0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5.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F91D0B" w:rsidRPr="00F91D0B" w:rsidRDefault="00F91D0B" w:rsidP="00F91D0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 инструментом данного элемента бюджетной политики будет являться программно-целевой метод, повышающий ответственность и </w:t>
      </w: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заинтересованность ответственных исполнителей государственных программ за достижение наилучших результатов в рамках ограниченных финансовых ресурсах.</w:t>
      </w:r>
    </w:p>
    <w:p w:rsidR="00F91D0B" w:rsidRDefault="00F91D0B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1D0B" w:rsidRDefault="00F91D0B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1D0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указанных подходов в 2014 - 2016 годах в целом определена положениями Бюджетного послания.</w:t>
      </w:r>
    </w:p>
    <w:p w:rsidR="00F91D0B" w:rsidRDefault="00F91D0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F91D0B" w:rsidRPr="00F91D0B" w:rsidRDefault="00081B78" w:rsidP="00F91D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  <w:lang w:val="en-US"/>
        </w:rPr>
        <w:lastRenderedPageBreak/>
        <w:t>III</w:t>
      </w:r>
      <w:r w:rsidR="00F91D0B" w:rsidRPr="00F91D0B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. Основные подходы к формированию бюджетных расходов на 2014 - 2016 годы</w:t>
      </w:r>
    </w:p>
    <w:p w:rsidR="00F91D0B" w:rsidRPr="00081B78" w:rsidRDefault="00081B78" w:rsidP="00081B78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  <w:r w:rsidRPr="00081B78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Структура и динамика расходов федерального бюджета по разделам классификации расходов бюджетов</w:t>
      </w:r>
    </w:p>
    <w:p w:rsidR="00F91D0B" w:rsidRPr="00D6588D" w:rsidRDefault="00F91D0B" w:rsidP="00D6588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588D" w:rsidRDefault="00081B78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Динамика расходов федерального бюджета по разделам классификации расходов бюджетов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характеризуется данны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ми, представлена</w:t>
      </w: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Приложении 1.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Рост доли расходов федерального бюджета по разделу "Национальная оборона" в 2014 - 2015 годах обусловлен следующими факторами: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- индексацией оплаты труда работников федеральных государственных учреждений, денежного содержания федеральных государственных гражданских служащих, денежного довольствия военнослужащих;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- ростом расходов, обусловленных увеличением в течение пяти лет численности военнослужащих, проходящих военную службу по контракту, не менее чем на 50 тыс. единиц ежегодно с учетом существующей практики поэтапного в течение всего года поступлении военнослужащих на военную службу по контракту.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доля федерального бюджета в общем объеме расходов на оборону превышает 98 процентов.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Понижающий тренд динамики расходов федерального бюджета по разделу "Жилищно-коммунальное хозяйство" сложился за счет следующих факторов: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- уменьшение имущественного взноса Российской Федерации в Государственную корпорацию - Фонд содействия реформированию жилищно-коммунального хозяйства на 36,4 млрд. рублей в 2015 году по отношению к 2014 году и на 20,9 млрд. рублей в 2016 году по отношению к 2015 году.</w:t>
      </w:r>
    </w:p>
    <w:p w:rsidR="00081B78" w:rsidRP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средства федерального бюджета направляются Фондом ЖКХ на оказание финансовой поддержки субъектам Российской Федерации и муниципальным образованиям на реализацию региональных программ по </w:t>
      </w: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капитальному ремонту многоквартирных домов, переселению граждан из аварийного жилищного фонда, модернизации систем коммунальной инфраструктуры. Учитывая прекращение деятельности указанного Фонда в 2018 году, в целях повышения эффективности бюджетных расходов распределение имущественного взноса максимально смещено на начало реализации указанных программ (2013 - 2014 годы);</w:t>
      </w:r>
    </w:p>
    <w:p w:rsidR="00081B78" w:rsidRDefault="00081B78" w:rsidP="00081B7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необходимо учитывать, что доля расходов федерального бюджета в общем объеме бюджетных расходов на жилищно-коммунальное хозяйство составляет менее 10% (</w:t>
      </w:r>
      <w:r w:rsidR="00535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Pr="00081B78">
        <w:rPr>
          <w:rFonts w:ascii="Times New Roman" w:hAnsi="Times New Roman" w:cs="Times New Roman"/>
          <w:color w:val="000000" w:themeColor="text1"/>
          <w:sz w:val="28"/>
          <w:szCs w:val="28"/>
        </w:rPr>
        <w:t>2).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фактором, повлиявшим на снижение объемов бюджетных ассигнований федерального бюджета по разделу "Образование", является завершение ряда проектов, в том числе уменьшение расходов федерального бюджета, предоставляемых в виде межбюджетных трансфертов бюджетам субъектов Российской Федерации.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В 2013 году предусмотрено завершение проекта по модернизации региональных систем общего образования, основной целью которого, кроме укрепления материальной базы школ, является также повышение заработной платы учителей. В 2013 году на его реализацию из федерального бюджета было направлено 40,0 млрд. рублей.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Указа Президента Российской Федерации от 7 мая 2012 г. N 599 "О мерах по реализации государственной политики в области образования и науки" на мероприятия по ликвидации очередности в дошкольные учреждения для детей в возрасте от 3 до 7 лет и по достижению к 2016 году 100-процентной доступности дошкольного образования для детей данной возрастной категории во всех субъектах Российской Федерации в 2013 году из федерального бюджета направлено 50,0 млрд. рублей.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В целях приведения полномочий органов государственной власти субъектов Российской Федерации и местного самоуправления в соответствие законодательству о разграничении полномочий между различными уровнями власти в Российской Федерации: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с 2014 года предусмотрена отмена субсидирования за счет федерального бюджета выплаты денежного вознаграждения за классное руководство в сумме 11,45 млрд. рублей;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- с 2015 года предусмотрена отмена субсидирования за счет федерального бюджета реализации мероприятий по проведению оздоровительной кампании детей, находящихся в трудной жизненной ситуации, в сумме 4,6 млрд. рублей.</w:t>
      </w:r>
    </w:p>
    <w:p w:rsid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необходимо учитывать, что расходы федерального бюджета по разделу "Образование" (без учета межбюджетных трансфертов) в основном относятся к сфере высшего образования и составляют менее 20% от общего объема расходов бюджетной системы на образование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3).</w:t>
      </w:r>
    </w:p>
    <w:p w:rsid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тенденцией по разделу "Здравоохранение" является увеличение государственных расходов на здравоохранение за счет всех бюджетов бюджетной системы Российской Федерации с одновременным усилением акцента на системе обязательного медицинского страхования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4).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Положительная динамика по данному разделу обеспечивается: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- наполнением системы обязательного медицинского страхования за счет увеличения размеров взносов на обязательное медицинское страхование;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- внедрением единого порядка распределения, предоставления и расходования субвенций из бюджета Федерального фонда обязательного медицинского страхования на осуществление переданных органам государственной власти субъектов Российской Федерации полномочий в сфере обязательного медицинского страхования;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- наполнением базовой программы обязательного медицинского страхования по видам медицинской помощи и по экономическому содержанию.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 в течение 2014 - 2016 годов общего объема расходов на здравоохранение за счет всех источников финансового обеспечения позволит </w:t>
      </w: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решить задачи государственной политики в сфере здравоохранения, определенные указами Президента Российской Федерации от 7 мая 2012 года.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Доля расходов федерального бюджета (без учета межбюджетных трансфертов) в общем объеме расходов на здравоохранение уменьшится с 16,3% в 2013 году до 10,1% в 2016 году, доля консолидированных бюджетов субъектов Российской Федерации - соответственно с 41,2% до 39,9%, в то время как доля расходов фондов обязательного медицинского страхования за этот период вырастет с 42,4% до 50,0 процентов.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 объема бюджетных ассигнований по разделу "Физическая культура и спорт" в 2013 - 2016 годах обусловлено сокращением расходов федерального бюджета, предусмотренных на организацию и проведение XXII Олимпийских зимних игр и ХI </w:t>
      </w:r>
      <w:proofErr w:type="spellStart"/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Паралимпийских</w:t>
      </w:r>
      <w:proofErr w:type="spellEnd"/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зимних игр 2014 года в городе Сочи и на проведение Всемирной летней универсиады в г. Казани в 2013 году, а также увеличением расходов на подготовку к проведению чемпионата мира по футболу 2018 году в Российской Федерации, предусмотренных утвержденной Правительством Российской Федерации программой подготовки к проведению чемпионата мира по футболу 2018 года в Российской Федерации.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необходимо учитывать, что доля расходов федерального бюджета в общем объеме бюджетных расходов на физическую культуру и спорт составляет около 30%.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составе расходов по указанному разделу зарезервированы бюджетные ассигнования на содержание олимпийских объектов, передаваемых Министерству спорта Российской Федерации в соответствии с Программой постолимпийского использования олимпийских объектов, а также бюджетные ассигнования на осуществление прочих мероприятий по реализации программы подготовки к проведению чемпионата мира по футболу 2018 года в Российской Федерации, которые впоследствии могут быть перераспределены между соответствующими главными распорядителями </w:t>
      </w: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средств федерального бюджета, разделами и подразделами классификации расходов федерального бюджета.</w:t>
      </w:r>
    </w:p>
    <w:p w:rsidR="005351FB" w:rsidRPr="005351FB" w:rsidRDefault="005351FB" w:rsidP="005351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1FB">
        <w:rPr>
          <w:rFonts w:ascii="Times New Roman" w:hAnsi="Times New Roman" w:cs="Times New Roman"/>
          <w:color w:val="000000" w:themeColor="text1"/>
          <w:sz w:val="28"/>
          <w:szCs w:val="28"/>
        </w:rPr>
        <w:t>При увеличении общего объема расходов бюджетов бюджетной системы по разделу "Культура и кинематография" в 2016 году по сравнению с 2013 годом в 1,3 раза доля федерального бюджета в общих расходах за этот период сократится с 25,3% до 20,2 процента.</w:t>
      </w:r>
    </w:p>
    <w:p w:rsidR="005351FB" w:rsidRPr="005D1A33" w:rsidRDefault="005D1A33" w:rsidP="005D1A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  <w:r w:rsidRPr="005D1A33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Межбюджетные трансферты бюджетам государственных внебюджетных фондов Российской Федерации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Одной из ключевых государственных задач в сфере бюджетной политики является обеспечение сбалансированности бюджета Пенсионного фонда Российской Федерации в долгосрочной перспективе с учетом растущих демографических рисков.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целях решения задачи по развитию пенсионного страхования продолжена работа по подготовке комплексных предложений по обеспечению сбалансированности и совершенствованию пенсионной системы.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 в 2012 году распоряжением Правительства Российской Федерации от 25 декабря 2012 года N 2524-р утверждена Стратегия долгосрочного развития пенсионной системы Российской Федерации, реализация задач которой окажет влияние на параметры бюджета Пенсионного фонда Российской Федерации в 2014 - 2016 годах.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 страховых взносов на обязательное пенсионное страхование на 2014 - 2016 годы определены исходя из базового тарифа 22% и тарифа 10% с сумм выплат, превышающих предельную величину базы для начисления страховых взносов, с учетом уплаты работодателями страховых взносов на накопительную часть трудовой пенсии (НЧП) в размере 2% и 6% исходя из выбора застрахованным лицом 1967 г.р. и моложе варианта своего пенсионного обеспечения.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отдельных категорий плательщиков, определенных законодательством, применены пониженные тарифы страховых взносов с учетом установленных законодательством сроков их действия.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мероприятий на обеспечение сбалансированности бюджета Пенсионного фонда Российской Федерации, учтены поступления по дополнительным тарифам, установленным для отдельных категорий страхователей в отношении выплат работникам, занятым на работах с особыми условиями труда (</w:t>
      </w:r>
      <w:proofErr w:type="spellStart"/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досрочники</w:t>
      </w:r>
      <w:proofErr w:type="spellEnd"/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выплаты пенсий и других социальных выплат, финансируемых в соответствии с действующим законодательством за счет ассигнований федерального бюджета, будет осуществляться за счет межбюджетных трансфертов из федерального бюджета, передаваемых бюджету Пенсионного фонда Российской Федерации.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Минимальный уровень пенсионного обеспечения с учетом мер социальной поддержки и установления федеральной или региональной социальной доплаты к пенсии будет поддерживаться на уровне прожиточного минимума пенсионера в субъекте Российской Федерации.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целях решения демографических проблем и укрепления системы социальной защиты материнства и детства значительное внимание уделяется социальной поддержке семей с детьми.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Размер материнского (семейного) капитала ежегодно увеличивается с учетом темпов роста инфляции и устанавливается федеральным законом о федеральном бюджете на соответствующий финансовый год и на плановый период.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Объем межбюджетных трансфертов, направляемых бюджету Фонда социального страхования Российской Федерации в 2014 - 2016 годах на обеспечение мер социальной поддержки граждан, определяется с учетом индексации размеров пособий и социальных выплат и численности граждан, имеющих право на получение соответствующих пособий и социальных выплат.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Формирование бюджета Фонда на 2014 год и на плановый период 2015 и 2016 годов осуществляется с учетом действующего законодательства Российской Федерации.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связи со значительным ростом расходов на выплату пособий по временной нетрудоспособности, по беременности и родам, по уходу за ребенком в последние годы достаточно остро стоит вопрос обеспечения устойчивости и сбалансированности системы обязательного социального страхования на случай временной нетрудоспособности и в связи с материнством.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По аналогии с бюджетом Пенсионного фонда Российской Федерации, начиная с 2013 года бюджетные ассигнования федерального бюджета, направляемые до 2013 года на покрытие дефицита бюджета Фонда социального страхования Российской Федерации, передаются в бюджет Фонда в форме межбюджетного трансферта на обеспечение сбалансированности бюджета Фонда.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В основу формирования бюджета Федерального фонда обязательного медицинского страхования на 2014 год и на плановый период 2015 и 2016 годов легли макроэкономические показатели, в целом характеризующие ожидаемый рост российской экономики.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основной задачи бюджета Федерального фонда обязательного медицинского страхования - обеспечение расходных обязательств субъектов Российской Федерации, с целью выравнивания финансового обеспечения бюджетов территориальных фондов обязательного медицинского страхования для создания равных условий гражданам Российской Федерации на получение качественной медицинской помощи в рамках базовой программы обязательного медицинского страхования, будет осуществляться путем предоставления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страхования.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За счет субвенций планируется: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увеличить </w:t>
      </w:r>
      <w:r w:rsidR="00A94FDB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обеспечение расходов</w:t>
      </w: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- поэтапно повышать опла</w:t>
      </w:r>
      <w:r w:rsidR="00A94FDB">
        <w:rPr>
          <w:rFonts w:ascii="Times New Roman" w:hAnsi="Times New Roman" w:cs="Times New Roman"/>
          <w:color w:val="000000" w:themeColor="text1"/>
          <w:sz w:val="28"/>
          <w:szCs w:val="28"/>
        </w:rPr>
        <w:t>ту труда медицинских работников</w:t>
      </w: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D1A33" w:rsidRPr="005D1A33" w:rsidRDefault="005D1A33" w:rsidP="005D1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1A33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диспансеризацию работающих граждан, а также пребывающих в стационарных учреждениях детей-сирот и детей, находящихся в трудной жизненной ситуации.</w:t>
      </w:r>
      <w:r w:rsidR="00CE5223"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A94FDB" w:rsidRDefault="00A94FD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081B78" w:rsidRDefault="006E4013" w:rsidP="006E40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 w:rsidRPr="006E4013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lastRenderedPageBreak/>
        <w:t>Заключение</w:t>
      </w:r>
    </w:p>
    <w:p w:rsidR="00CE5223" w:rsidRPr="006E4013" w:rsidRDefault="00CE5223" w:rsidP="006E40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</w:p>
    <w:p w:rsidR="006E4013" w:rsidRPr="006E4013" w:rsidRDefault="006E4013" w:rsidP="006E40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4013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теории социального государства программной целью государства является обеспечение до</w:t>
      </w:r>
      <w:r w:rsidR="00CE5223">
        <w:rPr>
          <w:rFonts w:ascii="Times New Roman" w:hAnsi="Times New Roman" w:cs="Times New Roman"/>
          <w:color w:val="000000" w:themeColor="text1"/>
          <w:sz w:val="28"/>
          <w:szCs w:val="28"/>
        </w:rPr>
        <w:t>стойных условий жизни населения</w:t>
      </w:r>
      <w:r w:rsidRPr="006E4013">
        <w:rPr>
          <w:rFonts w:ascii="Times New Roman" w:hAnsi="Times New Roman" w:cs="Times New Roman"/>
          <w:color w:val="000000" w:themeColor="text1"/>
          <w:sz w:val="28"/>
          <w:szCs w:val="28"/>
        </w:rPr>
        <w:t>. Государство обязано создавать условия для развития человека. Механизм государственного регулирования должен быть направлен на обеспечение благосостояния всего населения. Задачей государственных органов управления при этом становится нахождение баланса между саморегулированием рынка и государственным вмешательством, дозирование объемов хозяйственной свободы и государственных социальных гарантий. В этой связи особое значение приобретает проблема встраивания в рыночное хозяйство государственных форм регулирования экономических и особенно социальных процессов. Регулирование социальных процессов и проведение социальной политики, направленной на снижение социальных издержек, становится одной из основных функций государства.</w:t>
      </w:r>
    </w:p>
    <w:p w:rsidR="006E4013" w:rsidRDefault="006E4013" w:rsidP="006E40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4013">
        <w:rPr>
          <w:rFonts w:ascii="Times New Roman" w:hAnsi="Times New Roman" w:cs="Times New Roman"/>
          <w:color w:val="000000" w:themeColor="text1"/>
          <w:sz w:val="28"/>
          <w:szCs w:val="28"/>
        </w:rPr>
        <w:t>Главная цель социальной политики - значительное сокращение масштабов бедности; повышение защиты социально уязвимых домохозяйств, которые не имеют возможностей для самостоятельного решения социальных проблем и нуждаются в государственной поддержке; обеспечение всеобщей доступности и общественно приемлемого качества базовых социальных благ.</w:t>
      </w:r>
    </w:p>
    <w:p w:rsidR="00592A1E" w:rsidRDefault="00CE5223" w:rsidP="006E40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522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инструментом достижения целей государственной политики должны стать государственные программы, требования к которым будут вытекать из документов стратегического планирования, а механизмы и объемы их финансового обеспечения устанавливаться в долгосрочной бюджетной стратегии, трехлетних бюджетах и Программе повышения эффективности управления общественными (государственными и муниципальными) финансами на период до 2018 года.</w:t>
      </w:r>
    </w:p>
    <w:p w:rsidR="00592A1E" w:rsidRDefault="00592A1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CE5223" w:rsidRPr="00592A1E" w:rsidRDefault="00592A1E" w:rsidP="00592A1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 w:rsidRPr="00592A1E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lastRenderedPageBreak/>
        <w:t>Список литературы.</w:t>
      </w:r>
    </w:p>
    <w:p w:rsidR="00D73E22" w:rsidRDefault="00D73E22" w:rsidP="00D230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2A1E" w:rsidRPr="00592A1E" w:rsidRDefault="00592A1E" w:rsidP="00592A1E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Чапурина М.Н. Курс экономической теории. - М.: </w:t>
      </w:r>
      <w:proofErr w:type="gramStart"/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Инфра.,</w:t>
      </w:r>
      <w:proofErr w:type="gramEnd"/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2013</w:t>
      </w:r>
    </w:p>
    <w:p w:rsidR="00592A1E" w:rsidRDefault="00592A1E" w:rsidP="00592A1E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Носова С.С. Экономическая теория. Учебник. М.: «</w:t>
      </w:r>
      <w:proofErr w:type="spellStart"/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Владос</w:t>
      </w:r>
      <w:proofErr w:type="spellEnd"/>
      <w:r w:rsidRPr="00592A1E">
        <w:rPr>
          <w:rFonts w:ascii="Times New Roman" w:hAnsi="Times New Roman" w:cs="Times New Roman"/>
          <w:color w:val="000000" w:themeColor="text1"/>
          <w:sz w:val="28"/>
          <w:szCs w:val="28"/>
        </w:rPr>
        <w:t>», 2012</w:t>
      </w:r>
    </w:p>
    <w:p w:rsidR="00F56EF1" w:rsidRDefault="00F56EF1" w:rsidP="00F56EF1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6EF1">
        <w:rPr>
          <w:rFonts w:ascii="Times New Roman" w:hAnsi="Times New Roman" w:cs="Times New Roman"/>
          <w:color w:val="000000" w:themeColor="text1"/>
          <w:sz w:val="28"/>
          <w:szCs w:val="28"/>
        </w:rPr>
        <w:t>Малева</w:t>
      </w:r>
      <w:proofErr w:type="spellEnd"/>
      <w:r w:rsidRPr="00F56E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Т.М. Государственная социальная политика - М.: Инфра, 2013</w:t>
      </w:r>
    </w:p>
    <w:p w:rsidR="00F56EF1" w:rsidRDefault="00F56EF1" w:rsidP="00F56EF1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EF1">
        <w:rPr>
          <w:rFonts w:ascii="Times New Roman" w:hAnsi="Times New Roman" w:cs="Times New Roman"/>
          <w:color w:val="000000" w:themeColor="text1"/>
          <w:sz w:val="28"/>
          <w:szCs w:val="28"/>
        </w:rPr>
        <w:t>Захаров М.Л., Тучкова Э.Г. Социальная защита. М.: БЕК, 2011</w:t>
      </w:r>
    </w:p>
    <w:p w:rsidR="00F56EF1" w:rsidRPr="00592A1E" w:rsidRDefault="00F56EF1" w:rsidP="00F56EF1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6EF1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компании "КонсультантПлюс".</w:t>
      </w:r>
    </w:p>
    <w:sectPr w:rsidR="00F56EF1" w:rsidRPr="00592A1E" w:rsidSect="005B770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E3" w:rsidRDefault="00A71FE3" w:rsidP="007757B8">
      <w:pPr>
        <w:spacing w:after="0" w:line="240" w:lineRule="auto"/>
      </w:pPr>
      <w:r>
        <w:separator/>
      </w:r>
    </w:p>
  </w:endnote>
  <w:endnote w:type="continuationSeparator" w:id="0">
    <w:p w:rsidR="00A71FE3" w:rsidRDefault="00A71FE3" w:rsidP="0077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770000"/>
      <w:docPartObj>
        <w:docPartGallery w:val="Page Numbers (Bottom of Page)"/>
        <w:docPartUnique/>
      </w:docPartObj>
    </w:sdtPr>
    <w:sdtEndPr/>
    <w:sdtContent>
      <w:p w:rsidR="00D73E22" w:rsidRDefault="00D73E2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DF6">
          <w:rPr>
            <w:noProof/>
          </w:rPr>
          <w:t>20</w:t>
        </w:r>
        <w:r>
          <w:fldChar w:fldCharType="end"/>
        </w:r>
      </w:p>
    </w:sdtContent>
  </w:sdt>
  <w:p w:rsidR="00D73E22" w:rsidRDefault="00D73E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E3" w:rsidRDefault="00A71FE3" w:rsidP="007757B8">
      <w:pPr>
        <w:spacing w:after="0" w:line="240" w:lineRule="auto"/>
      </w:pPr>
      <w:r>
        <w:separator/>
      </w:r>
    </w:p>
  </w:footnote>
  <w:footnote w:type="continuationSeparator" w:id="0">
    <w:p w:rsidR="00A71FE3" w:rsidRDefault="00A71FE3" w:rsidP="007757B8">
      <w:pPr>
        <w:spacing w:after="0" w:line="240" w:lineRule="auto"/>
      </w:pPr>
      <w:r>
        <w:continuationSeparator/>
      </w:r>
    </w:p>
  </w:footnote>
  <w:footnote w:id="1">
    <w:p w:rsidR="00D73E22" w:rsidRDefault="00D73E22">
      <w:pPr>
        <w:pStyle w:val="a8"/>
      </w:pPr>
      <w:r>
        <w:rPr>
          <w:rStyle w:val="aa"/>
        </w:rPr>
        <w:footnoteRef/>
      </w:r>
      <w:r>
        <w:t xml:space="preserve"> </w:t>
      </w:r>
      <w:r w:rsidRPr="003A0F3E">
        <w:t>Чапурина М.Н. Курс экономической те</w:t>
      </w:r>
      <w:r>
        <w:t xml:space="preserve">ории. - М.: </w:t>
      </w:r>
      <w:proofErr w:type="gramStart"/>
      <w:r>
        <w:t>Инфра.,</w:t>
      </w:r>
      <w:proofErr w:type="gramEnd"/>
      <w:r>
        <w:t>2013</w:t>
      </w:r>
    </w:p>
  </w:footnote>
  <w:footnote w:id="2">
    <w:p w:rsidR="00D73E22" w:rsidRDefault="00D73E22">
      <w:pPr>
        <w:pStyle w:val="a8"/>
      </w:pPr>
      <w:r>
        <w:rPr>
          <w:rStyle w:val="aa"/>
        </w:rPr>
        <w:footnoteRef/>
      </w:r>
      <w:r>
        <w:t xml:space="preserve"> </w:t>
      </w:r>
      <w:r w:rsidRPr="00217328">
        <w:t>Носова С.С. Экономическая теория. Учеб</w:t>
      </w:r>
      <w:r w:rsidR="00592A1E">
        <w:t>ник. М.: «</w:t>
      </w:r>
      <w:proofErr w:type="spellStart"/>
      <w:r w:rsidR="00592A1E">
        <w:t>Владос</w:t>
      </w:r>
      <w:proofErr w:type="spellEnd"/>
      <w:r w:rsidR="00592A1E">
        <w:t>», 2012</w:t>
      </w:r>
    </w:p>
  </w:footnote>
  <w:footnote w:id="3">
    <w:p w:rsidR="00CE5223" w:rsidRDefault="00CE5223">
      <w:pPr>
        <w:pStyle w:val="a8"/>
      </w:pPr>
      <w:r>
        <w:rPr>
          <w:rStyle w:val="aa"/>
        </w:rPr>
        <w:footnoteRef/>
      </w:r>
      <w:r>
        <w:t xml:space="preserve"> </w:t>
      </w:r>
      <w:r w:rsidRPr="00CE5223">
        <w:t>Официальный сайт компании "</w:t>
      </w:r>
      <w:proofErr w:type="spellStart"/>
      <w:r w:rsidRPr="00CE5223">
        <w:t>КонсультантПлюс</w:t>
      </w:r>
      <w:proofErr w:type="spellEnd"/>
      <w:r w:rsidRPr="00CE5223">
        <w:t>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1219742"/>
      <w:docPartObj>
        <w:docPartGallery w:val="Page Numbers (Top of Page)"/>
        <w:docPartUnique/>
      </w:docPartObj>
    </w:sdtPr>
    <w:sdtEndPr/>
    <w:sdtContent>
      <w:p w:rsidR="00D73E22" w:rsidRDefault="00D73E2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DF6">
          <w:rPr>
            <w:noProof/>
          </w:rPr>
          <w:t>20</w:t>
        </w:r>
        <w:r>
          <w:fldChar w:fldCharType="end"/>
        </w:r>
      </w:p>
    </w:sdtContent>
  </w:sdt>
  <w:p w:rsidR="00D73E22" w:rsidRDefault="00D73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259B5"/>
    <w:multiLevelType w:val="hybridMultilevel"/>
    <w:tmpl w:val="165E55A4"/>
    <w:lvl w:ilvl="0" w:tplc="7E24B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334BF"/>
    <w:multiLevelType w:val="hybridMultilevel"/>
    <w:tmpl w:val="6E367EB2"/>
    <w:lvl w:ilvl="0" w:tplc="56CAF310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033B74"/>
    <w:multiLevelType w:val="hybridMultilevel"/>
    <w:tmpl w:val="C6927C24"/>
    <w:lvl w:ilvl="0" w:tplc="9E024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591B6E"/>
    <w:multiLevelType w:val="hybridMultilevel"/>
    <w:tmpl w:val="DA3A9E96"/>
    <w:lvl w:ilvl="0" w:tplc="97C01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A33209"/>
    <w:multiLevelType w:val="hybridMultilevel"/>
    <w:tmpl w:val="297E347A"/>
    <w:lvl w:ilvl="0" w:tplc="5AE449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EE1332"/>
    <w:multiLevelType w:val="hybridMultilevel"/>
    <w:tmpl w:val="A99C67A0"/>
    <w:lvl w:ilvl="0" w:tplc="20CED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A6772E"/>
    <w:multiLevelType w:val="multilevel"/>
    <w:tmpl w:val="D048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23DED"/>
    <w:multiLevelType w:val="hybridMultilevel"/>
    <w:tmpl w:val="8B98E37A"/>
    <w:lvl w:ilvl="0" w:tplc="444CA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834652"/>
    <w:multiLevelType w:val="hybridMultilevel"/>
    <w:tmpl w:val="C58C138C"/>
    <w:lvl w:ilvl="0" w:tplc="FEB4D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DC2594"/>
    <w:multiLevelType w:val="hybridMultilevel"/>
    <w:tmpl w:val="0862D0DA"/>
    <w:lvl w:ilvl="0" w:tplc="CDE20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78465A"/>
    <w:multiLevelType w:val="hybridMultilevel"/>
    <w:tmpl w:val="E9B44272"/>
    <w:lvl w:ilvl="0" w:tplc="0B9CA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A5E1E0D"/>
    <w:multiLevelType w:val="hybridMultilevel"/>
    <w:tmpl w:val="391EBF66"/>
    <w:lvl w:ilvl="0" w:tplc="798A360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EF0BFD"/>
    <w:multiLevelType w:val="multilevel"/>
    <w:tmpl w:val="1E7A7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BD07BC"/>
    <w:multiLevelType w:val="hybridMultilevel"/>
    <w:tmpl w:val="8CE81616"/>
    <w:lvl w:ilvl="0" w:tplc="A016F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0078B8"/>
    <w:multiLevelType w:val="hybridMultilevel"/>
    <w:tmpl w:val="58DA1BD4"/>
    <w:lvl w:ilvl="0" w:tplc="45E6E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4133ADE"/>
    <w:multiLevelType w:val="hybridMultilevel"/>
    <w:tmpl w:val="E0388540"/>
    <w:lvl w:ilvl="0" w:tplc="220A5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A4288F"/>
    <w:multiLevelType w:val="hybridMultilevel"/>
    <w:tmpl w:val="DD5467CC"/>
    <w:lvl w:ilvl="0" w:tplc="2F96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4"/>
  </w:num>
  <w:num w:numId="5">
    <w:abstractNumId w:val="16"/>
  </w:num>
  <w:num w:numId="6">
    <w:abstractNumId w:val="7"/>
  </w:num>
  <w:num w:numId="7">
    <w:abstractNumId w:val="8"/>
  </w:num>
  <w:num w:numId="8">
    <w:abstractNumId w:val="13"/>
  </w:num>
  <w:num w:numId="9">
    <w:abstractNumId w:val="10"/>
  </w:num>
  <w:num w:numId="10">
    <w:abstractNumId w:val="1"/>
  </w:num>
  <w:num w:numId="11">
    <w:abstractNumId w:val="3"/>
  </w:num>
  <w:num w:numId="12">
    <w:abstractNumId w:val="4"/>
  </w:num>
  <w:num w:numId="13">
    <w:abstractNumId w:val="15"/>
  </w:num>
  <w:num w:numId="14">
    <w:abstractNumId w:val="9"/>
  </w:num>
  <w:num w:numId="15">
    <w:abstractNumId w:val="1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1B"/>
    <w:rsid w:val="00081B78"/>
    <w:rsid w:val="000A08F9"/>
    <w:rsid w:val="001544F4"/>
    <w:rsid w:val="00176966"/>
    <w:rsid w:val="00186BA8"/>
    <w:rsid w:val="001B7691"/>
    <w:rsid w:val="00217328"/>
    <w:rsid w:val="00217CB7"/>
    <w:rsid w:val="00245DC1"/>
    <w:rsid w:val="002D0063"/>
    <w:rsid w:val="002F6F21"/>
    <w:rsid w:val="003A0F3E"/>
    <w:rsid w:val="003B102B"/>
    <w:rsid w:val="004407FF"/>
    <w:rsid w:val="00441331"/>
    <w:rsid w:val="00464AD2"/>
    <w:rsid w:val="00483F17"/>
    <w:rsid w:val="004B3819"/>
    <w:rsid w:val="004F47FA"/>
    <w:rsid w:val="005048D2"/>
    <w:rsid w:val="005351FB"/>
    <w:rsid w:val="00592A1E"/>
    <w:rsid w:val="005B770F"/>
    <w:rsid w:val="005D1A33"/>
    <w:rsid w:val="005F6528"/>
    <w:rsid w:val="006603FA"/>
    <w:rsid w:val="006D23BB"/>
    <w:rsid w:val="006E4013"/>
    <w:rsid w:val="00740DE1"/>
    <w:rsid w:val="007757B8"/>
    <w:rsid w:val="00822261"/>
    <w:rsid w:val="00881FEA"/>
    <w:rsid w:val="008B4DF6"/>
    <w:rsid w:val="0093544C"/>
    <w:rsid w:val="00945523"/>
    <w:rsid w:val="0097722F"/>
    <w:rsid w:val="00995459"/>
    <w:rsid w:val="00A01340"/>
    <w:rsid w:val="00A03722"/>
    <w:rsid w:val="00A71FE3"/>
    <w:rsid w:val="00A94375"/>
    <w:rsid w:val="00A94FDB"/>
    <w:rsid w:val="00AD7B4E"/>
    <w:rsid w:val="00AE026E"/>
    <w:rsid w:val="00B065C0"/>
    <w:rsid w:val="00B27C0C"/>
    <w:rsid w:val="00B77DC9"/>
    <w:rsid w:val="00B952C2"/>
    <w:rsid w:val="00BD575E"/>
    <w:rsid w:val="00C13175"/>
    <w:rsid w:val="00C3171B"/>
    <w:rsid w:val="00C911C7"/>
    <w:rsid w:val="00CA1730"/>
    <w:rsid w:val="00CC0E98"/>
    <w:rsid w:val="00CD51A6"/>
    <w:rsid w:val="00CE5223"/>
    <w:rsid w:val="00D13137"/>
    <w:rsid w:val="00D230C0"/>
    <w:rsid w:val="00D36D15"/>
    <w:rsid w:val="00D6588D"/>
    <w:rsid w:val="00D73E22"/>
    <w:rsid w:val="00D947F6"/>
    <w:rsid w:val="00DA09F8"/>
    <w:rsid w:val="00DD16CD"/>
    <w:rsid w:val="00DD4CAC"/>
    <w:rsid w:val="00E4192B"/>
    <w:rsid w:val="00EE507E"/>
    <w:rsid w:val="00F04351"/>
    <w:rsid w:val="00F131EE"/>
    <w:rsid w:val="00F56EF1"/>
    <w:rsid w:val="00F91D0B"/>
    <w:rsid w:val="00FA603E"/>
    <w:rsid w:val="00FC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D481C-A222-4688-9D51-804A37F8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7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5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7B8"/>
  </w:style>
  <w:style w:type="paragraph" w:styleId="a6">
    <w:name w:val="footer"/>
    <w:basedOn w:val="a"/>
    <w:link w:val="a7"/>
    <w:uiPriority w:val="99"/>
    <w:unhideWhenUsed/>
    <w:rsid w:val="00775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7B8"/>
  </w:style>
  <w:style w:type="paragraph" w:styleId="a8">
    <w:name w:val="footnote text"/>
    <w:basedOn w:val="a"/>
    <w:link w:val="a9"/>
    <w:uiPriority w:val="99"/>
    <w:semiHidden/>
    <w:unhideWhenUsed/>
    <w:rsid w:val="000A08F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A08F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A0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2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7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0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5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2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1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1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4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4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5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3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1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59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6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2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5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4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5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33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9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2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7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9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0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50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4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2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9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6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4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0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9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1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1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3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3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0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0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1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7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1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8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7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7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31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2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4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9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6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5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49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3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7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9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1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2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7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3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91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3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9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3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4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2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7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2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0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2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6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7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3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01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8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8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0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2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3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8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7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4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6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3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2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78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D20F0-2DB4-46DB-801F-597FC1159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18</Pages>
  <Words>3707</Words>
  <Characters>21132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Каргина</dc:creator>
  <cp:keywords/>
  <dc:description/>
  <cp:lastModifiedBy>Анастасия Каргина</cp:lastModifiedBy>
  <cp:revision>20</cp:revision>
  <dcterms:created xsi:type="dcterms:W3CDTF">2014-02-06T18:42:00Z</dcterms:created>
  <dcterms:modified xsi:type="dcterms:W3CDTF">2014-07-31T20:01:00Z</dcterms:modified>
</cp:coreProperties>
</file>