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A7" w:rsidRPr="00441098" w:rsidRDefault="00AA69A7" w:rsidP="00AA69A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:rsidR="00AA69A7" w:rsidRPr="00441098" w:rsidRDefault="00AA69A7" w:rsidP="00AA69A7">
      <w:pPr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AA69A7" w:rsidRPr="00441098" w:rsidRDefault="00AA69A7" w:rsidP="00AA69A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b/>
          <w:sz w:val="28"/>
          <w:szCs w:val="28"/>
        </w:rPr>
        <w:t xml:space="preserve"> «ГОСУДАРСТВЕННЫЙ УНИВЕРСИТЕТ</w:t>
      </w:r>
    </w:p>
    <w:p w:rsidR="00AA69A7" w:rsidRPr="00441098" w:rsidRDefault="00AA69A7" w:rsidP="00AA69A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b/>
          <w:sz w:val="28"/>
          <w:szCs w:val="28"/>
        </w:rPr>
        <w:t xml:space="preserve">МИНИСТЕРСТВА ФИНАНСОВ РОССИЙСКОЙ ФЕДЕРАЦИИ» </w:t>
      </w:r>
    </w:p>
    <w:p w:rsidR="00AA69A7" w:rsidRPr="00441098" w:rsidRDefault="00AA69A7" w:rsidP="00AA69A7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b/>
          <w:sz w:val="28"/>
          <w:szCs w:val="28"/>
        </w:rPr>
        <w:t>ОМСКИЙ ФИЛИАЛ</w:t>
      </w:r>
    </w:p>
    <w:p w:rsidR="00AA69A7" w:rsidRPr="00441098" w:rsidRDefault="00AA69A7" w:rsidP="00AA69A7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A69A7" w:rsidRPr="00441098" w:rsidRDefault="00AA69A7" w:rsidP="00AA69A7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КУРСОВАЯ РАБОТА</w:t>
      </w:r>
    </w:p>
    <w:p w:rsidR="00AA69A7" w:rsidRPr="00441098" w:rsidRDefault="00AA69A7" w:rsidP="00AA69A7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b/>
          <w:sz w:val="28"/>
          <w:szCs w:val="28"/>
        </w:rPr>
        <w:t>По дисциплине:</w:t>
      </w:r>
    </w:p>
    <w:p w:rsidR="00AA69A7" w:rsidRPr="000A425E" w:rsidRDefault="00AA69A7" w:rsidP="00AA69A7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РЕГИОНАЛЬНАЯ ЭКОНОМИКА</w:t>
      </w:r>
    </w:p>
    <w:p w:rsidR="00AA69A7" w:rsidRPr="00441098" w:rsidRDefault="00AA69A7" w:rsidP="00AA69A7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Студента (ки)     </w:t>
      </w:r>
    </w:p>
    <w:p w:rsidR="00AA69A7" w:rsidRDefault="00AA69A7" w:rsidP="00AA69A7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Группы                               </w:t>
      </w:r>
    </w:p>
    <w:p w:rsidR="00AA69A7" w:rsidRDefault="00AA69A7" w:rsidP="00AA69A7">
      <w:pPr>
        <w:spacing w:line="48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Pr="00AA69A7">
        <w:rPr>
          <w:rFonts w:ascii="Times New Roman" w:eastAsia="Times New Roman" w:hAnsi="Times New Roman" w:cs="Times New Roman"/>
          <w:sz w:val="28"/>
          <w:szCs w:val="28"/>
        </w:rPr>
        <w:t xml:space="preserve">Тема       </w:t>
      </w:r>
      <w:r w:rsidRPr="00AA69A7">
        <w:rPr>
          <w:rFonts w:ascii="Times New Roman" w:hAnsi="Times New Roman" w:cs="Times New Roman"/>
          <w:sz w:val="28"/>
          <w:szCs w:val="28"/>
          <w:u w:val="single"/>
        </w:rPr>
        <w:t xml:space="preserve">Факторы, влияющие на перспективный уровень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</w:p>
    <w:p w:rsidR="00AA69A7" w:rsidRPr="00AA69A7" w:rsidRDefault="00AA69A7" w:rsidP="00AA69A7">
      <w:pPr>
        <w:spacing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A69A7">
        <w:rPr>
          <w:rFonts w:ascii="Times New Roman" w:hAnsi="Times New Roman" w:cs="Times New Roman"/>
          <w:sz w:val="28"/>
          <w:szCs w:val="28"/>
          <w:u w:val="single"/>
        </w:rPr>
        <w:t>добычи энергоресурсов.</w:t>
      </w:r>
    </w:p>
    <w:p w:rsidR="00AA69A7" w:rsidRDefault="00AA69A7" w:rsidP="00AA69A7">
      <w:pPr>
        <w:spacing w:line="48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AA69A7" w:rsidRPr="00AA69A7" w:rsidRDefault="00AA69A7" w:rsidP="00AA69A7">
      <w:pPr>
        <w:spacing w:line="48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A425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AA69A7" w:rsidRPr="00441098" w:rsidRDefault="00AA69A7" w:rsidP="00AA69A7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sz w:val="28"/>
          <w:szCs w:val="28"/>
        </w:rPr>
        <w:t>____________                                                                          __________</w:t>
      </w:r>
    </w:p>
    <w:p w:rsidR="00AA69A7" w:rsidRPr="00441098" w:rsidRDefault="00AA69A7" w:rsidP="00AA69A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sz w:val="28"/>
          <w:szCs w:val="28"/>
        </w:rPr>
        <w:t>Дата поступ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ления                      </w:t>
      </w:r>
      <w:r w:rsidRPr="004410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Зачет работы</w:t>
      </w:r>
    </w:p>
    <w:p w:rsidR="00AA69A7" w:rsidRPr="00441098" w:rsidRDefault="00AA69A7" w:rsidP="00AA69A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1098">
        <w:rPr>
          <w:rFonts w:ascii="Times New Roman" w:eastAsia="Times New Roman" w:hAnsi="Times New Roman" w:cs="Times New Roman"/>
          <w:sz w:val="28"/>
          <w:szCs w:val="28"/>
        </w:rPr>
        <w:t xml:space="preserve">работы в деканат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441098">
        <w:rPr>
          <w:rFonts w:ascii="Times New Roman" w:eastAsia="Times New Roman" w:hAnsi="Times New Roman" w:cs="Times New Roman"/>
          <w:sz w:val="28"/>
          <w:szCs w:val="28"/>
        </w:rPr>
        <w:t xml:space="preserve">                     Подпись преподавателя</w:t>
      </w:r>
    </w:p>
    <w:p w:rsidR="00AA69A7" w:rsidRDefault="00AA69A7" w:rsidP="00AA69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4E62D2" w:rsidRPr="004E62D2" w:rsidRDefault="00BF059E" w:rsidP="00AA69A7">
      <w:pPr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 w:rsidR="004E62D2">
        <w:rPr>
          <w:rFonts w:ascii="Times New Roman" w:hAnsi="Times New Roman" w:cs="Times New Roman"/>
          <w:sz w:val="28"/>
          <w:szCs w:val="28"/>
        </w:rPr>
        <w:instrText xml:space="preserve"> TOC \o "1-7" \h \z \u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</w:p>
    <w:p w:rsidR="004E62D2" w:rsidRPr="004E62D2" w:rsidRDefault="00BF059E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57155735" w:history="1">
        <w:r w:rsidR="004E62D2" w:rsidRPr="004E62D2">
          <w:rPr>
            <w:rStyle w:val="a8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_Toc357155735 \h </w:instrTex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E62D2" w:rsidRPr="004E62D2" w:rsidRDefault="00BF059E" w:rsidP="004E62D2">
      <w:pPr>
        <w:pStyle w:val="21"/>
        <w:tabs>
          <w:tab w:val="right" w:leader="dot" w:pos="9345"/>
        </w:tabs>
        <w:ind w:left="0"/>
        <w:rPr>
          <w:rFonts w:ascii="Times New Roman" w:hAnsi="Times New Roman" w:cs="Times New Roman"/>
          <w:noProof/>
          <w:sz w:val="28"/>
          <w:szCs w:val="28"/>
        </w:rPr>
      </w:pPr>
      <w:hyperlink w:anchor="_Toc357155736" w:history="1">
        <w:r w:rsidR="004E62D2" w:rsidRPr="004E62D2">
          <w:rPr>
            <w:rStyle w:val="a8"/>
            <w:rFonts w:ascii="Times New Roman" w:hAnsi="Times New Roman" w:cs="Times New Roman"/>
            <w:noProof/>
            <w:sz w:val="28"/>
            <w:szCs w:val="28"/>
          </w:rPr>
          <w:t>Цели и приоритеты энергетической стратегии России на период до 2020 года</w:t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_Toc357155736 \h </w:instrTex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E62D2" w:rsidRPr="004E62D2" w:rsidRDefault="00BF059E" w:rsidP="004E62D2">
      <w:pPr>
        <w:pStyle w:val="31"/>
        <w:tabs>
          <w:tab w:val="right" w:leader="dot" w:pos="9345"/>
        </w:tabs>
        <w:ind w:left="0"/>
        <w:rPr>
          <w:rFonts w:ascii="Times New Roman" w:hAnsi="Times New Roman" w:cs="Times New Roman"/>
          <w:noProof/>
          <w:sz w:val="28"/>
          <w:szCs w:val="28"/>
        </w:rPr>
      </w:pPr>
      <w:hyperlink w:anchor="_Toc357155737" w:history="1">
        <w:r w:rsidR="004E62D2" w:rsidRPr="004E62D2">
          <w:rPr>
            <w:rStyle w:val="a8"/>
            <w:rFonts w:ascii="Times New Roman" w:hAnsi="Times New Roman" w:cs="Times New Roman"/>
            <w:noProof/>
            <w:sz w:val="28"/>
            <w:szCs w:val="28"/>
          </w:rPr>
          <w:t>Проблемы и основные факторы развития топливно-энергетического комплекса</w:t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_Toc357155737 \h </w:instrTex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E62D2" w:rsidRPr="004E62D2" w:rsidRDefault="00BF059E" w:rsidP="004E62D2">
      <w:pPr>
        <w:pStyle w:val="41"/>
        <w:tabs>
          <w:tab w:val="right" w:leader="dot" w:pos="9345"/>
        </w:tabs>
        <w:ind w:left="0"/>
        <w:rPr>
          <w:rFonts w:ascii="Times New Roman" w:hAnsi="Times New Roman" w:cs="Times New Roman"/>
          <w:noProof/>
          <w:sz w:val="28"/>
          <w:szCs w:val="28"/>
        </w:rPr>
      </w:pPr>
      <w:hyperlink w:anchor="_Toc357155738" w:history="1">
        <w:r w:rsidR="004E62D2" w:rsidRPr="004E62D2">
          <w:rPr>
            <w:rStyle w:val="a8"/>
            <w:rFonts w:ascii="Times New Roman" w:hAnsi="Times New Roman" w:cs="Times New Roman"/>
            <w:noProof/>
            <w:sz w:val="28"/>
            <w:szCs w:val="28"/>
          </w:rPr>
          <w:t>Перспективы развития топливно-энергетического комплекса</w:t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_Toc357155738 \h </w:instrTex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>20</w: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E62D2" w:rsidRPr="004E62D2" w:rsidRDefault="00BF059E" w:rsidP="004E62D2">
      <w:pPr>
        <w:pStyle w:val="51"/>
        <w:tabs>
          <w:tab w:val="right" w:leader="dot" w:pos="9345"/>
        </w:tabs>
        <w:ind w:left="0"/>
        <w:rPr>
          <w:rFonts w:ascii="Times New Roman" w:hAnsi="Times New Roman" w:cs="Times New Roman"/>
          <w:noProof/>
          <w:sz w:val="28"/>
          <w:szCs w:val="28"/>
        </w:rPr>
      </w:pPr>
      <w:hyperlink w:anchor="_Toc357155739" w:history="1">
        <w:r w:rsidR="004E62D2" w:rsidRPr="004E62D2">
          <w:rPr>
            <w:rStyle w:val="a8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_Toc357155739 \h </w:instrTex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>21</w: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E62D2" w:rsidRDefault="00BF059E" w:rsidP="004E62D2">
      <w:pPr>
        <w:pStyle w:val="61"/>
        <w:tabs>
          <w:tab w:val="right" w:leader="dot" w:pos="9345"/>
        </w:tabs>
        <w:ind w:left="0"/>
        <w:rPr>
          <w:noProof/>
        </w:rPr>
      </w:pPr>
      <w:hyperlink w:anchor="_Toc357155740" w:history="1">
        <w:r w:rsidR="004E62D2" w:rsidRPr="004E62D2">
          <w:rPr>
            <w:rStyle w:val="a8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_Toc357155740 \h </w:instrTex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4E62D2"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t>24</w:t>
        </w:r>
        <w:r w:rsidRPr="004E62D2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4E62D2" w:rsidRDefault="00BF059E" w:rsidP="00AA6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:rsidR="00AA69A7" w:rsidRDefault="004E62D2" w:rsidP="00AA69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A69A7" w:rsidRDefault="00AA69A7" w:rsidP="004E62D2">
      <w:pPr>
        <w:pStyle w:val="1"/>
        <w:jc w:val="center"/>
      </w:pPr>
      <w:bookmarkStart w:id="0" w:name="_Toc357155735"/>
      <w:r>
        <w:lastRenderedPageBreak/>
        <w:t>ВВЕДЕНИЕ</w:t>
      </w:r>
      <w:bookmarkEnd w:id="0"/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Россия располагает значительными запасами энергетических ресурсов и мощным топливно-энергетическим комплексом, который является базой развития экономики, инструментом проведения внутренней и внешней политики. Роль страны на мировых энергетических рынках во многом определяет её геополитическое влияние.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Энергетический сектор обеспечивает жизнедеятельность всех отраслей национального хозяйства, способствует консолидации субъектов Российской Федерации, во многом определяет формирование основных финансово-экономических показателей страны. Природные топливно-энергетические ресурсы, производственный, научно-технический и кадровый потенциал энергетического сектора экономики являются национальным достоянием России. Эффективное его использование создает необходимые предпосылки для вывода экономики страны на путь устойчивого развития, обеспечивающего рост благосостояния и повышение уровня жизни населения.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Начавшийся экономический рост неизбежно повлечет за собой существенное увеличение спроса на энергетические ресурсы внутри страны, что требует решения унаследованных и накопившихся за годы реформ экономических проблем в условиях глобализации и ужесточения общемировой конкуренции, обострения борьбы за энергетические ресурсы, рынки и др.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Соответствовать требованиям нового времени может только качественно новый топливно-энергетический комплекс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– финансово устойчивый, экономически эффективный и динамично развивающийся, соответствующий экологическим стандартам, оснащенный передовыми технологиями и высококвалифицированными кадрами.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 xml:space="preserve">Для долгосрочного стабильного обеспечения экономики и населения страны всеми видами энергии необходима научно обоснованная и </w:t>
      </w:r>
      <w:r w:rsidRPr="00F83EB9">
        <w:rPr>
          <w:rFonts w:ascii="Times New Roman" w:hAnsi="Times New Roman" w:cs="Times New Roman"/>
          <w:sz w:val="28"/>
          <w:szCs w:val="28"/>
        </w:rPr>
        <w:lastRenderedPageBreak/>
        <w:t>воспринятая обществом и институтами государственной власти долгосрочная энергетическая политика.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Немаловажное место в энергетической политике России занимают проблемы добычи энергоресурсов. Сегодня в этой отрасли существует немало проблем.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На данный момент сформировалась тенденция нерациональной добычи и потребления энергоресурсов. Топливо добывается с целью получения максимальной прибыли, невзирая на исчерпаемость ресурсов, проблемы экологической безопасности. Очевидна актуальность проблем добычи энергоресурсов в перспективе.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Именно поэтому, на мой взгляд, необходимо уделять наибольшее внимание экономической обоснованности и технологии добычи энергоресурсов.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Целью данной работы является выявление факторов, влияющих на перспективный уровень добычи энергоресурсов.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В соответствии и целью, перед работой поставлены следующие задачи: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- проанализировать развитие сырьевой базы топливно-энергетического комплекса;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- выявить факторы, влияющие на перспективный уровень добычи энергоресурсов.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Объектом исследования в данной работе является добыча энергоресурсов.</w:t>
      </w:r>
    </w:p>
    <w:p w:rsidR="00ED44FF" w:rsidRDefault="00ED44FF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D44FF" w:rsidRPr="004E62D2" w:rsidRDefault="00ED44FF" w:rsidP="004E62D2">
      <w:pPr>
        <w:pStyle w:val="2"/>
        <w:jc w:val="center"/>
        <w:rPr>
          <w:sz w:val="28"/>
        </w:rPr>
      </w:pPr>
      <w:bookmarkStart w:id="1" w:name="_Toc357155736"/>
      <w:r w:rsidRPr="004E62D2">
        <w:rPr>
          <w:sz w:val="28"/>
        </w:rPr>
        <w:lastRenderedPageBreak/>
        <w:t>Цели и приоритеты энергетической стратегии России на период до 2020 года</w:t>
      </w:r>
      <w:bookmarkEnd w:id="1"/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Целью энергетической политики является максимально эффективное использование природных топливно-энергетических ресурсов и потенциала энергетического сектора для роста экономики и повышения качества жизни населения страны.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Энергетическая стратегия России на период до 2020 года (далее именуется - Энергетическая стратегия) является документом, конкретизирующим цели, задачи и основные направления долгосрочной энергетической политики государства на соответствующий период с учетом складывающейся внутренней и внешней ситуации в энергетическом секторе и его роли в обеспечении единства экономического пространства Российской Федерации, а также политического, макроэкономического и научно-технологического развития страны.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Главной задачей настоящего документа является определение путей достижения качественно нового состояния ТЭК, роста конкурентоспособности его продукции и услуг на мировом рынке на основе использования потенциала и установления приоритетов развития комплекса, формирования мер и механизмов государственной энергетической политики с учетом прогнозируемых результатов ее реализации.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Приоритетами Энергетической стратегии являются:</w:t>
      </w:r>
    </w:p>
    <w:p w:rsidR="00ED44FF" w:rsidRPr="00ED44FF" w:rsidRDefault="00ED44FF" w:rsidP="00ED44FF">
      <w:pPr>
        <w:pStyle w:val="a3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полное и надежное обеспечение населения и экономики страны энергоресурсами по доступным и вместе с тем стимулирующим энергосбережение ценам, снижение рисков и недопущение развития кризисных ситуаций в энергообеспечении страны;</w:t>
      </w:r>
    </w:p>
    <w:p w:rsidR="00ED44FF" w:rsidRPr="00ED44FF" w:rsidRDefault="00ED44FF" w:rsidP="00ED44FF">
      <w:pPr>
        <w:pStyle w:val="a3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снижение удельных затрат на производство и использование энергоресурсов за счет рационализации их потребления, применения энергосберегающих технологий и оборудования, сокращения потерь при добыче, переработке, транспортировке и реализации продукции ТЭК;</w:t>
      </w:r>
    </w:p>
    <w:p w:rsidR="00ED44FF" w:rsidRPr="00ED44FF" w:rsidRDefault="00ED44FF" w:rsidP="00ED44FF">
      <w:pPr>
        <w:pStyle w:val="a3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lastRenderedPageBreak/>
        <w:t>повышение финансовой устойчивости и эффективности использования потенциала энергетического сектора, рост производительности труда для обеспечения социально-экономического развития страны;</w:t>
      </w:r>
    </w:p>
    <w:p w:rsidR="00ED44FF" w:rsidRPr="00ED44FF" w:rsidRDefault="00ED44FF" w:rsidP="00ED44FF">
      <w:pPr>
        <w:pStyle w:val="a3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минимизация техногенного воздействия энергетики на окружающую среду на основе применения экономических стимулов, совершенствования структуры производства, внедрения новых технологий добычи, переработки, транспортировки, реализации и потребления продукции.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Главным средством решения поставленных задач является формирование цивилизованного энергетического рынка и недискриминационных экономических взаимоотношений его субъектов между собой и с государством. При этом государство, ограничивая свои функции как хозяйствующего субъекта, усиливает свою роль в формировании рыночной инфраструктуры как регулятора рыночных взаимоотношений.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Основные механизмы государственного регулирования в сфере топливно-энергетического комплекса предусматривают:</w:t>
      </w:r>
    </w:p>
    <w:p w:rsidR="00ED44FF" w:rsidRPr="00ED44FF" w:rsidRDefault="00ED44FF" w:rsidP="00ED44FF">
      <w:pPr>
        <w:pStyle w:val="a3"/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меры по созданию рациональной рыночной среды (включая согласованное тарифное, налоговое, таможенное, антимонопольное регулирование и институциональные преобразования в ТЭК);</w:t>
      </w:r>
    </w:p>
    <w:p w:rsidR="00ED44FF" w:rsidRPr="00ED44FF" w:rsidRDefault="00ED44FF" w:rsidP="00ED44FF">
      <w:pPr>
        <w:pStyle w:val="a3"/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повышение эффективности управления государственной собственностью;</w:t>
      </w:r>
    </w:p>
    <w:p w:rsidR="00ED44FF" w:rsidRPr="00ED44FF" w:rsidRDefault="00ED44FF" w:rsidP="00ED44FF">
      <w:pPr>
        <w:pStyle w:val="a3"/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введение системы перспективных технических регламентов, национальных стандартов и норм, повышающих управляемость процесса развития энергетики и стимулирующих энергосбережение;</w:t>
      </w:r>
    </w:p>
    <w:p w:rsidR="00ED44FF" w:rsidRPr="00ED44FF" w:rsidRDefault="00ED44FF" w:rsidP="00ED44FF">
      <w:pPr>
        <w:pStyle w:val="a3"/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стимулирование и поддержку стратегических инициатив хозяйствующих субъектов в инвестиционной, инновационной и энергосберегающей сферах.</w:t>
      </w:r>
    </w:p>
    <w:p w:rsidR="00ED44FF" w:rsidRDefault="00ED44FF" w:rsidP="00ED44F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Представленные в настоящем документе количественные параметры развития экономики и энергетики являются ориентировочными, подлежащими уточнению в процессе реализации предусмотренных им мер.</w:t>
      </w:r>
    </w:p>
    <w:p w:rsidR="00ED44FF" w:rsidRPr="004E62D2" w:rsidRDefault="00ED44FF" w:rsidP="004E62D2">
      <w:pPr>
        <w:pStyle w:val="3"/>
        <w:jc w:val="center"/>
        <w:rPr>
          <w:sz w:val="32"/>
        </w:rPr>
      </w:pPr>
      <w:bookmarkStart w:id="2" w:name="_Toc357155737"/>
      <w:r w:rsidRPr="004E62D2">
        <w:rPr>
          <w:sz w:val="32"/>
        </w:rPr>
        <w:lastRenderedPageBreak/>
        <w:t>Проблемы и основные факторы развития топливно-энергетического комплекса</w:t>
      </w:r>
      <w:bookmarkEnd w:id="2"/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Топливно-энергетический комплекс России всегда играл важную роль в экономике страны. За годы реформ в связи с резким падением объемов производства в других отраслях экономики его роль еще более возросла.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В течение прошедшего десятилетия ТЭК в основном обеспечивал потребности страны в топливе и энергии, сохранив тем самым энергетическую независимость России. В настоящее время преодолена тенденция спада и начался рост добычи газа, нефти и угля, производства электроэнергии, объема и глубины переработки нефти. Производственные структуры ТЭК в результате проведенных структурных преобразований, либерализации и приватизации в значительной мере адаптировались к рыночным методам хозяйствования. В результате проведенных работ по реструктуризации угольной промышленности повысилась ее экономическая эффективность, ликвидируются убыточные неперспективные предприятия. Начались реформы электроэнергетики и жилищно-коммунальной сферы. Сформированы основы регулирования хозяйственных отношений в энергетическом секторе экономики, включая вопросы недропользования, налогообложения и ценообразования.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В настоящее время ТЭК является одним из устойчиво работающих производственных комплексов российской экономики. Он определяющим образом влияет на состояние и перспективы развития национальной экономики, обеспечивая около 1/4 производства валового внутреннего продукта, 1/3 объема промышленного производства и доходов консолидированного бюджета России, примерно половину доходов федерального бюджета, экспорта и валютных поступлений.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Вместе с тем в отраслях ТЭК сохраняются механизмы и условия хозяйствования, не адекватные принципам рыночной экономики, действует ряд факторов, негативно влияющих на функционирование и развитие ТЭК.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lastRenderedPageBreak/>
        <w:t>Основными факторами, сдерживающими развитие комплекса, являются: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высокая (более 50 процентов) степень износа основных фондов;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ввод в действие новых производственных мощностей во всех отраслях ТЭК сократился за девяностые годы от 2 до 6 раз;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практика продления ресурса оборудования закладывает будущее отставание в эффективности производства. Наблюдается высокая аварийность оборудования, обусловленная низкой производственной дисциплиной персонала, недостатками управления, а также старением основных фондов. В связи с этим возрастает возможность возникновения аварийных ситуаций в энергетическом секторе;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сохраняющийся в отраслях комплекса (кроме нефтяной) дефицит инвестиционных ресурсов и их нерациональное использование. При высоком инвестиционном потенциале отраслей ТЭК приток в них внешних инвестиций составляет менее 13 процентов общего объема финансирования капитальных вложений. При этом 95 процентов указанных инвестиций приходится на нефтяную отрасль. В газовой промышленности и в электроэнергетике не создано условий для необходимого инвестиционного задела, в результате чего эти отрасли могут стать тормозом начавшегося экономического роста;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деформация соотношения цен на взаимозаменяемые энергоресурсы привела к отсутствию конкуренции между ними и структуре спроса, характеризующейся чрезмерной ориентацией на газ и снижением доли угля. Политика поддержания относительно низких цен на газ и электроэнергию в перспективе может иметь следствием нарастание дефицита соответствующих энергоресурсов в результате отсутствия экономических предпосылок для инвестирования в их производство и опережающего роста спроса;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 xml:space="preserve">· несоответствие производственного потенциала ТЭК мировому научно-техническому уровню. Доля добычи нефти за счет современных методов воздействия на пласт и доля продукции нефтепереработки, </w:t>
      </w:r>
      <w:r w:rsidRPr="00ED44FF">
        <w:rPr>
          <w:rFonts w:ascii="Times New Roman" w:hAnsi="Times New Roman" w:cs="Times New Roman"/>
          <w:sz w:val="28"/>
          <w:szCs w:val="28"/>
        </w:rPr>
        <w:lastRenderedPageBreak/>
        <w:t>получаемой по технологиям, повышающим качество продукции, низка. Энергетическое оборудование, используемое в газовой и электроэнергетической отраслях, неэкономично. В стране практически отсутствуют современные парогазовые установки, установки по очистке отходящих газов, крайне мало используются возобновляемые источники энергии, оборудование угольной промышленности устарело, недостаточно используется потенциал атомной энергетики;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отставание развития и объективный рост затрат на освоение перспективной сырьевой базы добычи углеводородов, и особенно в газовой отрасли;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отсутствие рыночной инфраструктуры и цивилизованного энергетического рынка. Не обеспечивается необходимая прозрачность хозяйственной деятельности субъектов естественных монополий, что негативно сказывается на качестве государственного регулирования их деятельности и на развитии конкуренции;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сохраняющаяся высокая нагрузка на окружающую среду. Несмотря на произошедшее за последнее десятилетие снижение добычи и производства топливно-энергетических ресурсов, отрицательное влияние ТЭК на окружающую среду остается высоким;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высокая зависимость нефтегазового сектора и, как следствие, доходов государства, от состояния и конъюнктуры мирового энергетического рынка. Наблюдается тенденция к дальнейшему повышению доли нефти и газа в структуре российского экспорта, вместе с тем недостаточно используется потенциал экспорта других энергоресурсов, в частности электроэнергии. Это свидетельствует о продолжающемся сужении экспортной специализации страны и отражает отсталую структуру всей экономики России;</w:t>
      </w:r>
    </w:p>
    <w:p w:rsid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· отсутствие развитого и стабильного законодательства, учитывающего в полной мере специфику функционирования предприятий ТЭК.</w:t>
      </w:r>
    </w:p>
    <w:p w:rsidR="004C678C" w:rsidRPr="004C678C" w:rsidRDefault="004C678C" w:rsidP="004C67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8C">
        <w:rPr>
          <w:rFonts w:ascii="Times New Roman" w:hAnsi="Times New Roman" w:cs="Times New Roman"/>
          <w:sz w:val="28"/>
          <w:szCs w:val="28"/>
        </w:rPr>
        <w:t xml:space="preserve">Неравномерность географического размещения геологических запасов по территории планеты и несоответствие этого размещения географии </w:t>
      </w:r>
      <w:r w:rsidRPr="004C678C">
        <w:rPr>
          <w:rFonts w:ascii="Times New Roman" w:hAnsi="Times New Roman" w:cs="Times New Roman"/>
          <w:sz w:val="28"/>
          <w:szCs w:val="28"/>
        </w:rPr>
        <w:lastRenderedPageBreak/>
        <w:t xml:space="preserve">потребления энергоресурсов формируют параметры мирового и регионального спроса на основные энергоносители. Например, дальнейшее изменение мировых цен на нефть в перспективе будет связано со следующими основными факторами: </w:t>
      </w:r>
    </w:p>
    <w:p w:rsidR="004C678C" w:rsidRPr="004C678C" w:rsidRDefault="004C678C" w:rsidP="004C67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8C">
        <w:rPr>
          <w:rFonts w:ascii="Times New Roman" w:hAnsi="Times New Roman" w:cs="Times New Roman"/>
          <w:sz w:val="28"/>
          <w:szCs w:val="28"/>
        </w:rPr>
        <w:t xml:space="preserve">• научно-техническим прогрессом в нефтяной промышленности, который обеспечивает снижение издержек в отрасли и позволяет все новым странам, не входящим в ОПЕК, успешно конкурировать на мировом рынке; </w:t>
      </w:r>
    </w:p>
    <w:p w:rsidR="004C678C" w:rsidRPr="004C678C" w:rsidRDefault="004C678C" w:rsidP="004C67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8C">
        <w:rPr>
          <w:rFonts w:ascii="Times New Roman" w:hAnsi="Times New Roman" w:cs="Times New Roman"/>
          <w:sz w:val="28"/>
          <w:szCs w:val="28"/>
        </w:rPr>
        <w:t xml:space="preserve">• политическими и геополитическими факторами, в том числе степенью успешности политики глобализации мировой экономики; </w:t>
      </w:r>
    </w:p>
    <w:p w:rsidR="004C678C" w:rsidRPr="004C678C" w:rsidRDefault="004C678C" w:rsidP="004C67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8C">
        <w:rPr>
          <w:rFonts w:ascii="Times New Roman" w:hAnsi="Times New Roman" w:cs="Times New Roman"/>
          <w:sz w:val="28"/>
          <w:szCs w:val="28"/>
        </w:rPr>
        <w:t xml:space="preserve">• поведением стран ОПЕК, некоторые из которых стремятся повысить экспорт нефти выше установленных квот для преодоления внутренних экономических трудностей. Крупнейшие производители нефти, входящие в ОПЕК1, достаточно легко адаптируются к понижению уровня мировых цен на энергоресурсы; </w:t>
      </w:r>
    </w:p>
    <w:p w:rsidR="004C678C" w:rsidRDefault="004C678C" w:rsidP="004C67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8C">
        <w:rPr>
          <w:rFonts w:ascii="Times New Roman" w:hAnsi="Times New Roman" w:cs="Times New Roman"/>
          <w:sz w:val="28"/>
          <w:szCs w:val="28"/>
        </w:rPr>
        <w:t>• уровнем реализации прогнозных запасов нефти, оценки которых существенно различаются (более чем в 2 раза) по разным источникам.</w:t>
      </w:r>
    </w:p>
    <w:p w:rsidR="004C678C" w:rsidRDefault="004C678C" w:rsidP="004C67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78C">
        <w:rPr>
          <w:rFonts w:ascii="Times New Roman" w:hAnsi="Times New Roman" w:cs="Times New Roman"/>
          <w:sz w:val="28"/>
          <w:szCs w:val="28"/>
        </w:rPr>
        <w:t>Развитие мирового рынка нефти определяется многими факторами, формирующими мировой спрос на нефть и ее предложение. Спрос на нефть определяется прежде всего темпами роста мировой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78C">
        <w:rPr>
          <w:rFonts w:ascii="Times New Roman" w:hAnsi="Times New Roman" w:cs="Times New Roman"/>
          <w:sz w:val="28"/>
          <w:szCs w:val="28"/>
        </w:rPr>
        <w:t>экономики, а также рядом других факторов, к числу которых относятся структурные характеристики спроса на нефть, энергоемкость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78C">
        <w:rPr>
          <w:rFonts w:ascii="Times New Roman" w:hAnsi="Times New Roman" w:cs="Times New Roman"/>
          <w:sz w:val="28"/>
          <w:szCs w:val="28"/>
        </w:rPr>
        <w:t>нефтеемкость экономики, климатические (погодные) условия, уровень эффективности энергопотребляющих технологий и относительная конкурентоспособность других видов топлива. Предложение нефти на мировом рынке определяется мировым спросом, геолого-технологическими факторами, структурными характеристиками мирового производства и экспорта нефти, политикой нефтедобывающих государств, а также рядом других факторов, включая факторы случайного характера, такие как военные действия в регионах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78C">
        <w:rPr>
          <w:rFonts w:ascii="Times New Roman" w:hAnsi="Times New Roman" w:cs="Times New Roman"/>
          <w:sz w:val="28"/>
          <w:szCs w:val="28"/>
        </w:rPr>
        <w:t xml:space="preserve">добычи нефти. Мировые цены на нефть, формируясь под воздействием мирового спроса и предложения, оказывают обратное воздействие как на </w:t>
      </w:r>
      <w:r w:rsidRPr="004C678C">
        <w:rPr>
          <w:rFonts w:ascii="Times New Roman" w:hAnsi="Times New Roman" w:cs="Times New Roman"/>
          <w:sz w:val="28"/>
          <w:szCs w:val="28"/>
        </w:rPr>
        <w:lastRenderedPageBreak/>
        <w:t>глобальный спрос, так и на предложение нефти. Чрезвычайно высокие нефтяные цены сдерживают экономический рост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78C">
        <w:rPr>
          <w:rFonts w:ascii="Times New Roman" w:hAnsi="Times New Roman" w:cs="Times New Roman"/>
          <w:sz w:val="28"/>
          <w:szCs w:val="28"/>
        </w:rPr>
        <w:t>увеличение спроса. При этом также стимулируется замещение нефти другими видами топлива. Одновременно высокие цены стимулируют увеличение производства нефти в регионах с 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78C">
        <w:rPr>
          <w:rFonts w:ascii="Times New Roman" w:hAnsi="Times New Roman" w:cs="Times New Roman"/>
          <w:sz w:val="28"/>
          <w:szCs w:val="28"/>
        </w:rPr>
        <w:t>высокими издержками добычи. В результате такого ограничения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78C">
        <w:rPr>
          <w:rFonts w:ascii="Times New Roman" w:hAnsi="Times New Roman" w:cs="Times New Roman"/>
          <w:sz w:val="28"/>
          <w:szCs w:val="28"/>
        </w:rPr>
        <w:t>спроса и расширения предложения создаются предпосылки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78C">
        <w:rPr>
          <w:rFonts w:ascii="Times New Roman" w:hAnsi="Times New Roman" w:cs="Times New Roman"/>
          <w:sz w:val="28"/>
          <w:szCs w:val="28"/>
        </w:rPr>
        <w:t>снижения мировых цен на нефть. При низких ценах на нефть, наоборот, стимулируется спрос и сокращается предложение (в результате свертывания добычи и инвестиций в высокозатратных регионах). Как результат, создаются предпосылки для последующего роста нефтяных цен.</w:t>
      </w:r>
    </w:p>
    <w:p w:rsidR="004C678C" w:rsidRPr="004C678C" w:rsidRDefault="004C678C" w:rsidP="004C678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78C">
        <w:rPr>
          <w:rFonts w:ascii="Times New Roman" w:hAnsi="Times New Roman" w:cs="Times New Roman"/>
          <w:sz w:val="28"/>
          <w:szCs w:val="28"/>
        </w:rPr>
        <w:t xml:space="preserve"> Объём российского экспорта нефти и нефтепродуктов в пределах 110...170 млн т не окажет, как и в прошлом, существенного влияния на развитие мирового рынка и на уровень мировых цен на нефть. </w:t>
      </w:r>
    </w:p>
    <w:p w:rsidR="004C678C" w:rsidRDefault="004C678C" w:rsidP="004C67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8C">
        <w:rPr>
          <w:rFonts w:ascii="Times New Roman" w:hAnsi="Times New Roman" w:cs="Times New Roman"/>
          <w:sz w:val="28"/>
          <w:szCs w:val="28"/>
        </w:rPr>
        <w:t xml:space="preserve">Кроме того, доля России в международной торговле нефтью и нефтепродуктами снизится с 9 % в настоящее время до 4...5 % к концу </w:t>
      </w:r>
      <w:r>
        <w:rPr>
          <w:rFonts w:ascii="Times New Roman" w:hAnsi="Times New Roman" w:cs="Times New Roman"/>
          <w:sz w:val="28"/>
          <w:szCs w:val="28"/>
        </w:rPr>
        <w:t>2020 года</w:t>
      </w:r>
      <w:r w:rsidRPr="004C678C">
        <w:rPr>
          <w:rFonts w:ascii="Times New Roman" w:hAnsi="Times New Roman" w:cs="Times New Roman"/>
          <w:sz w:val="28"/>
          <w:szCs w:val="28"/>
        </w:rPr>
        <w:t>. Возможности стратегического для России маневра в сторону уменьшения в структуре экспорта жидких углеводородов доли сырой нефти с заменой её продуктами нефтепереработки ограничены, из-за жесткой конкуренции в этом сегменте энергетического рынка. Необходимо учитывать, что большое влияние на экспортные возможности страны и эффективность нефтяного экспорта оказывает, наряду с экономикой нефтяной отрасли, налоговая и таможенная политика государства. В рассматриваемой перспективе цены на природный газ на европейском и азиатском энергетическом рынках будут изменяться под воздействием различных факторов. С одной стороны, на европейском газовом рынке в среднесрочной перспективе цены на газ по заключенным контрактам частично будут определяться привязкой к цене нефтепродуктов, что стимулирует их повышение в соответствии с принимаемым прогнозом мировых цен на нефть.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lastRenderedPageBreak/>
        <w:t>Особенности предстоящего периода развития мировых энергетических рынков (2011-2015 гг.) связаны с процессами их реструктуризации, возрастанием удельного веса развивающихся стран, обострением конкуренции. При этом в последнее время существенно увеличилась степень неопределенности и рисков в развитии мировых рынков, в том числе в связи с резкой и непредсказуемой динамикой цен на нефть, негативными последствиями кризисных явлений, угрозами дефицита поставок энергоресурсов, неоднозначными перспективами заключения международных соглашений по вопросам экологической политики и изменения климата.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Последние месяцы отчетливо обозначили новую тенденцию в мировой нефтегазовой отрасли: крупнейшие частные компании стремятся получить доступ к главному будущему источнику роста – проектам по добыче нетрадиционного газа, одновременно снижая зависимость от высокозатратных, рисковых и экстремально сложных проектов добычи нефти в глубоководных районах Мексиканского залива и побережья Бразилии.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В основе этих процессов лежат грядущие перемены в мировой энергетике: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- стремление правительств развитых стран к переходу на более экологически чистые виды топлива предопределяет рост мирового спроса на газ, как самый ближайший и легкодоступный заменитель нефти и угля в отдельных отраслях (пре</w:t>
      </w:r>
      <w:r>
        <w:rPr>
          <w:rFonts w:ascii="Times New Roman" w:hAnsi="Times New Roman" w:cs="Times New Roman"/>
          <w:sz w:val="28"/>
          <w:szCs w:val="28"/>
        </w:rPr>
        <w:t>жде всего – электроэнергетике);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- с развитием технологий СПГ в мире начинается формирование глобального рынка природного газа, который свяжет производителей и потребителей на разных континентах и удовлетворит стремление отдельных стран расширить круг своих</w:t>
      </w:r>
      <w:r>
        <w:rPr>
          <w:rFonts w:ascii="Times New Roman" w:hAnsi="Times New Roman" w:cs="Times New Roman"/>
          <w:sz w:val="28"/>
          <w:szCs w:val="28"/>
        </w:rPr>
        <w:t xml:space="preserve"> поставщиков (Западная Европа);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 xml:space="preserve">- в долгосрочной перспективе рынок нефти становится менее привлекательным (спрос на нефть в развитых странах с большой долей вероятности прошел пик еще в середине 2000-х годов, а развивающийся мир </w:t>
      </w:r>
      <w:r w:rsidRPr="004E62D2">
        <w:rPr>
          <w:rFonts w:ascii="Times New Roman" w:hAnsi="Times New Roman" w:cs="Times New Roman"/>
          <w:sz w:val="28"/>
          <w:szCs w:val="28"/>
        </w:rPr>
        <w:lastRenderedPageBreak/>
        <w:t>(прежде всего – Китай) стремится обеспечить свои будущие потребности в импорте за счет приобретения долей в крупных добывающих проектах; старт новых проектов в Ираке приведет к значительному предложению на рынке нефти, а усилия ОПЕК по стабилизации ситуации могут оказаться малоэффективными, в случае если на цены на нефть начнут устойчиво снижаться (в условиях неблагоприятной конъюнктуры отдельные члены ОПЕК, традиционно, ставят собственные интересы над групповыми, не придерживаясь квот картеля).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Наиболее ярким проявлением этих тенденций стала покупка Exxon независимого производителя нетрадиционного газа XTO и продажа компанией Devon долей в проектах нефтедобычи в Мексиканском заливе и у побережья Бразилии с целью концентрации на континентальных проектах по добыче нетрадиционного газа.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Тенденции потребления нефти - часть общей картины развития мирового потребления энергии, главным рычагом которого является быстро растущее потребление в развивающихся экономиках, что приведет к изменению баланса потребления. Глобальный спрос на энергию вырастет более чем на 42 процента в период с 2011 г. по 2030 г., основная роль в этом приросте будет принадлежать Китаю, Индии и другим странам АТР, не входящим в ОЭСР. Страны, не входящие в ОЭСР, увеличат свою долю в мировом балансе энергопотребления с 55 до 65 процентов.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Несмотря на ряд факторов, ограничивающих рост мирового спроса на нефть (повышение энергоэффективности, эволюция экономики в стороны менее энергоемких секторов, расширение использования альтернативных видов топлива), ее потребление в среднесрочной перспективе останется на достаточно высоком уровне.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По данным Международного энергетического агентства, в 2014 году суточные потребности мировой экономики в нефти достигнут уровня 88,99 млн. баррелей. Спрос на нефть в мире будет увеличиваться на 1 процент в год и к 2030-му достигнет 105 млн. баррелей в сутки.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lastRenderedPageBreak/>
        <w:t>Необходимость обеспечения спроса на нефть (с помощью все более затратных, с точки зрения производства, ресурсов) заставляет нефтяные компании осваивать месторождения с более высокими издержками и, соответственно, более высокими ценами реализации по сравнению с предыдущими периодами. Ухудшение ресурсной базы и необходимость поддержания доходности капитала требуют применения более эффективных технологий при разработке месторождений углеводородов.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Опрос, проведенный McKinsey в 2010 году, показал, что подавляющее большинство руководителей нефтегазовых компаний считают инновации главным фактором корпоративного развития и важнейшим источником конкурентного преимущества. Бюджет крупных нефтяных компаний на НИОКР в среднем ежегодно составляет около 700 млн. долл., количество зарегистрированных изобретений по наиболее крупным компаниям превышает 1 тыс. шт. ежегодно.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С технологической точки зрения в последние годы в мировой «нефтянке» произошли серьезные изменения, которые формируют ее будущий облик. Активно развиваются и применяются методы сейсморазведки, обработки и интерпретации данных, геолого-технологического моделирования, геонавигации и геофизического исследования скважин в процессе бурения (LWD), горизонтального и многоствольного бурения с применением роторно-управляемых систем и т.д.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Как известно, Россия входит в первую десятку стран с крупнейшими запасами нефти, уступая только странам Ближнего Востока и Венесуэле. Всего в мире текущие запасы нефти составляют 182 млрд.т. Доля Российской Федерации (по данным BP-statistic-2010) в мировых запасах составляет 6,5 процентов.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С учетом сохраняющегося влияния рентных доходов от экспорта сырья на формирование бюджета, Правительство России и компании должны быть готовы к любым возможным изменениям на рынке нефти, как со стороны ценовых колебаний, так и объемов спроса и предложения.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lastRenderedPageBreak/>
        <w:t>В июле текущего года на совещании у председателя Правительства России обсуждались перспективы развития отечественной нефтяной отрасли. В ходе дискуссии было отмечено, что устойчивое развитие отрасли, прежде всего, зависит от состояния ресурсной базы. Объем разведанных запасов нефти и их качество, географическая локализация, горно-геологические условия залегания, рентабельность извлечения запасов для различных регионов - все эти факторы напрямую влияют на добывающие планы компаний.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По данным статистики, ежегодная добыча нефти в России за последние восемь лет возросла с 459,0 млн.т (2004 г.) до 505,1 млн.т (2010 г.). Рост в первом полугодии 2011 г. к соответствующему периоду прошлого года составил 1,1 процент. Основной прирост в процентном отношении получен на месторождениях Восточной Сибири и Дальнего Востока (почти 17 процентов в первом полугодии 2011 г.).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Однако благоприятная, на первый взгляд, картина при более внимательном изучении приобретает совсем иные очертания.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Темп ежегодного прироста добычи нефти в 2003 году достиг 10 процентов. Однако, начиная с 2005 года, темп увеличения добычи нефти сократился, и к 2007 году составлял только 2 процента. В 2008 году, несмотря на все усилия, добыча нефти в России снизилась на 3 млн.т (-0,6% по сравнению с 2007 годом) и составила 489 млн.т. Максимальное падение добычи произошло в ОАО «Сургутнефтегаз» -2,8 млн.т (-4,4%), в ОАО «Газпромнефти» - 1,8 млн.т (-5,6%), НК «ЛУКОЙЛ» -1,2 млн.т (-1,3%), НК «Славнефть» -1,3 млн.т (-6,4%).</w:t>
      </w:r>
    </w:p>
    <w:p w:rsid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В 2009 году России удалось переломить отрицательную тенденцию и увеличить добычу нефти на 1,2% (494 млн.т). Согласно подготовленному ВР ежегодному статистическому обзору мировой энергетики (Statistical Review of World Energy), Российская Федерация вышла на первое место по добыче нефти в мире.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lastRenderedPageBreak/>
        <w:t>«Газпром нефть» входит в пятерку лидеров российского рынка по объемам добычи нефти. В 2011 г. компания стала лидером отрасли по росту добычи углеводородов среди российских нефтяных компаний. Консолидированная добыча группы «Газпром нефть» в 2011 г. составила 57,3 млн тонн нефтяного эквивалента, что на 8% превышает показатели 2010 г.</w:t>
      </w:r>
    </w:p>
    <w:p w:rsid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В России добыча «Газпром нефти» сосредоточена в крупнейших нефтегазоносных регионах: Ямало-Ненецком и Ханты-Мансийском автономных округах, а также в Омской, Томской, Тюменской, Оренбургской и Иркутской областях. Предприятия «Газпром нефти» обладают правами на пользование недрами на 75 лицензионных участках в 11 регионах России. Основным добывающим предприятием компании в ЯНАО является «Газпромнефть-Ноябрьскнефтегаз», разрабатывающее Сугмутское, Суторминское, Вынгапуровское, Спорышевское и Муравленковское месторождения. В 2011 г. доля добычи на этих месторождениях составила 33,4 % от объема собственной добычи нефти компании.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Одним из лидеров по темпам роста добычи в 2011 году стало дочернее предприятие компании — «Газпромнефть-Хантос» . Объем добычи на предприятии составил 10,85 млн тонн, что на 10,6 % превышает показатель 20010 года. Приобское месторождение, оператором которого является «Газпромнефть-Хантос», — одно из самых больших и самых перспективных нефтяных месторождений компании. Его активная разработка началась в 2004 г., а в 2011 году объем добычи на Приобском месторождении составил 33,3 % от объема добычи нефти на собственных месторождениях компании. Существенного роста добычи удалось добиться зарубежному предприятию «Газпром нефти» — сербскому концерну NIS . За 2011 г. объем добычи нефти у NIS вырос на 16,7 %, с 971 тыс. до 1,13 млн тонн.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Добыча газа</w:t>
      </w:r>
      <w:r>
        <w:rPr>
          <w:rFonts w:ascii="Times New Roman" w:hAnsi="Times New Roman" w:cs="Times New Roman"/>
          <w:sz w:val="28"/>
          <w:szCs w:val="28"/>
        </w:rPr>
        <w:t>: в</w:t>
      </w:r>
      <w:r w:rsidRPr="004E62D2">
        <w:rPr>
          <w:rFonts w:ascii="Times New Roman" w:hAnsi="Times New Roman" w:cs="Times New Roman"/>
          <w:sz w:val="28"/>
          <w:szCs w:val="28"/>
        </w:rPr>
        <w:t xml:space="preserve"> 2011 г. совокупная добыча газа группой «Газпром нефть» (с учетом доли в добыче, осуществляемой СП) составила 9,1 млрд м3, что почти в 2,3 раза превышает аналогичный показатель 2010 года. Рост добычи был достигнут преимущественно благодаря реализации </w:t>
      </w:r>
      <w:r w:rsidRPr="004E62D2">
        <w:rPr>
          <w:rFonts w:ascii="Times New Roman" w:hAnsi="Times New Roman" w:cs="Times New Roman"/>
          <w:sz w:val="28"/>
          <w:szCs w:val="28"/>
        </w:rPr>
        <w:lastRenderedPageBreak/>
        <w:t>Сеноманского газового проекта на Муравленковском и Новогоднем месторождениях.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«Газпром нефть» продолжает изучать возможность начала одновременной эксплуатации нефтяных и газовых пластов на других месторождениях в целях обеспечения производственной синергии и максимально полного использования природных ресурсов.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Газовое направление развития компании это активно развивающееся направление деятельности группы «Газпром нефть», ориентированное на коммерциализацию запасов попутного и природного газа, добываемого на нефтяных месторождениях, и увеличение его стоимости.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Рост добычи за счет геолого-технических мероприятий</w:t>
      </w:r>
      <w:r>
        <w:rPr>
          <w:rFonts w:ascii="Times New Roman" w:hAnsi="Times New Roman" w:cs="Times New Roman"/>
          <w:sz w:val="28"/>
          <w:szCs w:val="28"/>
        </w:rPr>
        <w:t>: д</w:t>
      </w:r>
      <w:r w:rsidRPr="004E62D2">
        <w:rPr>
          <w:rFonts w:ascii="Times New Roman" w:hAnsi="Times New Roman" w:cs="Times New Roman"/>
          <w:sz w:val="28"/>
          <w:szCs w:val="28"/>
        </w:rPr>
        <w:t>остичь превышения плановых показателей по добыче дочерними предприятиями компании удалось за счет ввода опережающими темпами новых скважин, а также применения мер по интенсификации добычи.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Всего в 2011г. было выполнено 1331 геолого-техническое мероприятие, что выше показателя бизнес-плана на 8,3%. Дополнительная добыча нефти за счет проведенных мероприятий составила 4,852 млн. т нефти.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В 2011 году эксплуатационный фонд нефтяных скважин «Газпром нефти» вырос на 234 и составил 7 099 скважины. В строй были введены 735 новых эксплуатационных скважин, что на 11 больше, чем в 2010 году. Рост числа вводимых скважин был обеспечен расширением программы эксплуатационного бурения: проходка достигла 2 254 тыс. м, что на 476,5 тыс. м больше запланированного.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Разработка и освоение новых месторождений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E62D2">
        <w:rPr>
          <w:rFonts w:ascii="Times New Roman" w:hAnsi="Times New Roman" w:cs="Times New Roman"/>
          <w:sz w:val="28"/>
          <w:szCs w:val="28"/>
        </w:rPr>
        <w:t xml:space="preserve">В планах компании – освоение новых месторождений в России и за рубежом. Значительный потенциал заключен в получении и дальнейшей разработке нефтяных месторождений ОАО «Газпром»  – Новопортовского, Приразломного, Долгинского. В 2011 году компания расширила географию добывающего бизнеса, закрепившись в новом регионе – Оренбургской области, где на базе полученной от «Газпрома» Восточной части Оренбургского месторождения </w:t>
      </w:r>
      <w:r w:rsidRPr="004E62D2">
        <w:rPr>
          <w:rFonts w:ascii="Times New Roman" w:hAnsi="Times New Roman" w:cs="Times New Roman"/>
          <w:sz w:val="28"/>
          <w:szCs w:val="28"/>
        </w:rPr>
        <w:lastRenderedPageBreak/>
        <w:t>и вновь приобретенных Царичанского и Капитоновского месторождений формируется новый центр добычи «Газпром нефти».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Международные проекты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E62D2">
        <w:rPr>
          <w:rFonts w:ascii="Times New Roman" w:hAnsi="Times New Roman" w:cs="Times New Roman"/>
          <w:sz w:val="28"/>
          <w:szCs w:val="28"/>
        </w:rPr>
        <w:t>«Газпром нефть» активно формирует портфель международных активов в сфере добычи. Компания является участником совместных проектов в Сербии, Ираке, Венесуэле, Экваториальной Гвинее, Анголе и на Кубе. Согласно стратегии «Газпром нефти» к 2020 г. порядка 10 % консолидированной добычи углеводородов должны обеспечить зарубежные проекты.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В начале 2010 года «Газпром нефть» подписала с правительством Ирака контракт на разработку месторождения Бадра, запасы которого составляют более 3 млрд баррелей нефти. Разработку месторождения будет осуществлять консорциум нефтяных компаний, в состав которого вошли «Газпром нефть» (Россия), Kogas (Корея), Petronas (Малайзия) и ТРАО (Турция). Доля участия «Газпром нефти» в проекте в качестве оператора составляет 30 %. В 2011 г. на месторождении было начато бурение скважин, максимальный уровень добычи в 170 тыс. барр./сут. Планируется достигнуть в 2017 г.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В 2010-2011 гг. компания также подписала соглашения, касающиеся разработки месторождений на шельфах Кубы и Экваториальной Гвинеи. В разработке месторождений Кубы партнером «Газпром нефти» выступит Petronas (Малайзия), а геологоразведка шельфа Африки будет вестись совместно с GEPetrol (Экваториальная Гвинея).</w:t>
      </w:r>
    </w:p>
    <w:p w:rsidR="004E62D2" w:rsidRP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t>«Газпром нефть» является лидером проекта «Хунин-6» по разработке пояса тяжелой нефти в бассейне реки Ориноко (Венесуэла). Решение о присвоении «Газпром нефти» этого статуса принял Совет директоров ООО «Национальный нефтяной консорциум», участниками которого являются пять крупнейших российских нефтяных компаний — «Газпром нефть», «ЛУКОЙЛ», «Роснефть», «Сургутнефтегаз» и ТНК-ВР. Статус компании-лидера предоставляет «Газпром нефти» полномочия координатора работ российско-венесуэльского проекта.</w:t>
      </w:r>
    </w:p>
    <w:p w:rsidR="004E62D2" w:rsidRDefault="004E62D2" w:rsidP="004E62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2D2">
        <w:rPr>
          <w:rFonts w:ascii="Times New Roman" w:hAnsi="Times New Roman" w:cs="Times New Roman"/>
          <w:sz w:val="28"/>
          <w:szCs w:val="28"/>
        </w:rPr>
        <w:lastRenderedPageBreak/>
        <w:t>Прогнозные извлекаемые запасы блока «Хунин-6» составляют 10,96 млрд барр. нефти.</w:t>
      </w:r>
    </w:p>
    <w:p w:rsidR="004C678C" w:rsidRDefault="004C678C" w:rsidP="004C67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678C">
        <w:rPr>
          <w:rFonts w:ascii="Times New Roman" w:hAnsi="Times New Roman" w:cs="Times New Roman"/>
          <w:sz w:val="28"/>
          <w:szCs w:val="28"/>
        </w:rPr>
        <w:t>Электрическая энергия. Прогнозные оценки показывают,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678C">
        <w:rPr>
          <w:rFonts w:ascii="Times New Roman" w:hAnsi="Times New Roman" w:cs="Times New Roman"/>
          <w:sz w:val="28"/>
          <w:szCs w:val="28"/>
        </w:rPr>
        <w:t>благодаря удобству использования и технологическим свойствам электрической энергии динамика её потребления в мире будет и впредь опережать темпы роста потребления энергоресурсов в целом. Темпы роста мирового спроса на электроэнергию составят до 3 % в год. Относительные ограничения дальности транспорта электроэнергии и технологические особенности взаимодействия электроэнергетических систем в совокупности с экономическими показателями стоимости экспортируемой электроэнергии сужают возможности ее экспорта из России. Принципиально конъюнктура спроса на электроэнергию позволяет рассматривать возможности ее экспорта из России в Европу, страны СНГ и такие страны АТР, как Китай, Япония, Южная Корея. Однако реальные возможности и масштабы экспорта электроэнергии должны быть оценены в отраслевом разделе, исходя из его конкурентоспособности, с учетом необходимых крупных инвестиций и мер технологической совместимости энергосистем России и стран - экспортеров электроэнергии. Наиболее вероятной тенденцией в перспективе станет: процесс обеспечения параллельной работы, объединения и интеграции национальных и региональных электроэнергетических систем на Евразийском пространстве, в котором Россия будет играть важнейшую роль. В целом перспективная мировая энергетическая ситуация дает основание прогнозировать как минимум сохранение или, скорее всего, расширение уровня экспортного спроса на российские энергоресурсы с учетом выхода России на энергетические рынки АТР. Прогноз развития мировой энергетической ситуации позволяет определить ёмкость рынков экспорта российских энергоресурсов и ценовые условия этого экспорта.</w:t>
      </w:r>
    </w:p>
    <w:p w:rsidR="00ED44FF" w:rsidRDefault="00ED44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D44FF" w:rsidRPr="004E62D2" w:rsidRDefault="00ED44FF" w:rsidP="004E62D2">
      <w:pPr>
        <w:pStyle w:val="4"/>
        <w:jc w:val="center"/>
        <w:rPr>
          <w:sz w:val="32"/>
        </w:rPr>
      </w:pPr>
      <w:bookmarkStart w:id="3" w:name="_Toc357155738"/>
      <w:r w:rsidRPr="004E62D2">
        <w:rPr>
          <w:sz w:val="32"/>
        </w:rPr>
        <w:lastRenderedPageBreak/>
        <w:t>Перспективы развития топливно-энергетического комплекса</w:t>
      </w:r>
      <w:bookmarkEnd w:id="3"/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Оптимизация топливно-энергетического баланса страны определила следующие задачи в области энергообеспечения национального хозяйства и развития отраслей ТЭК:</w:t>
      </w:r>
    </w:p>
    <w:p w:rsidR="00ED44FF" w:rsidRPr="00ED44FF" w:rsidRDefault="00ED44FF" w:rsidP="00ED44FF">
      <w:pPr>
        <w:pStyle w:val="a3"/>
        <w:numPr>
          <w:ilvl w:val="0"/>
          <w:numId w:val="3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увеличение производства первичных энергоресурсов с 1418 млн. т у. т. в 2000 году (1515 млн. т у. т. в 2002 году) до 1700 - 1820 млн. т у. т. в 2010 году и до 1810 - 2030 млн. т у. т. в 2020 году;</w:t>
      </w:r>
    </w:p>
    <w:p w:rsidR="00ED44FF" w:rsidRPr="00ED44FF" w:rsidRDefault="00ED44FF" w:rsidP="00ED44FF">
      <w:pPr>
        <w:pStyle w:val="a3"/>
        <w:numPr>
          <w:ilvl w:val="0"/>
          <w:numId w:val="3"/>
        </w:numPr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рост выработки электроэнергии с 878 млрд. кВт ч в 2000 году (892 млрд. кВт ч в 2002 году) до 1015 - 1070 млрд. кВт ч в 2010 году и до 1215 - 1365 млрд. кВт ч в 2020 году;</w:t>
      </w:r>
    </w:p>
    <w:p w:rsidR="00ED44FF" w:rsidRPr="00ED44FF" w:rsidRDefault="00ED44FF" w:rsidP="00ED44FF">
      <w:pPr>
        <w:pStyle w:val="a3"/>
        <w:numPr>
          <w:ilvl w:val="0"/>
          <w:numId w:val="3"/>
        </w:numPr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увеличение добычи нефти с 324 млн. т в 2000 году (379 млн. т в 2002 году) до 445 - 490 млн. т в 2010 году и до 450 - 520 млн. т в 2020 году;</w:t>
      </w:r>
    </w:p>
    <w:p w:rsidR="00ED44FF" w:rsidRPr="00ED44FF" w:rsidRDefault="00ED44FF" w:rsidP="00ED44FF">
      <w:pPr>
        <w:pStyle w:val="a3"/>
        <w:numPr>
          <w:ilvl w:val="0"/>
          <w:numId w:val="3"/>
        </w:numPr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рост производства моторных топлив с 83 млн. т в 2000 году (88 млн. т в 2002 году) до 100 - 110 млн. т в 2010 году и до 115 - 135 млн. т в 2020 году;</w:t>
      </w:r>
    </w:p>
    <w:p w:rsidR="00ED44FF" w:rsidRPr="00ED44FF" w:rsidRDefault="00ED44FF" w:rsidP="00ED44FF">
      <w:pPr>
        <w:pStyle w:val="a3"/>
        <w:numPr>
          <w:ilvl w:val="0"/>
          <w:numId w:val="3"/>
        </w:numPr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увеличение добычи газа с 584 млрд. куб. м в 2000 году (595 млрд. куб. м в 2002 году) до 635 - 665 млрд. куб. м в 2010 году и до 680 - 730 млрд. куб. м в 2020 году;</w:t>
      </w:r>
    </w:p>
    <w:p w:rsidR="00ED44FF" w:rsidRPr="00ED44FF" w:rsidRDefault="00ED44FF" w:rsidP="00ED44FF">
      <w:pPr>
        <w:pStyle w:val="a3"/>
        <w:numPr>
          <w:ilvl w:val="0"/>
          <w:numId w:val="3"/>
        </w:numPr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рост добычи угля с 258 млн. т в 2000 году (253 млн. т в 2002 году) до 310 - 330 млн. т в 2010 году и до 375 - 430 млн. т в 2020 году;</w:t>
      </w:r>
    </w:p>
    <w:p w:rsidR="00ED44FF" w:rsidRPr="00ED44FF" w:rsidRDefault="00ED44FF" w:rsidP="00ED44FF">
      <w:pPr>
        <w:pStyle w:val="a3"/>
        <w:numPr>
          <w:ilvl w:val="0"/>
          <w:numId w:val="3"/>
        </w:numPr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энергетическая стратегия российской экономики</w:t>
      </w:r>
    </w:p>
    <w:p w:rsidR="00ED44FF" w:rsidRPr="00ED44FF" w:rsidRDefault="00ED44FF" w:rsidP="00ED44FF">
      <w:pPr>
        <w:pStyle w:val="a3"/>
        <w:numPr>
          <w:ilvl w:val="0"/>
          <w:numId w:val="3"/>
        </w:numPr>
        <w:spacing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увеличение отпуска централизованного тепла с 1452 млн. Гкал в 2000 году (1437 млн. Гкал в 2002 году) до 1570 - 1625 млн. Гкал в 2010 году и до 1720 - 1820 млн. Гкал в 2020 году.</w:t>
      </w:r>
    </w:p>
    <w:p w:rsidR="00ED44FF" w:rsidRDefault="00ED44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D44FF" w:rsidRPr="004E62D2" w:rsidRDefault="00ED44FF" w:rsidP="004E62D2">
      <w:pPr>
        <w:pStyle w:val="5"/>
        <w:jc w:val="center"/>
        <w:rPr>
          <w:sz w:val="36"/>
        </w:rPr>
      </w:pPr>
      <w:bookmarkStart w:id="4" w:name="_Toc357155739"/>
      <w:r w:rsidRPr="004E62D2">
        <w:rPr>
          <w:sz w:val="36"/>
        </w:rPr>
        <w:lastRenderedPageBreak/>
        <w:t>Заключение</w:t>
      </w:r>
      <w:bookmarkEnd w:id="4"/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Таким образом, в данной работе были рассмотрены такие вопросы энергодобывающей промышленности, как перспективы развития сырьевой базы топливно-энергетического комплекса, а так же определены факторы, влияющие на перспективный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EB9">
        <w:rPr>
          <w:rFonts w:ascii="Times New Roman" w:hAnsi="Times New Roman" w:cs="Times New Roman"/>
          <w:sz w:val="28"/>
          <w:szCs w:val="28"/>
        </w:rPr>
        <w:t>уровень добычи энергоресурсов.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По результатам изучения данных вопросов можно сделать ряд выводов.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Россия располагает значительными запасами энергетических ресурсов и мощным топливно-энергетическим комплексом, который является базой развития экономики, инструментом проведения внутренней и внешней политики.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Однако на сегодняшний день в энергодобывающей отрасли страны сложился ряд проблем, сдерживающих развитие комплекса. Это и высокая степень износа основных фондов, и дефицит инвестиционных ресурсов и нерациональное их использование, и высокая нагрузка на окружающую среду, и, как правило, несовершенство законодательства в данной отрасли.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Среди факторов, влияющих на перспективный уровень добычи энергоресурсов можно выделить: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- спрос на топливно-энергетические ресурсы и углеводородное сырье как внутри страны, так и на внешнеэкономическом пространстве;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- формирование благоприятного инвестиционного климата;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- использование научно-технических достижений;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- открытие и разработка новых месторождений энергоресурсов;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- масштабы реализации ресурсосберегающих технологий.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Закончить работу хотелось бы словами Президента Российской Федерации В.В. Путина: «Без сомнения, сегодня именно энергетика является важнейшим ресурсом социально-экономического развития, прогресса и прямо влияет на благополучия жителей планеты…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Вместе с тем, энергодобывающий комплекс развивается крайне неравномерно. Он подвержен серьезным рискам – и политическим, и экономическим, и экологическим…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lastRenderedPageBreak/>
        <w:t>Темпы добычи энергоресурсов у нас немного снизились в прошлом году, но в ц</w:t>
      </w:r>
      <w:r>
        <w:rPr>
          <w:rFonts w:ascii="Times New Roman" w:hAnsi="Times New Roman" w:cs="Times New Roman"/>
          <w:sz w:val="28"/>
          <w:szCs w:val="28"/>
        </w:rPr>
        <w:t>елом все равно рост идет. В 2010</w:t>
      </w:r>
      <w:r w:rsidRPr="00F83EB9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EB9">
        <w:rPr>
          <w:rFonts w:ascii="Times New Roman" w:hAnsi="Times New Roman" w:cs="Times New Roman"/>
          <w:sz w:val="28"/>
          <w:szCs w:val="28"/>
        </w:rPr>
        <w:t>мы достигли рекордного – начиная 1991 года – уровня добычи – 470,196 миллиона тонн нефти. Рекордная планка достигнута и в добыче</w:t>
      </w:r>
      <w:r>
        <w:rPr>
          <w:rFonts w:ascii="Times New Roman" w:hAnsi="Times New Roman" w:cs="Times New Roman"/>
          <w:sz w:val="28"/>
          <w:szCs w:val="28"/>
        </w:rPr>
        <w:t xml:space="preserve"> газа. Его экспорт достиг в 2011</w:t>
      </w:r>
      <w:r w:rsidRPr="00F83EB9">
        <w:rPr>
          <w:rFonts w:ascii="Times New Roman" w:hAnsi="Times New Roman" w:cs="Times New Roman"/>
          <w:sz w:val="28"/>
          <w:szCs w:val="28"/>
        </w:rPr>
        <w:t xml:space="preserve"> году 152,4 миллиарда кубических метров, что на восемь </w:t>
      </w:r>
      <w:r>
        <w:rPr>
          <w:rFonts w:ascii="Times New Roman" w:hAnsi="Times New Roman" w:cs="Times New Roman"/>
          <w:sz w:val="28"/>
          <w:szCs w:val="28"/>
        </w:rPr>
        <w:t>процентов превышает уровень 2010</w:t>
      </w:r>
      <w:r w:rsidRPr="00F83EB9">
        <w:rPr>
          <w:rFonts w:ascii="Times New Roman" w:hAnsi="Times New Roman" w:cs="Times New Roman"/>
          <w:sz w:val="28"/>
          <w:szCs w:val="28"/>
        </w:rPr>
        <w:t xml:space="preserve"> года, а по нефт</w:t>
      </w:r>
      <w:r>
        <w:rPr>
          <w:rFonts w:ascii="Times New Roman" w:hAnsi="Times New Roman" w:cs="Times New Roman"/>
          <w:sz w:val="28"/>
          <w:szCs w:val="28"/>
        </w:rPr>
        <w:t>и превышение по сравнению с 2010</w:t>
      </w:r>
      <w:r w:rsidRPr="00F83EB9">
        <w:rPr>
          <w:rFonts w:ascii="Times New Roman" w:hAnsi="Times New Roman" w:cs="Times New Roman"/>
          <w:sz w:val="28"/>
          <w:szCs w:val="28"/>
        </w:rPr>
        <w:t xml:space="preserve"> годом – на 2,4 процента.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В России устойчиво растут объемы добычи газа, нефти, угля, как я уже сказал, производства электроэнергии. Российский энергетический бизнес планирует активно работать и на стремительно развивающемся рынке сжиженного газа. Речь идет для нас не только о наращивании объемов производства и российского экспорта энергетических ресурсов – наша страна готова и хочет вносить свой вклад во внедрение новейших технологий в ресурсы и энергосбережение, недросбережение.</w:t>
      </w:r>
    </w:p>
    <w:p w:rsidR="00F83EB9" w:rsidRPr="00F83EB9" w:rsidRDefault="00F83EB9" w:rsidP="00F83EB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EB9">
        <w:rPr>
          <w:rFonts w:ascii="Times New Roman" w:hAnsi="Times New Roman" w:cs="Times New Roman"/>
          <w:sz w:val="28"/>
          <w:szCs w:val="28"/>
        </w:rPr>
        <w:t>Уже в ближайшие месяцы Государственная Дума рассмотрит, и, надеюсь, примет важнейшие законопроекты по налогам на добычу полезных ископаемых, новым правилам пользования недрами, в том числе условиям участия иностранного капитала. Они призваны сделать условия для ведения энергетического бизнеса в России максимально удобными, прозрачными и предсказуемыми».</w:t>
      </w:r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Из всего сказанного можно сделать выводы что, основными факторами, которые будут определять развитие ТЭК в первой четверти XXI века, являются:</w:t>
      </w:r>
    </w:p>
    <w:p w:rsidR="00ED44FF" w:rsidRPr="00ED44FF" w:rsidRDefault="00ED44FF" w:rsidP="00ED44FF">
      <w:pPr>
        <w:pStyle w:val="a3"/>
        <w:numPr>
          <w:ilvl w:val="0"/>
          <w:numId w:val="2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динамика спроса на топливно-энергетические ресурсы и углеводородное сырье внутри страны, обусловленная темпами роста национальной экономики и ее удельной энергоемкостью, а также ценами на энергоносители;</w:t>
      </w:r>
    </w:p>
    <w:p w:rsidR="00ED44FF" w:rsidRPr="00ED44FF" w:rsidRDefault="00ED44FF" w:rsidP="00ED44FF">
      <w:pPr>
        <w:pStyle w:val="a3"/>
        <w:numPr>
          <w:ilvl w:val="0"/>
          <w:numId w:val="2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масштабы реализации ресурсо - и энергосберегающих технологий, как в энергетическом секторе, так и в других секторах экономики;</w:t>
      </w:r>
    </w:p>
    <w:p w:rsidR="00ED44FF" w:rsidRPr="00ED44FF" w:rsidRDefault="00ED44FF" w:rsidP="00ED44FF">
      <w:pPr>
        <w:pStyle w:val="a3"/>
        <w:numPr>
          <w:ilvl w:val="0"/>
          <w:numId w:val="2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lastRenderedPageBreak/>
        <w:t>состояние мировой экономической и энергетической конъюнктуры, степень интеграции в мировое энергетическое пространство;</w:t>
      </w:r>
    </w:p>
    <w:p w:rsidR="00ED44FF" w:rsidRPr="00ED44FF" w:rsidRDefault="00ED44FF" w:rsidP="00ED44FF">
      <w:pPr>
        <w:pStyle w:val="a3"/>
        <w:numPr>
          <w:ilvl w:val="0"/>
          <w:numId w:val="2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устойчивое развитие минерально-сырьевой базы;</w:t>
      </w:r>
    </w:p>
    <w:p w:rsidR="00ED44FF" w:rsidRPr="00ED44FF" w:rsidRDefault="00ED44FF" w:rsidP="00ED44FF">
      <w:pPr>
        <w:pStyle w:val="a3"/>
        <w:numPr>
          <w:ilvl w:val="0"/>
          <w:numId w:val="2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формирование благоприятного инвестиционного климата с учетом совершенствования налогового, ценового и таможенного регулирования;</w:t>
      </w:r>
    </w:p>
    <w:p w:rsidR="00ED44FF" w:rsidRPr="00ED44FF" w:rsidRDefault="00ED44FF" w:rsidP="00ED44FF">
      <w:pPr>
        <w:pStyle w:val="a3"/>
        <w:numPr>
          <w:ilvl w:val="0"/>
          <w:numId w:val="2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создание экономических стимулов для уменьшения воздействия энергетики на окружающую природную среду;</w:t>
      </w:r>
    </w:p>
    <w:p w:rsidR="00ED44FF" w:rsidRPr="00ED44FF" w:rsidRDefault="00ED44FF" w:rsidP="00ED44FF">
      <w:pPr>
        <w:pStyle w:val="a3"/>
        <w:numPr>
          <w:ilvl w:val="0"/>
          <w:numId w:val="2"/>
        </w:numPr>
        <w:spacing w:after="0"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масштабы использования научно-технических достижений в ТЭК и подготовка перехода к энергетике будущего.</w:t>
      </w:r>
    </w:p>
    <w:p w:rsid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Поставленная задача достижения качественно нового состояния ТЭК диктует жесткие требования к выбору мер государственного регулирования и взаимной ответственности всех участников процесса.</w:t>
      </w:r>
    </w:p>
    <w:p w:rsidR="00ED44FF" w:rsidRDefault="00ED44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D44FF" w:rsidRPr="004E62D2" w:rsidRDefault="00AA69A7" w:rsidP="004E62D2">
      <w:pPr>
        <w:pStyle w:val="6"/>
        <w:jc w:val="center"/>
        <w:rPr>
          <w:sz w:val="32"/>
        </w:rPr>
      </w:pPr>
      <w:bookmarkStart w:id="5" w:name="_Toc357155740"/>
      <w:r w:rsidRPr="004E62D2">
        <w:rPr>
          <w:sz w:val="32"/>
        </w:rPr>
        <w:lastRenderedPageBreak/>
        <w:t>Список использованной литературы</w:t>
      </w:r>
      <w:bookmarkEnd w:id="5"/>
    </w:p>
    <w:p w:rsidR="00ED44FF" w:rsidRPr="00ED44FF" w:rsidRDefault="00ED44FF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4FF">
        <w:rPr>
          <w:rFonts w:ascii="Times New Roman" w:hAnsi="Times New Roman" w:cs="Times New Roman"/>
          <w:sz w:val="28"/>
          <w:szCs w:val="28"/>
        </w:rPr>
        <w:t>1)</w:t>
      </w:r>
      <w:r w:rsidRPr="00ED44FF">
        <w:rPr>
          <w:rFonts w:ascii="Times New Roman" w:hAnsi="Times New Roman" w:cs="Times New Roman"/>
          <w:sz w:val="28"/>
          <w:szCs w:val="28"/>
        </w:rPr>
        <w:tab/>
        <w:t>Андреев А.В. Основы региональной экономики: учебник для вузов / А.В. Андреев. – М.: КноРус, 2012. – 334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Вахромов Е.Н. Региональная экономика в многоуровневой структуре рыночной экономики / Е.Н. Вахромов // Вестник Иркутского государственного университета. 2009. – № 2. – С. 26-30.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Кистанов В.В. Региональная экономика России: Учебник / В.В. Кистанов, Н.В. Копылов.- М.: Финансы и статистика, 2011. – 584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Козьева И.Л. Экономическая география и регионалистика: учебник / И.Л.  Козьева,  Э.Н. Кузъбожев. – М.: КНОРУС, 2012. – 346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Курнышев В.В. Региональная экономика. Основы теории и методы исследования: учебник для вузов / В.В. Курнышев, В.Г. Глушкова. – М.: КноРус, 2012. – 254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Петропавловский А.Е. Региональная экономика и управление: учебно - практическое пособие / А.Е. Петропавловский. - М.: Изд. центр ЕАОИ, 2011. - 107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Региональная экономика. Природно-ресурсные и экологические основы / Под ред. В. Глушковой, Ю. Симагина. – М.: КноРус, 2012. – 320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Региональная экономика / Под ред. Г. Поляка. – М.: Юнити-Дана, 2012. – 464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Региональная экономика: учебник для вузов / Т.Г. Морозова, М.П. Победина, Г.Б. Поляк и др.; Под ред. проф. Т.Г. Морозовой. – 2-е изд., перераб. и доп. – М.: ЮНИТИ, 2012. – 472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Сидоров М.К. Социально-экономическая география и регионалистика России: учебник / М.К. Сидоров.- М.:ИНФРА – М, 2010. – 400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Соловьева Т.В. Идеи экономического районирования в исторической ретроспективе / Т.В. Соловьева // Известия Уральского государственного университета. – 2007. – № 49. – С. 153-162.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Федоляк В.С. Региональная экономика как хозяйственная система страны / В.С. Федоляк // Известия Саратовского университета. Новая серия. Серия: Экономика. Управление. Право. – 2010. – Т. 10. – № 1. – С. 3-7.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Фетисов Г.Г. Региональная экономика и управление: учебник / Г.Г. Фетисов, В.П. Орешин. – М.: ИНФРА-М, 2012. – 416 с.</w:t>
      </w:r>
    </w:p>
    <w:p w:rsidR="00ED44FF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Чапек В.Н. Региональная экономика: учебник для вузов / В.Н. Чапек.- Ростов-на-Дону: Феникс, 2012. – 256 с.</w:t>
      </w:r>
    </w:p>
    <w:p w:rsidR="002A73B1" w:rsidRPr="00ED44FF" w:rsidRDefault="00BF6BCB" w:rsidP="00ED4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D44FF" w:rsidRPr="00ED44FF">
        <w:rPr>
          <w:rFonts w:ascii="Times New Roman" w:hAnsi="Times New Roman" w:cs="Times New Roman"/>
          <w:sz w:val="28"/>
          <w:szCs w:val="28"/>
        </w:rPr>
        <w:t>)</w:t>
      </w:r>
      <w:r w:rsidR="00ED44FF" w:rsidRPr="00ED44FF">
        <w:rPr>
          <w:rFonts w:ascii="Times New Roman" w:hAnsi="Times New Roman" w:cs="Times New Roman"/>
          <w:sz w:val="28"/>
          <w:szCs w:val="28"/>
        </w:rPr>
        <w:tab/>
        <w:t>Экономическая и социальная география России: учебник / Под ред. А.Т. Хрущева. М.: КРОН-ПРЕСС, 2011. – 456 с.</w:t>
      </w:r>
    </w:p>
    <w:sectPr w:rsidR="002A73B1" w:rsidRPr="00ED44FF" w:rsidSect="00AA69A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9D0" w:rsidRDefault="007029D0" w:rsidP="00BF6BCB">
      <w:pPr>
        <w:spacing w:after="0" w:line="240" w:lineRule="auto"/>
      </w:pPr>
      <w:r>
        <w:separator/>
      </w:r>
    </w:p>
  </w:endnote>
  <w:endnote w:type="continuationSeparator" w:id="1">
    <w:p w:rsidR="007029D0" w:rsidRDefault="007029D0" w:rsidP="00BF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9D0" w:rsidRDefault="007029D0" w:rsidP="00BF6BCB">
      <w:pPr>
        <w:spacing w:after="0" w:line="240" w:lineRule="auto"/>
      </w:pPr>
      <w:r>
        <w:separator/>
      </w:r>
    </w:p>
  </w:footnote>
  <w:footnote w:type="continuationSeparator" w:id="1">
    <w:p w:rsidR="007029D0" w:rsidRDefault="007029D0" w:rsidP="00BF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71153"/>
      <w:docPartObj>
        <w:docPartGallery w:val="Page Numbers (Top of Page)"/>
        <w:docPartUnique/>
      </w:docPartObj>
    </w:sdtPr>
    <w:sdtContent>
      <w:p w:rsidR="00BF6BCB" w:rsidRDefault="00BF059E">
        <w:pPr>
          <w:pStyle w:val="a4"/>
          <w:jc w:val="center"/>
        </w:pPr>
        <w:fldSimple w:instr=" PAGE  \* Arabic  \* MERGEFORMAT ">
          <w:r w:rsidR="00F00B00">
            <w:rPr>
              <w:noProof/>
            </w:rPr>
            <w:t>1</w:t>
          </w:r>
        </w:fldSimple>
      </w:p>
    </w:sdtContent>
  </w:sdt>
  <w:p w:rsidR="00BF6BCB" w:rsidRDefault="00BF6BC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3F066D"/>
    <w:multiLevelType w:val="hybridMultilevel"/>
    <w:tmpl w:val="5A2E2C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48587B"/>
    <w:multiLevelType w:val="hybridMultilevel"/>
    <w:tmpl w:val="7F80DF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F7759E"/>
    <w:multiLevelType w:val="hybridMultilevel"/>
    <w:tmpl w:val="AF3E4A76"/>
    <w:lvl w:ilvl="0" w:tplc="3A2CF716">
      <w:numFmt w:val="bullet"/>
      <w:lvlText w:val="·"/>
      <w:lvlJc w:val="left"/>
      <w:pPr>
        <w:ind w:left="1864" w:hanging="115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6E01F7"/>
    <w:multiLevelType w:val="hybridMultilevel"/>
    <w:tmpl w:val="05140A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ED3712A"/>
    <w:multiLevelType w:val="hybridMultilevel"/>
    <w:tmpl w:val="347862F2"/>
    <w:lvl w:ilvl="0" w:tplc="061EFFD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FC348CD"/>
    <w:multiLevelType w:val="hybridMultilevel"/>
    <w:tmpl w:val="37A084F6"/>
    <w:lvl w:ilvl="0" w:tplc="061EFFD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44FF"/>
    <w:rsid w:val="001626DD"/>
    <w:rsid w:val="002A73B1"/>
    <w:rsid w:val="004B3344"/>
    <w:rsid w:val="004C678C"/>
    <w:rsid w:val="004E62D2"/>
    <w:rsid w:val="007029D0"/>
    <w:rsid w:val="008B0835"/>
    <w:rsid w:val="00A13F88"/>
    <w:rsid w:val="00AA69A7"/>
    <w:rsid w:val="00BF059E"/>
    <w:rsid w:val="00BF6BCB"/>
    <w:rsid w:val="00E95E42"/>
    <w:rsid w:val="00ED44FF"/>
    <w:rsid w:val="00F00B00"/>
    <w:rsid w:val="00F83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E42"/>
  </w:style>
  <w:style w:type="paragraph" w:styleId="1">
    <w:name w:val="heading 1"/>
    <w:basedOn w:val="a"/>
    <w:next w:val="a"/>
    <w:link w:val="10"/>
    <w:uiPriority w:val="9"/>
    <w:qFormat/>
    <w:rsid w:val="004E62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E62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2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62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4E62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4E62D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4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BCB"/>
  </w:style>
  <w:style w:type="paragraph" w:styleId="a6">
    <w:name w:val="footer"/>
    <w:basedOn w:val="a"/>
    <w:link w:val="a7"/>
    <w:uiPriority w:val="99"/>
    <w:semiHidden/>
    <w:unhideWhenUsed/>
    <w:rsid w:val="00BF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6BCB"/>
  </w:style>
  <w:style w:type="character" w:customStyle="1" w:styleId="10">
    <w:name w:val="Заголовок 1 Знак"/>
    <w:basedOn w:val="a0"/>
    <w:link w:val="1"/>
    <w:uiPriority w:val="9"/>
    <w:rsid w:val="004E62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E62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E62D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E62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E62D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E62D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11">
    <w:name w:val="toc 1"/>
    <w:basedOn w:val="a"/>
    <w:next w:val="a"/>
    <w:autoRedefine/>
    <w:uiPriority w:val="39"/>
    <w:unhideWhenUsed/>
    <w:rsid w:val="004E62D2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4E62D2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4E62D2"/>
    <w:pPr>
      <w:spacing w:after="100"/>
      <w:ind w:left="440"/>
    </w:pPr>
  </w:style>
  <w:style w:type="paragraph" w:styleId="41">
    <w:name w:val="toc 4"/>
    <w:basedOn w:val="a"/>
    <w:next w:val="a"/>
    <w:autoRedefine/>
    <w:uiPriority w:val="39"/>
    <w:unhideWhenUsed/>
    <w:rsid w:val="004E62D2"/>
    <w:pPr>
      <w:spacing w:after="100"/>
      <w:ind w:left="660"/>
    </w:pPr>
  </w:style>
  <w:style w:type="paragraph" w:styleId="51">
    <w:name w:val="toc 5"/>
    <w:basedOn w:val="a"/>
    <w:next w:val="a"/>
    <w:autoRedefine/>
    <w:uiPriority w:val="39"/>
    <w:unhideWhenUsed/>
    <w:rsid w:val="004E62D2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4E62D2"/>
    <w:pPr>
      <w:spacing w:after="100"/>
      <w:ind w:left="1100"/>
    </w:pPr>
  </w:style>
  <w:style w:type="character" w:styleId="a8">
    <w:name w:val="Hyperlink"/>
    <w:basedOn w:val="a0"/>
    <w:uiPriority w:val="99"/>
    <w:unhideWhenUsed/>
    <w:rsid w:val="004E62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68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6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E4170-19B7-494C-BB7C-2CF18AF55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5844</Words>
  <Characters>33317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39083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9</cp:revision>
  <dcterms:created xsi:type="dcterms:W3CDTF">2013-05-21T05:19:00Z</dcterms:created>
  <dcterms:modified xsi:type="dcterms:W3CDTF">2014-12-15T14:13:00Z</dcterms:modified>
</cp:coreProperties>
</file>