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59C" w:rsidRDefault="00AB613E" w:rsidP="00AB613E">
      <w:pPr>
        <w:pStyle w:val="1"/>
        <w:numPr>
          <w:ilvl w:val="0"/>
          <w:numId w:val="2"/>
        </w:numPr>
      </w:pPr>
      <w:r>
        <w:t>Казначейство России: итоги и задачи</w:t>
      </w:r>
    </w:p>
    <w:p w:rsidR="00926F48" w:rsidRDefault="00926F48" w:rsidP="00926F48"/>
    <w:p w:rsidR="00926F48" w:rsidRDefault="00926F48" w:rsidP="00357376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26F48">
        <w:rPr>
          <w:rFonts w:ascii="Times New Roman" w:hAnsi="Times New Roman" w:cs="Times New Roman"/>
          <w:sz w:val="28"/>
          <w:szCs w:val="28"/>
        </w:rPr>
        <w:t xml:space="preserve">В феврале 2014 года </w:t>
      </w:r>
      <w:r>
        <w:rPr>
          <w:rFonts w:ascii="Times New Roman" w:hAnsi="Times New Roman" w:cs="Times New Roman"/>
          <w:sz w:val="28"/>
          <w:szCs w:val="28"/>
        </w:rPr>
        <w:t>состоялось расширенное заседание Коллегии Казначейства России на тему: «Итоги деятельности за 2013 год и основные направления развития Федерального казначейства на 2014 год».</w:t>
      </w:r>
    </w:p>
    <w:p w:rsidR="00926F48" w:rsidRDefault="00926F48" w:rsidP="00357376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Были подведены итоги деятельности казначейства России за прошлый год и определил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главные задачи на предстоящий период.</w:t>
      </w:r>
    </w:p>
    <w:p w:rsidR="00926F48" w:rsidRDefault="003B5DCD" w:rsidP="00357376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Среди основных успехов, достигнутых в 2013 году, выделили управление ликвидностью Единым казначейским счетом, успешный перевод на кассовое обслуживание государственных внебюджетных фондов, запуск Государственной информационной системы о государственных и муниципальных платежах, утверждение Концепции реформирования системы бюджетных платежей.</w:t>
      </w:r>
    </w:p>
    <w:p w:rsidR="003B5DCD" w:rsidRDefault="003B5DCD" w:rsidP="00357376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результаты управления ликвидностью Единым казначейским счетом, выраженные в абсолютных цифрах, говорят сами за себя: ежедневно на этот счет привлекались временно свободные остатки средств бюджетных учреждений, что позволило увеличить ежедневный остаток </w:t>
      </w:r>
      <w:r w:rsidR="00B24440">
        <w:rPr>
          <w:rFonts w:ascii="Times New Roman" w:hAnsi="Times New Roman" w:cs="Times New Roman"/>
          <w:sz w:val="28"/>
          <w:szCs w:val="28"/>
        </w:rPr>
        <w:t>средств на нем в среднем на 390 млрд</w:t>
      </w:r>
      <w:proofErr w:type="gramStart"/>
      <w:r w:rsidR="00B2444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B24440">
        <w:rPr>
          <w:rFonts w:ascii="Times New Roman" w:hAnsi="Times New Roman" w:cs="Times New Roman"/>
          <w:sz w:val="28"/>
          <w:szCs w:val="28"/>
        </w:rPr>
        <w:t>ублей. Эти средства размещались на банковские депозиты, что обеспечило поступление в федеральный бюджет более 30 млрд</w:t>
      </w:r>
      <w:proofErr w:type="gramStart"/>
      <w:r w:rsidR="00B2444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B24440">
        <w:rPr>
          <w:rFonts w:ascii="Times New Roman" w:hAnsi="Times New Roman" w:cs="Times New Roman"/>
          <w:sz w:val="28"/>
          <w:szCs w:val="28"/>
        </w:rPr>
        <w:t>уб. дополнительных доходов, т.е. в 1,4 раза больше, чем в прошлом году.</w:t>
      </w:r>
    </w:p>
    <w:p w:rsidR="00FF4AEC" w:rsidRDefault="00FF4AEC" w:rsidP="00357376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Благодаря принятию пяти постановлений Правительства РФ и семи приказов Минфина России и Казначейства, подготовленных при активном участии сотрудников ведомства, была обеспечена база для реализации новых инструментов управления ликвидностью – предоставление бюджетных кредитов регионам и сделок РЕПО, которые позволят обеспечить доступ к размещению бюджетных средств более широкому кругу участников.</w:t>
      </w:r>
    </w:p>
    <w:p w:rsidR="00FF4AEC" w:rsidRDefault="00FF4AEC" w:rsidP="00357376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феврале текущего года Казначейство уже приступило к выдаче бюджетных кредитов </w:t>
      </w:r>
      <w:r w:rsidR="00A62EF2">
        <w:rPr>
          <w:rFonts w:ascii="Times New Roman" w:hAnsi="Times New Roman" w:cs="Times New Roman"/>
          <w:sz w:val="28"/>
          <w:szCs w:val="28"/>
        </w:rPr>
        <w:t xml:space="preserve">на пополнение остатков средств на счетах </w:t>
      </w:r>
      <w:r w:rsidR="00A62EF2">
        <w:rPr>
          <w:rFonts w:ascii="Times New Roman" w:hAnsi="Times New Roman" w:cs="Times New Roman"/>
          <w:sz w:val="28"/>
          <w:szCs w:val="28"/>
        </w:rPr>
        <w:lastRenderedPageBreak/>
        <w:t>региональных бюджетов. Их уже получили 13 субъектов РФ на сумму свыше 15 млрд</w:t>
      </w:r>
      <w:proofErr w:type="gramStart"/>
      <w:r w:rsidR="00A62EF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A62EF2">
        <w:rPr>
          <w:rFonts w:ascii="Times New Roman" w:hAnsi="Times New Roman" w:cs="Times New Roman"/>
          <w:sz w:val="28"/>
          <w:szCs w:val="28"/>
        </w:rPr>
        <w:t xml:space="preserve">ублей. Механизм бюджетных кредитов – это не только дополнительный инструмент финансовой устойчивости региональных бюджетов. Он позволяет субъектам РФ экономить бюджетные средства, поскольку кредиты предоставляются им по более низкой процентной ставке, чем в коммерческих банках. В этом году Казначейство планирует наработать необходимую практику и усовершенствовать механизм кредитования. </w:t>
      </w:r>
    </w:p>
    <w:p w:rsidR="00A62EF2" w:rsidRDefault="00A62EF2" w:rsidP="00357376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Успешный перевод </w:t>
      </w:r>
      <w:r w:rsidR="00155ED2">
        <w:rPr>
          <w:rFonts w:ascii="Times New Roman" w:hAnsi="Times New Roman" w:cs="Times New Roman"/>
          <w:sz w:val="28"/>
          <w:szCs w:val="28"/>
        </w:rPr>
        <w:t xml:space="preserve">на кассовое обслуживание государственных внебюджетных фондов – еще один положительный итог работы Федерального казначейства в прошлом году, отмеченный руководителем ведомства. В течение прошлого года на полное кассовое обслуживание переведены территориальные фонды обязательного медицинского страхования. А с 1 января 2014 года Казначейство приступило к обслуживанию бюджетов государственных внебюджетных фондов РФ, что означает свыше 700 дополнительных клиентов и более 500 новых лицевых счетов. С этим удалось справиться без привлечения дополнительных ресурсов и без увеличения численности. </w:t>
      </w:r>
    </w:p>
    <w:p w:rsidR="00155ED2" w:rsidRDefault="00155ED2" w:rsidP="00357376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Государственным внебюджетным фондам это обеспечило максимальную прозрачность проводимых операций. Благодаря оперативно предоставляемой отчетности по всем лицевым счетам каждый орган управления знает все о проводимых операциях его подведомственной сетью. </w:t>
      </w:r>
      <w:r w:rsidR="0008015F">
        <w:rPr>
          <w:rFonts w:ascii="Times New Roman" w:hAnsi="Times New Roman" w:cs="Times New Roman"/>
          <w:sz w:val="28"/>
          <w:szCs w:val="28"/>
        </w:rPr>
        <w:t xml:space="preserve"> Предусмотрена возможность предоставления им дополнительной отчетности в различных аналитических разрезах, что повышает качество кассового обслуживания, а также дополнительных сервисов, таких, например, как санкционирование расходов или учет бюджетных обязательств. </w:t>
      </w:r>
    </w:p>
    <w:p w:rsidR="0008015F" w:rsidRDefault="0008015F" w:rsidP="00357376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Среди задач, стоящих перед Казначейством России на 2014 г. и вытекающих из Закона о бюджете, - обеспечение ведения Реестра соглашений в открытом доступе на Едином портале бюджетной системы, где главные распорядители бюджетных средств должны размещать информацию по каждому соглашению о предоставлении субсидий в Реестре соглашений.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Включение информации в Реестре осуществляется через механизм учета бюджетных обязательств. По состоянию на текущую дату в Реестре размещено свыше 2,5 тыс. сведений о соглашениях на сумму примерно 370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млрд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рублей. При этом известна информация о каждом юридическом лице, с которым заключено соглашение.</w:t>
      </w:r>
    </w:p>
    <w:p w:rsidR="0008015F" w:rsidRDefault="0008015F" w:rsidP="00357376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июля 2014 г. главные распорядители бюджетных средств могут самостоятельно размещать информацию для включения в Реестр на Едином портале через систему личных кабинетов.</w:t>
      </w:r>
    </w:p>
    <w:p w:rsidR="00246F97" w:rsidRDefault="00246F97" w:rsidP="00357376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Следующая задача – предоставление целевых средств региональным и местным бюджетам в сумме фактической потребности. В прошлом году этот механизм был запущен в рамках эксперимента, а в этом Правительство РФ закрепило перечень субсидий, которые могут предоставляться региональным бюджетам строго под потребность. Примерно 245 млрд. руб. целевых средств будет предоставлено с использованием данного механизма, который Казначейство должно внедрить в полном объеме, что позволит минимизировать неиспользованные остатки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остатки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целевых средств на счетах региональных бюджетов и увеличить ликвидность Единого казначейского счета.</w:t>
      </w:r>
    </w:p>
    <w:p w:rsidR="00926F48" w:rsidRDefault="00F930CF" w:rsidP="00357376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Федерального закона о контрактной системе №44-ФЗ, который вступил в силу с 1 января 2014 г., на Федеральное казначейство возлагается ряд полномочий. Во-первых, ведение реестра контрактов, определение порядка регистрации заказчиков на Официальном сайте, а с 2016 г. совместно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Росфиннадзором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предстоит осуществлять многоуровневый контроль закупок в информационной системе.</w:t>
      </w:r>
    </w:p>
    <w:p w:rsidR="00F930CF" w:rsidRDefault="00F930CF" w:rsidP="0035737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Во-вторых, Казначейству предстоит вести реестр банковских гарантий на Общероссийском официальном сайте (до введения в действие Единой информационной системы), который позволит исключить вероятность использования поддельных банковских гарантий, повысит уровень доверия к банкам, выступающим гарантами. Сегодня в реестре собраны сведения о 19 банковских гарантиях на сумму 2,5 млрд. рублей.</w:t>
      </w:r>
    </w:p>
    <w:p w:rsidR="000C7778" w:rsidRDefault="000C7778" w:rsidP="0035737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Комплекс задач, которые предстоит решить Казначейству России в текущем году, связаны с реализацией системы «Электронный бюджет». Необходимо выполнить в соответствующей части разработку и передачу в опытную эксплуатацию подсистем бюджетного планирования, управления закупками, учета и отчетности, управления расходами, а также обеспечить разработку нормативно-справочной информации на основании технологических подсистем электронного бюджета в части реестра организаций и бюджетной классификации.</w:t>
      </w:r>
    </w:p>
    <w:p w:rsidR="00A17D8B" w:rsidRDefault="00A17D8B" w:rsidP="0035737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прошлом году в тестовом режиме заработал Единый портал бюджетной системы РФ. Обеспечено создание тестовых страниц портала и его информационно-аналитическое наполнение. Р.Е.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Артюхин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руководитель Федерального казначейства, выделил задачу на 2014 г. – перенести тестовую версию портала на промышленную платформу электронного бюджета и продолжить наполнение его открытой части. А через систему личных кабинетов на портале планируется реализовать возможность доведения главными распорядителями бюджетных средств соглашений о предоставлении целевых средств в электронном виде.</w:t>
      </w:r>
    </w:p>
    <w:p w:rsidR="00E54DDD" w:rsidRDefault="00715261" w:rsidP="0035737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 подчеркнул необходимость развития </w:t>
      </w:r>
      <w:r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71526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блока Федерального казначейства и создания ситуационного центра Федерального казначейства для выявления сбоев или предвестников сбоев на каждом из уровней функционального процесса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внештатными ситуациями. Предполагается, что в перспективе сигналы о вероятностных сбоях будут поступать из всех казначейских информационных систем в ситуационный центр, где они будут оперативно отслеживаться и устраняться. </w:t>
      </w:r>
    </w:p>
    <w:p w:rsidR="00472E02" w:rsidRDefault="00472E02" w:rsidP="0035737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Кассовое обслуживание бюджетов бюджетной системы РФ по-прежнему остается основной функцией Казначейства, подчеркнул Р.Е.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Артюхин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А это – свыше 23 тыс. бюджетов и более 180 тыс. лицевых счетов. Для совершенствования деятельности в этом направлении следует реализовать механизм электронного санкционирования расходов, отказаться от бумажного документа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сканкопий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Необходимо разработать и утвердить </w:t>
      </w:r>
      <w:r>
        <w:rPr>
          <w:rFonts w:ascii="Times New Roman" w:hAnsi="Times New Roman" w:cs="Times New Roman"/>
          <w:sz w:val="28"/>
          <w:szCs w:val="28"/>
        </w:rPr>
        <w:lastRenderedPageBreak/>
        <w:t>электронные формы документов, позволяющие вносить данные в электронном виде. Документ должен поступать в Казначейство в электронном формате и автоматически загружаться в его информационные системы.</w:t>
      </w:r>
    </w:p>
    <w:p w:rsidR="00C71F52" w:rsidRDefault="00C71F52" w:rsidP="0035737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Начиная с 2016 г. Казначейству предстоит оптимизировать механизм применения классификации операций сектора государственного управления – развивать КОСГУ для целей бухгалтерского учета, а не бюджетного процесса. </w:t>
      </w:r>
      <w:r w:rsidR="000118F7">
        <w:rPr>
          <w:rFonts w:ascii="Times New Roman" w:hAnsi="Times New Roman" w:cs="Times New Roman"/>
          <w:sz w:val="28"/>
          <w:szCs w:val="28"/>
        </w:rPr>
        <w:t>Изменение порядка применения КОСГУ повлечет за собой большое количество поправок в различные нормативные правовые акты и Минфина России, и Федерального казначейства. Поэтому Казначейству в этом году необходимо провести мониторинг нормативных правовых актов, которые содержат ссылки на КОСГУ, проработать необходимые поправки и продумать новый механизм санкционирования расходов федерального бюджета. Кроме того, ведомству потребуется модернизировать свои информационные системы для осуществления бесперебойного перехода «внешней среды» на новую бюджетную классификацию с 2016 г.</w:t>
      </w:r>
    </w:p>
    <w:p w:rsidR="000E76AE" w:rsidRDefault="000E76AE" w:rsidP="0035737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Остановились на механизме учета бюджетных обязательств получателей бюджетных средств,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позволяет до минимума снизить возможность принятия бюджетных обязательств сверх доведенных лимитов. С июля прошлого года Казначейство России формирует отчет по бюджетным обязательствам, принятым в рамках реализации федеральной адресной инвестиционной программы, который позволяет иметь полную информацию о ходе ее реализации для принятия оперативных управленческих решений. В развитие этих инструментов стоит задача оптимизировать этот сервис для «внешней среды». А в текущем году Казначейству предстоит реализовать возможность однократного ввода информации для клиентов через систему личных кабинетов. Для этого необходимо обеспечить </w:t>
      </w:r>
      <w:r w:rsidR="005E2FE4">
        <w:rPr>
          <w:rFonts w:ascii="Times New Roman" w:hAnsi="Times New Roman" w:cs="Times New Roman"/>
          <w:sz w:val="28"/>
          <w:szCs w:val="28"/>
        </w:rPr>
        <w:t>интеграцию процессов ведения реестра контрактов, реестра соглашений и учета бюджетных обязательств.</w:t>
      </w:r>
    </w:p>
    <w:p w:rsidR="00D5712B" w:rsidRDefault="00D5712B" w:rsidP="0035737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 мнению, Т.Г. Нестеренко – первого заместителя министра финансов РФ, повышению прозрачности бюджетной информации, заявленное во всех стратегических документах, будет способствовать Единый портал бюджетной системы РФ, который в прошлом году был запущен в тестовом режиме, а в этом году стоит задача обеспечить перенос тестовой версии портала на промышленную платформу «Электронный бюджет», продолжить его информационно-аналитическое наполнение.</w:t>
      </w:r>
    </w:p>
    <w:p w:rsidR="00167176" w:rsidRDefault="00167176" w:rsidP="0035737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Вообще концепции «Электронный бюджет» Т.Г. Нестеренко уделила в своем выступлении особое внимание. Она отметила, что при решении любых, иногда даже временных задач, Минфин и Казначейство не отходят от принципов, заявленных в этой Концепции.</w:t>
      </w:r>
    </w:p>
    <w:p w:rsidR="007060D0" w:rsidRDefault="007060D0" w:rsidP="0035737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Федеральным казначейством подготовлен проект концепции методологии систематизации и кодирования информации, а также совершенствования и актуализации общероссийских справочников и информационных ресурсов. В ближайшее время он должен быть направлен для согласования в соответствующие федеральные органы исполнительной власти. Но, даже не дожидаясь принятия Концепции, продолжается систематизация необходимой для бюджетного процесса информации. </w:t>
      </w:r>
    </w:p>
    <w:p w:rsidR="007F0089" w:rsidRDefault="008A749A" w:rsidP="0035737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Во-первых, речь идет о реестре участников и неучастников бюджетного процесса, который в соответствии с положениями ст. 166.1 Бюджетного кодекса РФ ведет Федеральное казначейство в установленном Минфином России.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Реестр будет формироваться на основе ЕГРЮЛ, содержать информацию об организациях всех публично-правовых образований, об их роли в бюджетном </w:t>
      </w:r>
      <w:r w:rsidR="00B014B4">
        <w:rPr>
          <w:rFonts w:ascii="Times New Roman" w:hAnsi="Times New Roman" w:cs="Times New Roman"/>
          <w:sz w:val="28"/>
          <w:szCs w:val="28"/>
        </w:rPr>
        <w:t xml:space="preserve">процессе. С 1 января 2015 г. реестр будет обязателен к использованию всеми финансовыми органами для ведения лицевых счетов организаций, осуществления ими функций заказчиков. </w:t>
      </w:r>
    </w:p>
    <w:p w:rsidR="007F0089" w:rsidRDefault="007F0089" w:rsidP="0035737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Во-вторых, подготовлены поправки в Бюджетный кодекс РФ, в т.ч. о формировании и ведении с 1 января 2015 г. Федеральным казначейством в установленном Правительством РФ порядке перечня источников доходов </w:t>
      </w:r>
      <w:r>
        <w:rPr>
          <w:rFonts w:ascii="Times New Roman" w:hAnsi="Times New Roman" w:cs="Times New Roman"/>
          <w:sz w:val="28"/>
          <w:szCs w:val="28"/>
        </w:rPr>
        <w:lastRenderedPageBreak/>
        <w:t>Российской Федерации, под которым будет пониматься свод федеральных налогов и сборов, региональных и местных налогов, страховых взносов на обязательное социальное страхование, иных обязательных платежей, других поступлений, являющихся источниками формирования доходов бюджетов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бюджетной системы РФ. Формирование перечня доходов позволит реализовать правила формирования документов по начислению и оплате платежей за государственные и муниципальные услуги.</w:t>
      </w:r>
    </w:p>
    <w:p w:rsidR="003E2D08" w:rsidRDefault="007F0089" w:rsidP="0035737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В-третьих, с 1 января 2014 г. распределение поступлений между бюджетами бюджетной системы РФ осуществляется по кодам ОКТМО. В целях минимизации невыясненных </w:t>
      </w:r>
      <w:r w:rsidR="00A33E6F">
        <w:rPr>
          <w:rFonts w:ascii="Times New Roman" w:hAnsi="Times New Roman" w:cs="Times New Roman"/>
          <w:sz w:val="28"/>
          <w:szCs w:val="28"/>
        </w:rPr>
        <w:t xml:space="preserve">поступлений в переходный период сформирована переходная таблица соответствия кодов ОКАТО кодам ОКТМО. На ее основе в этом году будет подготовлен перечень публично-правовых образований, который будет содержать информацию обо всех ППО, их бюджетных полномочиях (в т.ч. переданных другим ППО), кодах ОКАТО, ОКТМО (в т.ч. временных), а также будет связан реестром муниципальных </w:t>
      </w:r>
      <w:r w:rsidR="003E2D08">
        <w:rPr>
          <w:rFonts w:ascii="Times New Roman" w:hAnsi="Times New Roman" w:cs="Times New Roman"/>
          <w:sz w:val="28"/>
          <w:szCs w:val="28"/>
        </w:rPr>
        <w:t>образований Минюста России. С 1 января 2016 г. перечень ППО будет обязателен к использованию всеми участниками бюджетной системы РФ.</w:t>
      </w:r>
    </w:p>
    <w:p w:rsidR="00184D5C" w:rsidRDefault="003E2D08" w:rsidP="0035737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1 января 2015 г. Казначейство планирует обеспечить кассовое обслуживание исполнения бюджетов с использованием пластиковых карт. Для этого утверждены соответствующие </w:t>
      </w:r>
      <w:r w:rsidR="00AC0A67">
        <w:rPr>
          <w:rFonts w:ascii="Times New Roman" w:hAnsi="Times New Roman" w:cs="Times New Roman"/>
          <w:sz w:val="28"/>
          <w:szCs w:val="28"/>
        </w:rPr>
        <w:t>ведомственные приказы, разработаны необходимые формы электронных документов, стандартизированы варианты кассового обслуживания.</w:t>
      </w:r>
    </w:p>
    <w:p w:rsidR="00184D5C" w:rsidRDefault="00184D5C" w:rsidP="0035737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были затронуты актуальные вопросы деятельности расходного операционного блока ФК:</w:t>
      </w:r>
    </w:p>
    <w:p w:rsidR="00AE7C08" w:rsidRDefault="00184D5C" w:rsidP="0035737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перспективы развития </w:t>
      </w:r>
      <w:r w:rsidR="00AE7C08">
        <w:rPr>
          <w:rFonts w:ascii="Times New Roman" w:hAnsi="Times New Roman" w:cs="Times New Roman"/>
          <w:sz w:val="28"/>
          <w:szCs w:val="28"/>
        </w:rPr>
        <w:t xml:space="preserve">управления ликвидными активами на ЕКС (консолидация источников наполнения ликвидности ЕКС: средства публично-правовых образований, государственных внебюджетных фондов, возможно – государственных корпораций;  институциональные изменения в части разделения процессов финансового и кассового управления </w:t>
      </w:r>
      <w:r w:rsidR="00AE7C08">
        <w:rPr>
          <w:rFonts w:ascii="Times New Roman" w:hAnsi="Times New Roman" w:cs="Times New Roman"/>
          <w:sz w:val="28"/>
          <w:szCs w:val="28"/>
        </w:rPr>
        <w:lastRenderedPageBreak/>
        <w:t>бюджетными средствами; расширение сферы инструментария активных операций; совершенствование технологических моделей управления ликвидности и др.);</w:t>
      </w:r>
    </w:p>
    <w:p w:rsidR="008A749A" w:rsidRDefault="00AE7C08" w:rsidP="0035737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основные условия предоставления бюджетных кредитов на пополнение остатков средств на счетах бюджетов субъектов РФ (Управлением Федерального казначейства </w:t>
      </w:r>
      <w:r w:rsidR="00971AA4">
        <w:rPr>
          <w:rFonts w:ascii="Times New Roman" w:hAnsi="Times New Roman" w:cs="Times New Roman"/>
          <w:sz w:val="28"/>
          <w:szCs w:val="28"/>
        </w:rPr>
        <w:t xml:space="preserve">с заемщиком по месту открытия счета №40201/40204 заключаются договоры на текущий финансовый год; предоставление кредита за счет остатков средств на Едином счете федерального бюджета в размере, не превышающем </w:t>
      </w:r>
      <w:r w:rsidR="00971AA4" w:rsidRPr="00971AA4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971AA4">
        <w:rPr>
          <w:rFonts w:ascii="Times New Roman" w:hAnsi="Times New Roman" w:cs="Times New Roman"/>
          <w:sz w:val="28"/>
          <w:szCs w:val="28"/>
        </w:rPr>
        <w:t>/</w:t>
      </w:r>
      <w:r w:rsidR="00971AA4" w:rsidRPr="00971AA4">
        <w:rPr>
          <w:rFonts w:ascii="Times New Roman" w:hAnsi="Times New Roman" w:cs="Times New Roman"/>
          <w:sz w:val="28"/>
          <w:szCs w:val="28"/>
          <w:vertAlign w:val="subscript"/>
        </w:rPr>
        <w:t>12</w:t>
      </w:r>
      <w:r w:rsidR="00971AA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971AA4">
        <w:rPr>
          <w:rFonts w:ascii="Times New Roman" w:hAnsi="Times New Roman" w:cs="Times New Roman"/>
          <w:sz w:val="28"/>
          <w:szCs w:val="28"/>
        </w:rPr>
        <w:t>объема доходов бюджета, за исключением субсидий, субвенций и иных межбюджетных целевых трансфертов);</w:t>
      </w:r>
    </w:p>
    <w:p w:rsidR="00971AA4" w:rsidRDefault="00971AA4" w:rsidP="0035737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операции с ценными бумагами по договорам РЕПО (сделки, в которых одна сторона передает другой в собственность определенные ценные бумаги за определенную сумму, обязуясь приобрести их в будущем по цене, включающей процентную составляющую);</w:t>
      </w:r>
    </w:p>
    <w:p w:rsidR="00971AA4" w:rsidRDefault="00971AA4" w:rsidP="0035737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управление казначейскими рисками с целью осуществления комплекса мер, направленных на выявление и минимизацию возможных событий, оказывающих отрицательное воздействие на результаты деятельности органов Федерального казначейства, организации постоянного мониторинга рисков и оперативное принятие управленческих решений, для их минимизации и тем самым укреплению устойчивости, надежности и прозрачности финансовой системы Российской Федерации, а также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обеспечениию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сохранности финансовых средств государства и др.</w:t>
      </w:r>
      <w:proofErr w:type="gramEnd"/>
    </w:p>
    <w:p w:rsidR="00357376" w:rsidRDefault="00357376" w:rsidP="00971AA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57376" w:rsidRDefault="00357376" w:rsidP="00971AA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57376" w:rsidRDefault="00357376" w:rsidP="00357376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57376" w:rsidRDefault="00357376" w:rsidP="00357376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57376" w:rsidRDefault="00357376" w:rsidP="00357376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57376" w:rsidRDefault="00357376" w:rsidP="00357376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57376" w:rsidRDefault="00357376" w:rsidP="00357376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57376" w:rsidRDefault="00357376" w:rsidP="00357376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57376" w:rsidRDefault="00357376" w:rsidP="00357376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57376" w:rsidRDefault="00357376" w:rsidP="00357376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</w:t>
      </w:r>
    </w:p>
    <w:p w:rsidR="00357376" w:rsidRPr="00DA686B" w:rsidRDefault="00DA686B" w:rsidP="00DA686B">
      <w:pPr>
        <w:tabs>
          <w:tab w:val="left" w:pos="1200"/>
        </w:tabs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DA686B">
        <w:rPr>
          <w:rFonts w:ascii="Times New Roman" w:hAnsi="Times New Roman" w:cs="Times New Roman"/>
          <w:sz w:val="28"/>
          <w:szCs w:val="28"/>
        </w:rPr>
        <w:tab/>
      </w:r>
    </w:p>
    <w:p w:rsidR="00357376" w:rsidRPr="00DA686B" w:rsidRDefault="00357376" w:rsidP="00357376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A686B">
        <w:rPr>
          <w:rFonts w:ascii="Times New Roman" w:hAnsi="Times New Roman" w:cs="Times New Roman"/>
          <w:sz w:val="28"/>
          <w:szCs w:val="28"/>
        </w:rPr>
        <w:t xml:space="preserve">Приказ МФ России от 01.07.2013 №65н (ред. От 20.02.2014 г.) </w:t>
      </w:r>
      <w:r w:rsidRPr="00DA68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 УТВЕРЖДЕНИИ УКАЗАНИЙО ПОРЯДКЕ ПРИМЕНЕНИЯ БЮДЖЕТНОЙ КЛАССИФИКАЦИИ РОССИЙСКОЙ ФЕДЕРАЦИИ;</w:t>
      </w:r>
    </w:p>
    <w:p w:rsidR="00357376" w:rsidRPr="00DA686B" w:rsidRDefault="00357376" w:rsidP="00357376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DA68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Письмо Минфина России от 17.02.2014 г. №02-08-18/6562 об использовании реквизитов ОКАТО и ОКТМО при осуществлении </w:t>
      </w:r>
      <w:r w:rsidRPr="00DA686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перевод денежных средств в уплату платежей в бюджетную систему РФ;</w:t>
      </w:r>
    </w:p>
    <w:p w:rsidR="00357376" w:rsidRPr="00DA686B" w:rsidRDefault="00357376" w:rsidP="00357376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686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Письмо ФНС России от 06.09.2013 г. №3Н-4-1/16127 «О применении с 08.05.2013 г. КБК 18210909030081000110);</w:t>
      </w:r>
      <w:proofErr w:type="gramEnd"/>
    </w:p>
    <w:p w:rsidR="00357376" w:rsidRPr="00DA686B" w:rsidRDefault="00066088" w:rsidP="00357376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686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Финансы 2014. Казначейство России: итоги и задачи. Ежемесячный теоретический и научно-практический журнал.</w:t>
      </w:r>
    </w:p>
    <w:p w:rsidR="00320E5C" w:rsidRPr="00DA686B" w:rsidRDefault="00320E5C" w:rsidP="00357376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A686B">
        <w:rPr>
          <w:rFonts w:ascii="Times New Roman" w:hAnsi="Times New Roman" w:cs="Times New Roman"/>
          <w:sz w:val="28"/>
          <w:szCs w:val="28"/>
          <w:shd w:val="clear" w:color="auto" w:fill="FFFFFF"/>
        </w:rPr>
        <w:t>www.</w:t>
      </w:r>
      <w:r w:rsidRPr="00DA686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consultant</w:t>
      </w:r>
      <w:r w:rsidRPr="00DA686B">
        <w:rPr>
          <w:rFonts w:ascii="Times New Roman" w:hAnsi="Times New Roman" w:cs="Times New Roman"/>
          <w:sz w:val="28"/>
          <w:szCs w:val="28"/>
          <w:shd w:val="clear" w:color="auto" w:fill="FFFFFF"/>
        </w:rPr>
        <w:t>.ru</w:t>
      </w:r>
      <w:proofErr w:type="spellEnd"/>
    </w:p>
    <w:p w:rsidR="00357376" w:rsidRPr="00DA686B" w:rsidRDefault="00357376" w:rsidP="00357376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sectPr w:rsidR="00357376" w:rsidRPr="00DA686B" w:rsidSect="00633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83DC0"/>
    <w:multiLevelType w:val="hybridMultilevel"/>
    <w:tmpl w:val="D18C76AC"/>
    <w:lvl w:ilvl="0" w:tplc="E38E5186">
      <w:start w:val="1"/>
      <w:numFmt w:val="decimal"/>
      <w:lvlText w:val="%1."/>
      <w:lvlJc w:val="left"/>
      <w:pPr>
        <w:ind w:left="720" w:hanging="360"/>
      </w:pPr>
      <w:rPr>
        <w:rFonts w:cstheme="maj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484641"/>
    <w:multiLevelType w:val="hybridMultilevel"/>
    <w:tmpl w:val="7A92A10C"/>
    <w:lvl w:ilvl="0" w:tplc="BB2E508A">
      <w:start w:val="1"/>
      <w:numFmt w:val="decimal"/>
      <w:lvlText w:val="%1)"/>
      <w:lvlJc w:val="left"/>
      <w:pPr>
        <w:ind w:left="1068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5B875EC"/>
    <w:multiLevelType w:val="hybridMultilevel"/>
    <w:tmpl w:val="AE3A55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0B83"/>
    <w:rsid w:val="000118F7"/>
    <w:rsid w:val="00066088"/>
    <w:rsid w:val="0008015F"/>
    <w:rsid w:val="000C7778"/>
    <w:rsid w:val="000E76AE"/>
    <w:rsid w:val="00106663"/>
    <w:rsid w:val="00123ED2"/>
    <w:rsid w:val="00155ED2"/>
    <w:rsid w:val="00167176"/>
    <w:rsid w:val="00184D5C"/>
    <w:rsid w:val="001D0B83"/>
    <w:rsid w:val="00246F97"/>
    <w:rsid w:val="00320E5C"/>
    <w:rsid w:val="00357376"/>
    <w:rsid w:val="003B5DCD"/>
    <w:rsid w:val="003E2D08"/>
    <w:rsid w:val="00472E02"/>
    <w:rsid w:val="005E2FE4"/>
    <w:rsid w:val="005F5FAB"/>
    <w:rsid w:val="0063359C"/>
    <w:rsid w:val="007060D0"/>
    <w:rsid w:val="00715261"/>
    <w:rsid w:val="007F0089"/>
    <w:rsid w:val="0086127F"/>
    <w:rsid w:val="008A749A"/>
    <w:rsid w:val="00926F48"/>
    <w:rsid w:val="00971AA4"/>
    <w:rsid w:val="00A17D8B"/>
    <w:rsid w:val="00A33E6F"/>
    <w:rsid w:val="00A62EF2"/>
    <w:rsid w:val="00AB613E"/>
    <w:rsid w:val="00AC0A67"/>
    <w:rsid w:val="00AE7C08"/>
    <w:rsid w:val="00B014B4"/>
    <w:rsid w:val="00B24440"/>
    <w:rsid w:val="00C13CB9"/>
    <w:rsid w:val="00C71F52"/>
    <w:rsid w:val="00D5712B"/>
    <w:rsid w:val="00DA686B"/>
    <w:rsid w:val="00E54DDD"/>
    <w:rsid w:val="00F930CF"/>
    <w:rsid w:val="00FF4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59C"/>
  </w:style>
  <w:style w:type="paragraph" w:styleId="1">
    <w:name w:val="heading 1"/>
    <w:basedOn w:val="a"/>
    <w:next w:val="a"/>
    <w:link w:val="10"/>
    <w:uiPriority w:val="9"/>
    <w:qFormat/>
    <w:rsid w:val="00AB613E"/>
    <w:pPr>
      <w:keepNext/>
      <w:keepLines/>
      <w:spacing w:before="360" w:after="0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613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D0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D0B83"/>
  </w:style>
  <w:style w:type="character" w:customStyle="1" w:styleId="20">
    <w:name w:val="Заголовок 2 Знак"/>
    <w:basedOn w:val="a0"/>
    <w:link w:val="2"/>
    <w:uiPriority w:val="9"/>
    <w:semiHidden/>
    <w:rsid w:val="00AB61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AB613E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3573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3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8809</TotalTime>
  <Pages>9</Pages>
  <Words>2224</Words>
  <Characters>12682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14877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Оля</dc:creator>
  <cp:lastModifiedBy>Оля</cp:lastModifiedBy>
  <cp:revision>33</cp:revision>
  <dcterms:created xsi:type="dcterms:W3CDTF">2014-05-06T11:01:00Z</dcterms:created>
  <dcterms:modified xsi:type="dcterms:W3CDTF">2014-05-12T16:01:00Z</dcterms:modified>
</cp:coreProperties>
</file>