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02B" w:rsidRDefault="00E5402B" w:rsidP="00E5402B">
      <w:pPr>
        <w:spacing w:line="360" w:lineRule="auto"/>
        <w:jc w:val="center"/>
        <w:rPr>
          <w:sz w:val="28"/>
          <w:szCs w:val="28"/>
        </w:rPr>
      </w:pPr>
      <w:r>
        <w:rPr>
          <w:sz w:val="28"/>
          <w:szCs w:val="28"/>
        </w:rPr>
        <w:t>Федеральное государственное образовательное бюджетное учреждение высшего профессионального образования</w:t>
      </w:r>
    </w:p>
    <w:p w:rsidR="00E5402B" w:rsidRDefault="00E5402B" w:rsidP="00E5402B">
      <w:pPr>
        <w:spacing w:line="360" w:lineRule="auto"/>
        <w:jc w:val="center"/>
        <w:rPr>
          <w:b/>
          <w:sz w:val="28"/>
          <w:szCs w:val="28"/>
        </w:rPr>
      </w:pPr>
      <w:r>
        <w:rPr>
          <w:b/>
          <w:sz w:val="28"/>
          <w:szCs w:val="28"/>
        </w:rPr>
        <w:t>«ФИНАНСОВЫЙ УНИВЕРСИТЕТ ПРИ ПРАВИТЕЛЬСТВЕ РОССИЙСКОЙ ФЕДЕРАЦИИ»</w:t>
      </w:r>
    </w:p>
    <w:p w:rsidR="00E5402B" w:rsidRDefault="00E5402B" w:rsidP="00E5402B">
      <w:pPr>
        <w:spacing w:line="360" w:lineRule="auto"/>
        <w:jc w:val="center"/>
        <w:rPr>
          <w:sz w:val="28"/>
          <w:szCs w:val="28"/>
        </w:rPr>
      </w:pPr>
      <w:r>
        <w:rPr>
          <w:sz w:val="28"/>
          <w:szCs w:val="28"/>
        </w:rPr>
        <w:t>(Финансовый университет)</w:t>
      </w:r>
    </w:p>
    <w:p w:rsidR="00E5402B" w:rsidRDefault="00E5402B" w:rsidP="00E5402B">
      <w:pPr>
        <w:spacing w:line="360" w:lineRule="auto"/>
        <w:jc w:val="center"/>
        <w:rPr>
          <w:sz w:val="28"/>
          <w:szCs w:val="28"/>
        </w:rPr>
      </w:pPr>
    </w:p>
    <w:p w:rsidR="00E5402B" w:rsidRDefault="00E5402B" w:rsidP="00E5402B">
      <w:pPr>
        <w:spacing w:line="360" w:lineRule="auto"/>
        <w:jc w:val="center"/>
        <w:rPr>
          <w:b/>
          <w:sz w:val="28"/>
          <w:szCs w:val="28"/>
        </w:rPr>
      </w:pPr>
      <w:r>
        <w:rPr>
          <w:b/>
          <w:sz w:val="28"/>
          <w:szCs w:val="28"/>
        </w:rPr>
        <w:t>Смоленский филиал Финуниверситета</w:t>
      </w:r>
    </w:p>
    <w:p w:rsidR="00E5402B" w:rsidRDefault="00E5402B" w:rsidP="00E5402B">
      <w:pPr>
        <w:spacing w:line="360" w:lineRule="auto"/>
        <w:jc w:val="center"/>
        <w:rPr>
          <w:b/>
          <w:sz w:val="28"/>
          <w:szCs w:val="28"/>
        </w:rPr>
      </w:pPr>
    </w:p>
    <w:p w:rsidR="00E5402B" w:rsidRDefault="00E5402B" w:rsidP="00E5402B">
      <w:pPr>
        <w:spacing w:line="360" w:lineRule="auto"/>
        <w:rPr>
          <w:b/>
          <w:sz w:val="28"/>
          <w:szCs w:val="28"/>
        </w:rPr>
      </w:pPr>
    </w:p>
    <w:p w:rsidR="00E5402B" w:rsidRDefault="00E5402B" w:rsidP="00E5402B">
      <w:pPr>
        <w:spacing w:line="360" w:lineRule="auto"/>
        <w:jc w:val="center"/>
        <w:rPr>
          <w:b/>
          <w:sz w:val="28"/>
          <w:szCs w:val="28"/>
        </w:rPr>
      </w:pPr>
      <w:r>
        <w:rPr>
          <w:b/>
          <w:sz w:val="28"/>
          <w:szCs w:val="28"/>
        </w:rPr>
        <w:t>Контрольная работа</w:t>
      </w:r>
    </w:p>
    <w:p w:rsidR="00E5402B" w:rsidRDefault="00E5402B" w:rsidP="00E5402B">
      <w:pPr>
        <w:spacing w:line="360" w:lineRule="auto"/>
        <w:jc w:val="both"/>
        <w:rPr>
          <w:sz w:val="28"/>
          <w:szCs w:val="28"/>
        </w:rPr>
      </w:pPr>
    </w:p>
    <w:p w:rsidR="00E5402B" w:rsidRDefault="00E5402B" w:rsidP="00E5402B">
      <w:pPr>
        <w:spacing w:line="360" w:lineRule="auto"/>
        <w:jc w:val="center"/>
        <w:rPr>
          <w:sz w:val="28"/>
          <w:szCs w:val="28"/>
        </w:rPr>
      </w:pPr>
      <w:r>
        <w:rPr>
          <w:sz w:val="28"/>
          <w:szCs w:val="28"/>
        </w:rPr>
        <w:t xml:space="preserve">Дисциплина: </w:t>
      </w:r>
      <w:r>
        <w:rPr>
          <w:b/>
          <w:sz w:val="28"/>
          <w:szCs w:val="28"/>
        </w:rPr>
        <w:t>«</w:t>
      </w:r>
      <w:r w:rsidR="00623170">
        <w:rPr>
          <w:b/>
          <w:sz w:val="28"/>
          <w:szCs w:val="28"/>
        </w:rPr>
        <w:t>Банковское дело</w:t>
      </w:r>
      <w:r>
        <w:rPr>
          <w:b/>
          <w:sz w:val="28"/>
          <w:szCs w:val="28"/>
        </w:rPr>
        <w:t>»</w:t>
      </w:r>
    </w:p>
    <w:p w:rsidR="00E5402B" w:rsidRDefault="00E5402B" w:rsidP="00E5402B">
      <w:pPr>
        <w:spacing w:line="360" w:lineRule="auto"/>
        <w:jc w:val="center"/>
        <w:rPr>
          <w:sz w:val="32"/>
          <w:szCs w:val="32"/>
        </w:rPr>
      </w:pPr>
      <w:r>
        <w:rPr>
          <w:sz w:val="32"/>
          <w:szCs w:val="32"/>
        </w:rPr>
        <w:t>Тема: «</w:t>
      </w:r>
      <w:r w:rsidR="00623170" w:rsidRPr="00623170">
        <w:rPr>
          <w:sz w:val="28"/>
          <w:szCs w:val="28"/>
        </w:rPr>
        <w:t>Валютные операции, оценка и регулирование валютных рисков</w:t>
      </w:r>
      <w:r>
        <w:rPr>
          <w:sz w:val="32"/>
          <w:szCs w:val="32"/>
        </w:rPr>
        <w:t>»</w:t>
      </w:r>
    </w:p>
    <w:p w:rsidR="00E5402B" w:rsidRDefault="00E5402B" w:rsidP="00E5402B">
      <w:pPr>
        <w:spacing w:line="360" w:lineRule="auto"/>
        <w:jc w:val="center"/>
        <w:rPr>
          <w:sz w:val="32"/>
          <w:szCs w:val="32"/>
        </w:rPr>
      </w:pPr>
      <w:r>
        <w:rPr>
          <w:sz w:val="32"/>
          <w:szCs w:val="32"/>
        </w:rPr>
        <w:t>Вариант - 3</w:t>
      </w:r>
    </w:p>
    <w:p w:rsidR="00E5402B" w:rsidRDefault="00E5402B" w:rsidP="00E5402B">
      <w:pPr>
        <w:spacing w:line="360" w:lineRule="auto"/>
        <w:jc w:val="both"/>
        <w:rPr>
          <w:sz w:val="28"/>
          <w:szCs w:val="28"/>
        </w:rPr>
      </w:pPr>
    </w:p>
    <w:p w:rsidR="00E5402B" w:rsidRDefault="00E5402B" w:rsidP="00E5402B">
      <w:pPr>
        <w:spacing w:line="360" w:lineRule="auto"/>
        <w:jc w:val="both"/>
        <w:rPr>
          <w:sz w:val="28"/>
          <w:szCs w:val="28"/>
        </w:rPr>
      </w:pPr>
    </w:p>
    <w:p w:rsidR="00E5402B" w:rsidRDefault="00E5402B" w:rsidP="00E5402B">
      <w:pPr>
        <w:spacing w:line="360" w:lineRule="auto"/>
        <w:ind w:left="3540" w:firstLine="708"/>
        <w:contextualSpacing/>
        <w:jc w:val="both"/>
        <w:rPr>
          <w:sz w:val="28"/>
          <w:szCs w:val="28"/>
        </w:rPr>
      </w:pPr>
    </w:p>
    <w:p w:rsidR="00E5402B" w:rsidRDefault="00E5402B" w:rsidP="00E5402B">
      <w:pPr>
        <w:spacing w:line="360" w:lineRule="auto"/>
        <w:ind w:left="3540" w:firstLine="708"/>
        <w:contextualSpacing/>
        <w:jc w:val="both"/>
        <w:rPr>
          <w:sz w:val="28"/>
          <w:szCs w:val="28"/>
        </w:rPr>
      </w:pPr>
    </w:p>
    <w:p w:rsidR="00E5402B" w:rsidRDefault="00E5402B" w:rsidP="00E5402B">
      <w:pPr>
        <w:ind w:left="3540" w:firstLine="708"/>
        <w:contextualSpacing/>
        <w:jc w:val="both"/>
        <w:rPr>
          <w:sz w:val="28"/>
          <w:szCs w:val="28"/>
        </w:rPr>
      </w:pPr>
      <w:r>
        <w:rPr>
          <w:sz w:val="28"/>
          <w:szCs w:val="28"/>
        </w:rPr>
        <w:t>Выполнила студентка</w:t>
      </w:r>
    </w:p>
    <w:p w:rsidR="00D32414" w:rsidRDefault="00D32414" w:rsidP="00E5402B">
      <w:pPr>
        <w:ind w:left="3540" w:firstLine="708"/>
        <w:contextualSpacing/>
        <w:jc w:val="both"/>
        <w:rPr>
          <w:sz w:val="28"/>
          <w:szCs w:val="28"/>
        </w:rPr>
      </w:pPr>
    </w:p>
    <w:p w:rsidR="00D32414" w:rsidRDefault="00E5402B" w:rsidP="00E5402B">
      <w:pPr>
        <w:ind w:left="3540" w:firstLine="708"/>
        <w:contextualSpacing/>
        <w:jc w:val="both"/>
        <w:rPr>
          <w:sz w:val="28"/>
          <w:szCs w:val="28"/>
        </w:rPr>
      </w:pPr>
      <w:r>
        <w:rPr>
          <w:sz w:val="28"/>
          <w:szCs w:val="28"/>
        </w:rPr>
        <w:t xml:space="preserve">Группа </w:t>
      </w:r>
    </w:p>
    <w:p w:rsidR="00D32414" w:rsidRDefault="00E5402B" w:rsidP="00E5402B">
      <w:pPr>
        <w:ind w:left="3540" w:firstLine="708"/>
        <w:contextualSpacing/>
        <w:jc w:val="both"/>
        <w:rPr>
          <w:sz w:val="28"/>
          <w:szCs w:val="28"/>
        </w:rPr>
      </w:pPr>
      <w:r>
        <w:rPr>
          <w:sz w:val="28"/>
          <w:szCs w:val="28"/>
        </w:rPr>
        <w:t xml:space="preserve">Направления: </w:t>
      </w:r>
    </w:p>
    <w:p w:rsidR="00E5402B" w:rsidRDefault="00E5402B" w:rsidP="00E5402B">
      <w:pPr>
        <w:ind w:left="3540" w:firstLine="708"/>
        <w:contextualSpacing/>
        <w:jc w:val="both"/>
        <w:rPr>
          <w:sz w:val="28"/>
          <w:szCs w:val="28"/>
        </w:rPr>
      </w:pPr>
      <w:r>
        <w:rPr>
          <w:sz w:val="28"/>
          <w:szCs w:val="28"/>
        </w:rPr>
        <w:t xml:space="preserve">Специальность: </w:t>
      </w:r>
    </w:p>
    <w:p w:rsidR="00E5402B" w:rsidRDefault="00E5402B" w:rsidP="00E5402B">
      <w:pPr>
        <w:ind w:left="3540" w:firstLine="708"/>
        <w:rPr>
          <w:sz w:val="32"/>
        </w:rPr>
      </w:pPr>
      <w:r>
        <w:rPr>
          <w:sz w:val="32"/>
        </w:rPr>
        <w:t xml:space="preserve">№ л.д.                                      </w:t>
      </w:r>
    </w:p>
    <w:p w:rsidR="00E5402B" w:rsidRDefault="00E5402B" w:rsidP="00E5402B">
      <w:pPr>
        <w:ind w:left="4248"/>
        <w:contextualSpacing/>
        <w:jc w:val="both"/>
        <w:rPr>
          <w:sz w:val="28"/>
          <w:szCs w:val="28"/>
        </w:rPr>
      </w:pPr>
      <w:r>
        <w:rPr>
          <w:sz w:val="28"/>
          <w:szCs w:val="28"/>
        </w:rPr>
        <w:t xml:space="preserve">Преподаватель: </w:t>
      </w:r>
    </w:p>
    <w:p w:rsidR="00E5402B" w:rsidRDefault="00E5402B" w:rsidP="00E5402B">
      <w:pPr>
        <w:spacing w:line="360" w:lineRule="auto"/>
        <w:jc w:val="both"/>
        <w:rPr>
          <w:sz w:val="28"/>
          <w:szCs w:val="28"/>
        </w:rPr>
      </w:pPr>
    </w:p>
    <w:p w:rsidR="00E5402B" w:rsidRDefault="00E5402B" w:rsidP="00E5402B">
      <w:pPr>
        <w:spacing w:line="360" w:lineRule="auto"/>
        <w:jc w:val="center"/>
        <w:rPr>
          <w:sz w:val="28"/>
          <w:szCs w:val="28"/>
        </w:rPr>
      </w:pPr>
    </w:p>
    <w:p w:rsidR="00E5402B" w:rsidRDefault="00E5402B" w:rsidP="00E5402B">
      <w:pPr>
        <w:spacing w:line="360" w:lineRule="auto"/>
        <w:jc w:val="center"/>
        <w:rPr>
          <w:sz w:val="28"/>
          <w:szCs w:val="28"/>
        </w:rPr>
      </w:pPr>
    </w:p>
    <w:p w:rsidR="00E5402B" w:rsidRDefault="00E5402B" w:rsidP="00E5402B">
      <w:pPr>
        <w:spacing w:line="360" w:lineRule="auto"/>
        <w:jc w:val="center"/>
        <w:rPr>
          <w:sz w:val="28"/>
          <w:szCs w:val="28"/>
        </w:rPr>
      </w:pPr>
    </w:p>
    <w:p w:rsidR="00E5402B" w:rsidRDefault="00E5402B" w:rsidP="00E5402B">
      <w:pPr>
        <w:spacing w:line="360" w:lineRule="auto"/>
        <w:jc w:val="center"/>
        <w:rPr>
          <w:sz w:val="28"/>
          <w:szCs w:val="28"/>
        </w:rPr>
      </w:pPr>
    </w:p>
    <w:p w:rsidR="00E5402B" w:rsidRDefault="00E5402B" w:rsidP="00E5402B">
      <w:pPr>
        <w:spacing w:line="360" w:lineRule="auto"/>
        <w:jc w:val="center"/>
        <w:rPr>
          <w:sz w:val="28"/>
          <w:szCs w:val="28"/>
        </w:rPr>
      </w:pPr>
    </w:p>
    <w:p w:rsidR="00E5402B" w:rsidRDefault="00E5402B" w:rsidP="00E5402B">
      <w:pPr>
        <w:spacing w:line="360" w:lineRule="auto"/>
        <w:jc w:val="center"/>
        <w:rPr>
          <w:sz w:val="28"/>
          <w:szCs w:val="28"/>
        </w:rPr>
      </w:pPr>
      <w:r>
        <w:rPr>
          <w:sz w:val="28"/>
          <w:szCs w:val="28"/>
        </w:rPr>
        <w:t>Смоленск 2014</w:t>
      </w:r>
    </w:p>
    <w:p w:rsidR="00C80A8D" w:rsidRDefault="00C80A8D" w:rsidP="00C80A8D">
      <w:pPr>
        <w:pStyle w:val="a4"/>
        <w:spacing w:before="0" w:beforeAutospacing="0" w:after="0" w:afterAutospacing="0" w:line="360" w:lineRule="auto"/>
        <w:ind w:firstLine="709"/>
        <w:contextualSpacing/>
        <w:jc w:val="center"/>
        <w:rPr>
          <w:b/>
          <w:sz w:val="28"/>
          <w:szCs w:val="28"/>
        </w:rPr>
      </w:pPr>
      <w:r w:rsidRPr="00C80A8D">
        <w:rPr>
          <w:b/>
          <w:sz w:val="28"/>
          <w:szCs w:val="28"/>
        </w:rPr>
        <w:lastRenderedPageBreak/>
        <w:t>Валютные операции, оценка и регулирование валютных рисков</w:t>
      </w:r>
    </w:p>
    <w:p w:rsidR="00C80A8D" w:rsidRPr="00C80A8D" w:rsidRDefault="00C80A8D" w:rsidP="00C80A8D">
      <w:pPr>
        <w:pStyle w:val="a4"/>
        <w:spacing w:before="0" w:beforeAutospacing="0" w:after="0" w:afterAutospacing="0" w:line="360" w:lineRule="auto"/>
        <w:ind w:firstLine="709"/>
        <w:contextualSpacing/>
        <w:jc w:val="center"/>
        <w:rPr>
          <w:b/>
          <w:sz w:val="28"/>
          <w:szCs w:val="28"/>
        </w:rPr>
      </w:pPr>
    </w:p>
    <w:p w:rsidR="00623170" w:rsidRDefault="00623170" w:rsidP="00E5402B">
      <w:pPr>
        <w:spacing w:line="360" w:lineRule="auto"/>
        <w:ind w:firstLine="709"/>
        <w:contextualSpacing/>
        <w:jc w:val="both"/>
        <w:rPr>
          <w:sz w:val="28"/>
          <w:szCs w:val="28"/>
        </w:rPr>
      </w:pPr>
      <w:r w:rsidRPr="00623170">
        <w:rPr>
          <w:sz w:val="28"/>
          <w:szCs w:val="28"/>
        </w:rPr>
        <w:t>Валютные операции являются объектом государственного и банковского наблюдения и контроля. В странах с частично конвертируемой валютой и ограничениями по финансовым операциям размер валютной позиции банков относительно национальной валюты служит одним из</w:t>
      </w:r>
      <w:r>
        <w:rPr>
          <w:sz w:val="28"/>
          <w:szCs w:val="28"/>
        </w:rPr>
        <w:t xml:space="preserve"> объектов валютного контроля. </w:t>
      </w:r>
    </w:p>
    <w:p w:rsidR="00623170" w:rsidRDefault="00623170" w:rsidP="00E5402B">
      <w:pPr>
        <w:spacing w:line="360" w:lineRule="auto"/>
        <w:ind w:firstLine="709"/>
        <w:contextualSpacing/>
        <w:jc w:val="both"/>
        <w:rPr>
          <w:sz w:val="28"/>
          <w:szCs w:val="28"/>
        </w:rPr>
      </w:pPr>
      <w:r w:rsidRPr="00623170">
        <w:rPr>
          <w:sz w:val="28"/>
          <w:szCs w:val="28"/>
        </w:rPr>
        <w:t>Банки осуществляют свою деятельность на валютном рынке путем проведения валютных операций. Иностранная валюта это средства в денежных единицах иностранных государств и международных расчетных единицах, находя</w:t>
      </w:r>
      <w:r>
        <w:rPr>
          <w:sz w:val="28"/>
          <w:szCs w:val="28"/>
        </w:rPr>
        <w:t xml:space="preserve">щиеся на счетах и во вкладах. </w:t>
      </w:r>
    </w:p>
    <w:p w:rsidR="00623170" w:rsidRDefault="00623170" w:rsidP="00E5402B">
      <w:pPr>
        <w:spacing w:line="360" w:lineRule="auto"/>
        <w:ind w:firstLine="709"/>
        <w:contextualSpacing/>
        <w:jc w:val="both"/>
        <w:rPr>
          <w:sz w:val="28"/>
          <w:szCs w:val="28"/>
        </w:rPr>
      </w:pPr>
      <w:r w:rsidRPr="00623170">
        <w:rPr>
          <w:sz w:val="28"/>
          <w:szCs w:val="28"/>
        </w:rPr>
        <w:t>Валютные операции могут осуществляться уполномоченными банками, то есть коммерческими банками, получившими лицензии Центрального Банка России на проведение операций в иностранной валюте, включая банки с участием иностранного капитала и банки, капитал которых полностью принад</w:t>
      </w:r>
      <w:r>
        <w:rPr>
          <w:sz w:val="28"/>
          <w:szCs w:val="28"/>
        </w:rPr>
        <w:t xml:space="preserve">лежит иностранным участникам. </w:t>
      </w:r>
    </w:p>
    <w:p w:rsidR="00623170" w:rsidRDefault="00623170" w:rsidP="00E5402B">
      <w:pPr>
        <w:spacing w:line="360" w:lineRule="auto"/>
        <w:ind w:firstLine="709"/>
        <w:contextualSpacing/>
        <w:jc w:val="both"/>
        <w:rPr>
          <w:sz w:val="28"/>
          <w:szCs w:val="28"/>
        </w:rPr>
      </w:pPr>
      <w:r w:rsidRPr="00623170">
        <w:rPr>
          <w:sz w:val="28"/>
          <w:szCs w:val="28"/>
        </w:rPr>
        <w:t>Все требования продавцов или кредиторов, подлежащие за границей оплате в иностранной валюте, которая представляет капитал, хранящийся в заграничных банках, или же векселя или чеки, оплачиваемые за границей в иностранной валюте, называются инвалютой. Все они играют роль в связях банка с клиентами. При заключении сделок с иностранной валютой между банками используется лишь иностранная валюта, хранящаяся на счетах в заграничных банках. Термин "инвалюта" применяется, таким образом, только к остаткам на банковско</w:t>
      </w:r>
      <w:r>
        <w:rPr>
          <w:sz w:val="28"/>
          <w:szCs w:val="28"/>
        </w:rPr>
        <w:t xml:space="preserve">м счете в иностранной валюте. </w:t>
      </w:r>
    </w:p>
    <w:p w:rsidR="00623170" w:rsidRDefault="00623170" w:rsidP="00E5402B">
      <w:pPr>
        <w:spacing w:line="360" w:lineRule="auto"/>
        <w:ind w:firstLine="709"/>
        <w:contextualSpacing/>
        <w:jc w:val="both"/>
        <w:rPr>
          <w:sz w:val="28"/>
          <w:szCs w:val="28"/>
        </w:rPr>
      </w:pPr>
      <w:r w:rsidRPr="00623170">
        <w:rPr>
          <w:sz w:val="28"/>
          <w:szCs w:val="28"/>
        </w:rPr>
        <w:t xml:space="preserve">Существуют также ключевые понятия валютных операций и валютного регулирования, без рассмотрения которых нельзя правильно определить значение тех или иных моментов сделок. Одним из таких понятий является "валютный рынок". Валютный рынок в узком смысле слова – это особый конституционный механизм, опосредующий отношения по поводу купли и продажи иностранной валюты, где большинство сделок заключается между </w:t>
      </w:r>
      <w:r w:rsidRPr="00623170">
        <w:rPr>
          <w:sz w:val="28"/>
          <w:szCs w:val="28"/>
        </w:rPr>
        <w:lastRenderedPageBreak/>
        <w:t>банками (а также при участии брокеров и других финансовых институтов). А также это отношения не только между банками и их клиентами, но и между его субъектами (т.е</w:t>
      </w:r>
      <w:r>
        <w:rPr>
          <w:sz w:val="28"/>
          <w:szCs w:val="28"/>
        </w:rPr>
        <w:t xml:space="preserve">., в основном между банками). </w:t>
      </w:r>
    </w:p>
    <w:p w:rsidR="00623170" w:rsidRDefault="00623170" w:rsidP="00E5402B">
      <w:pPr>
        <w:spacing w:line="360" w:lineRule="auto"/>
        <w:ind w:firstLine="709"/>
        <w:contextualSpacing/>
        <w:jc w:val="both"/>
        <w:rPr>
          <w:sz w:val="28"/>
          <w:szCs w:val="28"/>
        </w:rPr>
      </w:pPr>
      <w:r w:rsidRPr="00623170">
        <w:rPr>
          <w:sz w:val="28"/>
          <w:szCs w:val="28"/>
        </w:rPr>
        <w:t>Валюта - это вообще название денежной единицы разных стран, обязательной для приема в уплату за товары и услуги, покупаемые на территории данной страны. В каждой стране существует своя денежная единица - рубль, доллар и т.п., которая устанавливается законом. Деньги, используемые в международных экономических от</w:t>
      </w:r>
      <w:r>
        <w:rPr>
          <w:sz w:val="28"/>
          <w:szCs w:val="28"/>
        </w:rPr>
        <w:t xml:space="preserve">ношениях, становятся валютой. </w:t>
      </w:r>
    </w:p>
    <w:p w:rsidR="00623170" w:rsidRDefault="00623170" w:rsidP="00E5402B">
      <w:pPr>
        <w:spacing w:line="360" w:lineRule="auto"/>
        <w:ind w:firstLine="709"/>
        <w:contextualSpacing/>
        <w:jc w:val="both"/>
        <w:rPr>
          <w:sz w:val="28"/>
          <w:szCs w:val="28"/>
        </w:rPr>
      </w:pPr>
      <w:r w:rsidRPr="00623170">
        <w:rPr>
          <w:sz w:val="28"/>
          <w:szCs w:val="28"/>
        </w:rPr>
        <w:t xml:space="preserve">Наличие национальной валюты обеспечивает нормальное обращение товаров, облегчает правительству осуществление расчетов со всеми гражданами, которые работают в государственных учреждениях, </w:t>
      </w:r>
      <w:r>
        <w:rPr>
          <w:sz w:val="28"/>
          <w:szCs w:val="28"/>
        </w:rPr>
        <w:t xml:space="preserve">служат для содержания армии. </w:t>
      </w:r>
    </w:p>
    <w:p w:rsidR="00623170" w:rsidRDefault="00623170" w:rsidP="00E5402B">
      <w:pPr>
        <w:spacing w:line="360" w:lineRule="auto"/>
        <w:ind w:firstLine="709"/>
        <w:contextualSpacing/>
        <w:jc w:val="both"/>
        <w:rPr>
          <w:sz w:val="28"/>
          <w:szCs w:val="28"/>
        </w:rPr>
      </w:pPr>
      <w:r w:rsidRPr="00623170">
        <w:rPr>
          <w:sz w:val="28"/>
          <w:szCs w:val="28"/>
        </w:rPr>
        <w:t>Государство содействует нормальному денежному обращению путем эмиссии денег. Оно расплачивается национальной валютой с фирмами, поставляющими ему различные товары. Наконец национальная валюта позволяет обеспечивать национальный суверенитет страны, ее независимость от воли других государств. Если страна ориентируется на использование валюты других стран, то это может поставить национальную экономику и политику страны в зави</w:t>
      </w:r>
      <w:r>
        <w:rPr>
          <w:sz w:val="28"/>
          <w:szCs w:val="28"/>
        </w:rPr>
        <w:t xml:space="preserve">симость от других государств. </w:t>
      </w:r>
    </w:p>
    <w:p w:rsidR="00623170" w:rsidRDefault="00623170" w:rsidP="00E5402B">
      <w:pPr>
        <w:spacing w:line="360" w:lineRule="auto"/>
        <w:ind w:firstLine="709"/>
        <w:contextualSpacing/>
        <w:jc w:val="both"/>
        <w:rPr>
          <w:sz w:val="28"/>
          <w:szCs w:val="28"/>
        </w:rPr>
      </w:pPr>
      <w:r w:rsidRPr="00623170">
        <w:rPr>
          <w:sz w:val="28"/>
          <w:szCs w:val="28"/>
        </w:rPr>
        <w:t>В соответствии с действующим законодательством к операциям в</w:t>
      </w:r>
      <w:r>
        <w:rPr>
          <w:sz w:val="28"/>
          <w:szCs w:val="28"/>
        </w:rPr>
        <w:t xml:space="preserve"> иностранной валюте относятся:</w:t>
      </w:r>
    </w:p>
    <w:p w:rsidR="00623170" w:rsidRDefault="00623170" w:rsidP="00623170">
      <w:pPr>
        <w:pStyle w:val="a6"/>
        <w:numPr>
          <w:ilvl w:val="0"/>
          <w:numId w:val="3"/>
        </w:numPr>
        <w:spacing w:line="360" w:lineRule="auto"/>
        <w:ind w:left="714" w:hanging="357"/>
        <w:jc w:val="both"/>
        <w:rPr>
          <w:sz w:val="28"/>
          <w:szCs w:val="28"/>
        </w:rPr>
      </w:pPr>
      <w:r w:rsidRPr="00623170">
        <w:rPr>
          <w:sz w:val="28"/>
          <w:szCs w:val="28"/>
        </w:rPr>
        <w:t>веде</w:t>
      </w:r>
      <w:r>
        <w:rPr>
          <w:sz w:val="28"/>
          <w:szCs w:val="28"/>
        </w:rPr>
        <w:t>ние валютных счетов клиентуры;</w:t>
      </w:r>
    </w:p>
    <w:p w:rsidR="00623170" w:rsidRDefault="00623170" w:rsidP="00623170">
      <w:pPr>
        <w:pStyle w:val="a6"/>
        <w:numPr>
          <w:ilvl w:val="0"/>
          <w:numId w:val="3"/>
        </w:numPr>
        <w:spacing w:line="360" w:lineRule="auto"/>
        <w:ind w:left="714" w:hanging="357"/>
        <w:jc w:val="both"/>
        <w:rPr>
          <w:sz w:val="28"/>
          <w:szCs w:val="28"/>
        </w:rPr>
      </w:pPr>
      <w:r>
        <w:rPr>
          <w:sz w:val="28"/>
          <w:szCs w:val="28"/>
        </w:rPr>
        <w:t xml:space="preserve">неторговые операции; </w:t>
      </w:r>
    </w:p>
    <w:p w:rsidR="00623170" w:rsidRDefault="00623170" w:rsidP="00623170">
      <w:pPr>
        <w:pStyle w:val="a6"/>
        <w:numPr>
          <w:ilvl w:val="0"/>
          <w:numId w:val="3"/>
        </w:numPr>
        <w:spacing w:line="360" w:lineRule="auto"/>
        <w:ind w:left="714" w:hanging="357"/>
        <w:jc w:val="both"/>
        <w:rPr>
          <w:sz w:val="28"/>
          <w:szCs w:val="28"/>
        </w:rPr>
      </w:pPr>
      <w:r w:rsidRPr="00623170">
        <w:rPr>
          <w:sz w:val="28"/>
          <w:szCs w:val="28"/>
        </w:rPr>
        <w:t>установление корреспондентских отношений с российскими уполномоче</w:t>
      </w:r>
      <w:r>
        <w:rPr>
          <w:sz w:val="28"/>
          <w:szCs w:val="28"/>
        </w:rPr>
        <w:t xml:space="preserve">нными и иностранными банками; </w:t>
      </w:r>
    </w:p>
    <w:p w:rsidR="00623170" w:rsidRDefault="00623170" w:rsidP="00623170">
      <w:pPr>
        <w:pStyle w:val="a6"/>
        <w:numPr>
          <w:ilvl w:val="0"/>
          <w:numId w:val="3"/>
        </w:numPr>
        <w:spacing w:line="360" w:lineRule="auto"/>
        <w:ind w:left="714" w:hanging="357"/>
        <w:jc w:val="both"/>
        <w:rPr>
          <w:sz w:val="28"/>
          <w:szCs w:val="28"/>
        </w:rPr>
      </w:pPr>
      <w:r w:rsidRPr="00623170">
        <w:rPr>
          <w:sz w:val="28"/>
          <w:szCs w:val="28"/>
        </w:rPr>
        <w:t>международные расчеты, связанные с экспорто</w:t>
      </w:r>
      <w:r>
        <w:rPr>
          <w:sz w:val="28"/>
          <w:szCs w:val="28"/>
        </w:rPr>
        <w:t xml:space="preserve">м и импортом товаров и услуг; </w:t>
      </w:r>
    </w:p>
    <w:p w:rsidR="00623170" w:rsidRDefault="00623170" w:rsidP="00623170">
      <w:pPr>
        <w:pStyle w:val="a6"/>
        <w:numPr>
          <w:ilvl w:val="0"/>
          <w:numId w:val="3"/>
        </w:numPr>
        <w:spacing w:line="360" w:lineRule="auto"/>
        <w:ind w:left="714" w:hanging="357"/>
        <w:jc w:val="both"/>
        <w:rPr>
          <w:sz w:val="28"/>
          <w:szCs w:val="28"/>
        </w:rPr>
      </w:pPr>
      <w:r w:rsidRPr="00623170">
        <w:rPr>
          <w:sz w:val="28"/>
          <w:szCs w:val="28"/>
        </w:rPr>
        <w:t xml:space="preserve">покупка и продажа иностранной валюты на внутреннем валютном рынке; </w:t>
      </w:r>
    </w:p>
    <w:p w:rsidR="00623170" w:rsidRDefault="00623170" w:rsidP="00623170">
      <w:pPr>
        <w:pStyle w:val="a6"/>
        <w:numPr>
          <w:ilvl w:val="0"/>
          <w:numId w:val="3"/>
        </w:numPr>
        <w:spacing w:line="360" w:lineRule="auto"/>
        <w:ind w:left="714" w:hanging="357"/>
        <w:jc w:val="both"/>
        <w:rPr>
          <w:sz w:val="28"/>
          <w:szCs w:val="28"/>
        </w:rPr>
      </w:pPr>
      <w:r w:rsidRPr="00623170">
        <w:rPr>
          <w:sz w:val="28"/>
          <w:szCs w:val="28"/>
        </w:rPr>
        <w:lastRenderedPageBreak/>
        <w:t>привлечение и размещение валютных средств</w:t>
      </w:r>
      <w:r>
        <w:rPr>
          <w:sz w:val="28"/>
          <w:szCs w:val="28"/>
        </w:rPr>
        <w:t xml:space="preserve"> внутри Российской Федерации; </w:t>
      </w:r>
    </w:p>
    <w:p w:rsidR="00623170" w:rsidRDefault="00623170" w:rsidP="00623170">
      <w:pPr>
        <w:pStyle w:val="a6"/>
        <w:numPr>
          <w:ilvl w:val="0"/>
          <w:numId w:val="3"/>
        </w:numPr>
        <w:spacing w:line="360" w:lineRule="auto"/>
        <w:ind w:left="714" w:hanging="357"/>
        <w:jc w:val="both"/>
        <w:rPr>
          <w:sz w:val="28"/>
          <w:szCs w:val="28"/>
        </w:rPr>
      </w:pPr>
      <w:r w:rsidRPr="00623170">
        <w:rPr>
          <w:sz w:val="28"/>
          <w:szCs w:val="28"/>
        </w:rPr>
        <w:t>кредитные операции на м</w:t>
      </w:r>
      <w:r>
        <w:rPr>
          <w:sz w:val="28"/>
          <w:szCs w:val="28"/>
        </w:rPr>
        <w:t xml:space="preserve">еждународных денежных рынках; </w:t>
      </w:r>
    </w:p>
    <w:p w:rsidR="00623170" w:rsidRDefault="00623170" w:rsidP="00623170">
      <w:pPr>
        <w:pStyle w:val="a6"/>
        <w:numPr>
          <w:ilvl w:val="0"/>
          <w:numId w:val="3"/>
        </w:numPr>
        <w:spacing w:line="360" w:lineRule="auto"/>
        <w:ind w:left="714" w:hanging="357"/>
        <w:jc w:val="both"/>
        <w:rPr>
          <w:sz w:val="28"/>
          <w:szCs w:val="28"/>
        </w:rPr>
      </w:pPr>
      <w:r w:rsidRPr="00623170">
        <w:rPr>
          <w:sz w:val="28"/>
          <w:szCs w:val="28"/>
        </w:rPr>
        <w:t>депозитные и конверсионные операции на м</w:t>
      </w:r>
      <w:r>
        <w:rPr>
          <w:sz w:val="28"/>
          <w:szCs w:val="28"/>
        </w:rPr>
        <w:t>еждународных денежных рынках.</w:t>
      </w:r>
    </w:p>
    <w:p w:rsidR="00623170" w:rsidRDefault="00623170" w:rsidP="00623170">
      <w:pPr>
        <w:spacing w:line="360" w:lineRule="auto"/>
        <w:ind w:firstLine="709"/>
        <w:jc w:val="both"/>
        <w:rPr>
          <w:sz w:val="28"/>
          <w:szCs w:val="28"/>
        </w:rPr>
      </w:pPr>
      <w:r w:rsidRPr="00623170">
        <w:rPr>
          <w:sz w:val="28"/>
          <w:szCs w:val="28"/>
        </w:rPr>
        <w:t>Классификация банковских валютных операций может осуществляться по критериям, общим для всех банковских операций – пассивные и активные операци</w:t>
      </w:r>
      <w:r>
        <w:rPr>
          <w:sz w:val="28"/>
          <w:szCs w:val="28"/>
        </w:rPr>
        <w:t xml:space="preserve">и. </w:t>
      </w:r>
    </w:p>
    <w:p w:rsidR="00623170" w:rsidRDefault="00623170" w:rsidP="00623170">
      <w:pPr>
        <w:spacing w:line="360" w:lineRule="auto"/>
        <w:ind w:firstLine="709"/>
        <w:jc w:val="both"/>
        <w:rPr>
          <w:sz w:val="28"/>
          <w:szCs w:val="28"/>
        </w:rPr>
      </w:pPr>
      <w:r w:rsidRPr="00623170">
        <w:rPr>
          <w:sz w:val="28"/>
          <w:szCs w:val="28"/>
        </w:rPr>
        <w:t>С помощью пассивных операций банки формируют свои ресурсы. Суть их состоит в привлечении различных видов вкладов, получении кредитов от других банков, эмиссии собственных ценных бумаг, а также проведении иных операций, в результате которых увеличивают</w:t>
      </w:r>
      <w:r>
        <w:rPr>
          <w:sz w:val="28"/>
          <w:szCs w:val="28"/>
        </w:rPr>
        <w:t>ся банковские ресурсы.</w:t>
      </w:r>
    </w:p>
    <w:p w:rsidR="00623170" w:rsidRDefault="00623170" w:rsidP="00623170">
      <w:pPr>
        <w:spacing w:line="360" w:lineRule="auto"/>
        <w:ind w:firstLine="709"/>
        <w:jc w:val="both"/>
        <w:rPr>
          <w:sz w:val="28"/>
          <w:szCs w:val="28"/>
        </w:rPr>
      </w:pPr>
      <w:r w:rsidRPr="00623170">
        <w:rPr>
          <w:sz w:val="28"/>
          <w:szCs w:val="28"/>
        </w:rPr>
        <w:t>Размещение мобилизованных ресурсов банка с целью получения дохода и обеспечения ликвидности определяет соде</w:t>
      </w:r>
      <w:r>
        <w:rPr>
          <w:sz w:val="28"/>
          <w:szCs w:val="28"/>
        </w:rPr>
        <w:t xml:space="preserve">ржание его активных операций. </w:t>
      </w:r>
    </w:p>
    <w:p w:rsidR="00623170" w:rsidRDefault="00623170" w:rsidP="00623170">
      <w:pPr>
        <w:spacing w:line="360" w:lineRule="auto"/>
        <w:ind w:firstLine="709"/>
        <w:jc w:val="both"/>
        <w:rPr>
          <w:sz w:val="28"/>
          <w:szCs w:val="28"/>
        </w:rPr>
      </w:pPr>
      <w:r w:rsidRPr="00623170">
        <w:rPr>
          <w:sz w:val="28"/>
          <w:szCs w:val="28"/>
        </w:rPr>
        <w:t>А также классификация валютных операций осуществляется и по особым классификационным признакам, свойственным только валютным операциям. Основополагающий вариант классификации валютных операций вытекает из закона РФ "О валютном регулировании и валютном контроле" Он состоит в следующем: все операции с иностранной валютой и ценными бумагами в иностран</w:t>
      </w:r>
      <w:r>
        <w:rPr>
          <w:sz w:val="28"/>
          <w:szCs w:val="28"/>
        </w:rPr>
        <w:t xml:space="preserve">ной валюте подразделяются на: </w:t>
      </w:r>
    </w:p>
    <w:p w:rsidR="00623170" w:rsidRDefault="00623170" w:rsidP="00623170">
      <w:pPr>
        <w:pStyle w:val="a6"/>
        <w:numPr>
          <w:ilvl w:val="0"/>
          <w:numId w:val="4"/>
        </w:numPr>
        <w:spacing w:line="360" w:lineRule="auto"/>
        <w:ind w:left="714" w:hanging="357"/>
        <w:jc w:val="both"/>
        <w:rPr>
          <w:sz w:val="28"/>
          <w:szCs w:val="28"/>
        </w:rPr>
      </w:pPr>
      <w:r>
        <w:rPr>
          <w:sz w:val="28"/>
          <w:szCs w:val="28"/>
        </w:rPr>
        <w:t xml:space="preserve">текущие валютные операции; </w:t>
      </w:r>
    </w:p>
    <w:p w:rsidR="00623170" w:rsidRDefault="00623170" w:rsidP="00623170">
      <w:pPr>
        <w:pStyle w:val="a6"/>
        <w:numPr>
          <w:ilvl w:val="0"/>
          <w:numId w:val="4"/>
        </w:numPr>
        <w:spacing w:line="360" w:lineRule="auto"/>
        <w:ind w:left="714" w:hanging="357"/>
        <w:jc w:val="both"/>
        <w:rPr>
          <w:sz w:val="28"/>
          <w:szCs w:val="28"/>
        </w:rPr>
      </w:pPr>
      <w:r w:rsidRPr="00623170">
        <w:rPr>
          <w:sz w:val="28"/>
          <w:szCs w:val="28"/>
        </w:rPr>
        <w:t>валютные операции, св</w:t>
      </w:r>
      <w:r>
        <w:rPr>
          <w:sz w:val="28"/>
          <w:szCs w:val="28"/>
        </w:rPr>
        <w:t xml:space="preserve">язанные с движением капитала. </w:t>
      </w:r>
    </w:p>
    <w:p w:rsidR="00623170" w:rsidRDefault="00623170" w:rsidP="00623170">
      <w:pPr>
        <w:spacing w:line="360" w:lineRule="auto"/>
        <w:ind w:firstLine="709"/>
        <w:jc w:val="both"/>
        <w:rPr>
          <w:sz w:val="28"/>
          <w:szCs w:val="28"/>
        </w:rPr>
      </w:pPr>
      <w:r w:rsidRPr="00623170">
        <w:rPr>
          <w:sz w:val="28"/>
          <w:szCs w:val="28"/>
        </w:rPr>
        <w:t>Все валютные операции между резидентами и нерезидентами ос</w:t>
      </w:r>
      <w:r>
        <w:rPr>
          <w:sz w:val="28"/>
          <w:szCs w:val="28"/>
        </w:rPr>
        <w:t xml:space="preserve">уществляются без ограничений. </w:t>
      </w:r>
    </w:p>
    <w:p w:rsidR="00623170" w:rsidRDefault="00623170" w:rsidP="00623170">
      <w:pPr>
        <w:spacing w:line="360" w:lineRule="auto"/>
        <w:ind w:firstLine="709"/>
        <w:jc w:val="both"/>
        <w:rPr>
          <w:sz w:val="28"/>
          <w:szCs w:val="28"/>
        </w:rPr>
      </w:pPr>
      <w:r w:rsidRPr="00623170">
        <w:rPr>
          <w:sz w:val="28"/>
          <w:szCs w:val="28"/>
        </w:rPr>
        <w:t xml:space="preserve">К текущим </w:t>
      </w:r>
      <w:r>
        <w:rPr>
          <w:sz w:val="28"/>
          <w:szCs w:val="28"/>
        </w:rPr>
        <w:t xml:space="preserve">валютным операциям относятся: </w:t>
      </w:r>
    </w:p>
    <w:p w:rsidR="00623170" w:rsidRDefault="00623170" w:rsidP="00623170">
      <w:pPr>
        <w:pStyle w:val="a6"/>
        <w:numPr>
          <w:ilvl w:val="0"/>
          <w:numId w:val="5"/>
        </w:numPr>
        <w:spacing w:line="360" w:lineRule="auto"/>
        <w:ind w:left="714" w:hanging="357"/>
        <w:jc w:val="both"/>
        <w:rPr>
          <w:sz w:val="28"/>
          <w:szCs w:val="28"/>
        </w:rPr>
      </w:pPr>
      <w:r w:rsidRPr="00623170">
        <w:rPr>
          <w:sz w:val="28"/>
          <w:szCs w:val="28"/>
        </w:rPr>
        <w:t xml:space="preserve">переводы в РФ и из страны иностранной валюты для осуществления расчетов без отсрочки платежа по экспорту и импорту товаров, работ, услуг, а также для осуществления расчетов, связанных с </w:t>
      </w:r>
      <w:r w:rsidRPr="00623170">
        <w:rPr>
          <w:sz w:val="28"/>
          <w:szCs w:val="28"/>
        </w:rPr>
        <w:lastRenderedPageBreak/>
        <w:t xml:space="preserve">кредитованием экспортно-импортных операций на срок не более 180 </w:t>
      </w:r>
      <w:r>
        <w:rPr>
          <w:sz w:val="28"/>
          <w:szCs w:val="28"/>
        </w:rPr>
        <w:t xml:space="preserve">дней; </w:t>
      </w:r>
    </w:p>
    <w:p w:rsidR="00623170" w:rsidRDefault="00623170" w:rsidP="00623170">
      <w:pPr>
        <w:pStyle w:val="a6"/>
        <w:numPr>
          <w:ilvl w:val="0"/>
          <w:numId w:val="5"/>
        </w:numPr>
        <w:spacing w:line="360" w:lineRule="auto"/>
        <w:ind w:left="714" w:hanging="357"/>
        <w:jc w:val="both"/>
        <w:rPr>
          <w:sz w:val="28"/>
          <w:szCs w:val="28"/>
        </w:rPr>
      </w:pPr>
      <w:r w:rsidRPr="00623170">
        <w:rPr>
          <w:sz w:val="28"/>
          <w:szCs w:val="28"/>
        </w:rPr>
        <w:t>получение и представление финансовых кредит</w:t>
      </w:r>
      <w:r>
        <w:rPr>
          <w:sz w:val="28"/>
          <w:szCs w:val="28"/>
        </w:rPr>
        <w:t xml:space="preserve">ов на срок не более 180 дней; </w:t>
      </w:r>
    </w:p>
    <w:p w:rsidR="00623170" w:rsidRDefault="00623170" w:rsidP="00623170">
      <w:pPr>
        <w:pStyle w:val="a6"/>
        <w:numPr>
          <w:ilvl w:val="0"/>
          <w:numId w:val="5"/>
        </w:numPr>
        <w:spacing w:line="360" w:lineRule="auto"/>
        <w:ind w:left="714" w:hanging="357"/>
        <w:jc w:val="both"/>
        <w:rPr>
          <w:sz w:val="28"/>
          <w:szCs w:val="28"/>
        </w:rPr>
      </w:pPr>
      <w:r w:rsidRPr="00623170">
        <w:rPr>
          <w:sz w:val="28"/>
          <w:szCs w:val="28"/>
        </w:rPr>
        <w:t>переводы в РФ и из страны процентов, дивидендов и иных доходов по вкладам, инвестициям, кредитам и прочим операциям, св</w:t>
      </w:r>
      <w:r>
        <w:rPr>
          <w:sz w:val="28"/>
          <w:szCs w:val="28"/>
        </w:rPr>
        <w:t xml:space="preserve">язанным с движением капитала; </w:t>
      </w:r>
    </w:p>
    <w:p w:rsidR="00623170" w:rsidRDefault="00623170" w:rsidP="00623170">
      <w:pPr>
        <w:pStyle w:val="a6"/>
        <w:numPr>
          <w:ilvl w:val="0"/>
          <w:numId w:val="5"/>
        </w:numPr>
        <w:spacing w:line="360" w:lineRule="auto"/>
        <w:ind w:left="714" w:hanging="357"/>
        <w:jc w:val="both"/>
        <w:rPr>
          <w:sz w:val="28"/>
          <w:szCs w:val="28"/>
        </w:rPr>
      </w:pPr>
      <w:r w:rsidRPr="00623170">
        <w:rPr>
          <w:sz w:val="28"/>
          <w:szCs w:val="28"/>
        </w:rPr>
        <w:t>переводы неторгового характера в РФ из страны (зарпла</w:t>
      </w:r>
      <w:r>
        <w:rPr>
          <w:sz w:val="28"/>
          <w:szCs w:val="28"/>
        </w:rPr>
        <w:t xml:space="preserve">ты, пенсии, алименты и т.д.). </w:t>
      </w:r>
    </w:p>
    <w:p w:rsidR="00623170" w:rsidRDefault="00623170" w:rsidP="00623170">
      <w:pPr>
        <w:spacing w:line="360" w:lineRule="auto"/>
        <w:ind w:firstLine="709"/>
        <w:jc w:val="both"/>
        <w:rPr>
          <w:sz w:val="28"/>
          <w:szCs w:val="28"/>
        </w:rPr>
      </w:pPr>
      <w:r w:rsidRPr="00623170">
        <w:rPr>
          <w:sz w:val="28"/>
          <w:szCs w:val="28"/>
        </w:rPr>
        <w:t xml:space="preserve">Валютные операции, связанные с движением капитала включают: </w:t>
      </w:r>
    </w:p>
    <w:p w:rsidR="00623170" w:rsidRDefault="00623170" w:rsidP="00623170">
      <w:pPr>
        <w:pStyle w:val="a6"/>
        <w:numPr>
          <w:ilvl w:val="0"/>
          <w:numId w:val="7"/>
        </w:numPr>
        <w:spacing w:line="360" w:lineRule="auto"/>
        <w:ind w:left="714" w:hanging="357"/>
        <w:jc w:val="both"/>
        <w:rPr>
          <w:sz w:val="28"/>
          <w:szCs w:val="28"/>
        </w:rPr>
      </w:pPr>
      <w:r w:rsidRPr="00623170">
        <w:rPr>
          <w:sz w:val="28"/>
          <w:szCs w:val="28"/>
        </w:rPr>
        <w:t>прямые инвестиции, т.е. вложения в уставной капитал предприятия с целью извлечения дохода и получения, прав на участие в управлении предприятием;</w:t>
      </w:r>
      <w:r>
        <w:rPr>
          <w:sz w:val="28"/>
          <w:szCs w:val="28"/>
        </w:rPr>
        <w:t xml:space="preserve"> </w:t>
      </w:r>
    </w:p>
    <w:p w:rsidR="00623170" w:rsidRDefault="00623170" w:rsidP="00623170">
      <w:pPr>
        <w:pStyle w:val="a6"/>
        <w:numPr>
          <w:ilvl w:val="0"/>
          <w:numId w:val="7"/>
        </w:numPr>
        <w:spacing w:line="360" w:lineRule="auto"/>
        <w:ind w:left="714" w:hanging="357"/>
        <w:jc w:val="both"/>
        <w:rPr>
          <w:sz w:val="28"/>
          <w:szCs w:val="28"/>
        </w:rPr>
      </w:pPr>
      <w:r w:rsidRPr="00623170">
        <w:rPr>
          <w:sz w:val="28"/>
          <w:szCs w:val="28"/>
        </w:rPr>
        <w:t>портфельные инвестиции, т.</w:t>
      </w:r>
      <w:r>
        <w:rPr>
          <w:sz w:val="28"/>
          <w:szCs w:val="28"/>
        </w:rPr>
        <w:t xml:space="preserve">е. приобретение ценных бумаг; </w:t>
      </w:r>
    </w:p>
    <w:p w:rsidR="00623170" w:rsidRDefault="00623170" w:rsidP="00623170">
      <w:pPr>
        <w:pStyle w:val="a6"/>
        <w:numPr>
          <w:ilvl w:val="0"/>
          <w:numId w:val="7"/>
        </w:numPr>
        <w:spacing w:line="360" w:lineRule="auto"/>
        <w:ind w:left="714" w:hanging="357"/>
        <w:jc w:val="both"/>
        <w:rPr>
          <w:sz w:val="28"/>
          <w:szCs w:val="28"/>
        </w:rPr>
      </w:pPr>
      <w:r w:rsidRPr="00623170">
        <w:rPr>
          <w:sz w:val="28"/>
          <w:szCs w:val="28"/>
        </w:rPr>
        <w:t>переводы в оплату права собственности на здания,</w:t>
      </w:r>
      <w:r>
        <w:rPr>
          <w:sz w:val="28"/>
          <w:szCs w:val="28"/>
        </w:rPr>
        <w:t xml:space="preserve"> сооружения и иное имущество; </w:t>
      </w:r>
    </w:p>
    <w:p w:rsidR="00623170" w:rsidRDefault="00623170" w:rsidP="00623170">
      <w:pPr>
        <w:pStyle w:val="a6"/>
        <w:numPr>
          <w:ilvl w:val="0"/>
          <w:numId w:val="7"/>
        </w:numPr>
        <w:spacing w:line="360" w:lineRule="auto"/>
        <w:ind w:left="714" w:hanging="357"/>
        <w:jc w:val="both"/>
        <w:rPr>
          <w:sz w:val="28"/>
          <w:szCs w:val="28"/>
        </w:rPr>
      </w:pPr>
      <w:r w:rsidRPr="00623170">
        <w:rPr>
          <w:sz w:val="28"/>
          <w:szCs w:val="28"/>
        </w:rPr>
        <w:t>предоставление и получение отсрочки платежа на срок более 180 дней по экспорту и и</w:t>
      </w:r>
      <w:r>
        <w:rPr>
          <w:sz w:val="28"/>
          <w:szCs w:val="28"/>
        </w:rPr>
        <w:t xml:space="preserve">мпорту товаров, работ, услуг; </w:t>
      </w:r>
    </w:p>
    <w:p w:rsidR="00623170" w:rsidRDefault="00623170" w:rsidP="00623170">
      <w:pPr>
        <w:pStyle w:val="a6"/>
        <w:numPr>
          <w:ilvl w:val="0"/>
          <w:numId w:val="7"/>
        </w:numPr>
        <w:spacing w:line="360" w:lineRule="auto"/>
        <w:ind w:left="714" w:hanging="357"/>
        <w:jc w:val="both"/>
        <w:rPr>
          <w:sz w:val="28"/>
          <w:szCs w:val="28"/>
        </w:rPr>
      </w:pPr>
      <w:r w:rsidRPr="00623170">
        <w:rPr>
          <w:sz w:val="28"/>
          <w:szCs w:val="28"/>
        </w:rPr>
        <w:t>предоставление и получение финансовых кре</w:t>
      </w:r>
      <w:r>
        <w:rPr>
          <w:sz w:val="28"/>
          <w:szCs w:val="28"/>
        </w:rPr>
        <w:t xml:space="preserve">дитов на срок более 180 дней; </w:t>
      </w:r>
    </w:p>
    <w:p w:rsidR="00623170" w:rsidRDefault="00623170" w:rsidP="00623170">
      <w:pPr>
        <w:pStyle w:val="a6"/>
        <w:numPr>
          <w:ilvl w:val="0"/>
          <w:numId w:val="7"/>
        </w:numPr>
        <w:spacing w:line="360" w:lineRule="auto"/>
        <w:jc w:val="both"/>
        <w:rPr>
          <w:sz w:val="28"/>
          <w:szCs w:val="28"/>
        </w:rPr>
      </w:pPr>
      <w:r w:rsidRPr="00623170">
        <w:rPr>
          <w:sz w:val="28"/>
          <w:szCs w:val="28"/>
        </w:rPr>
        <w:t>все иные валютные опе</w:t>
      </w:r>
      <w:r>
        <w:rPr>
          <w:sz w:val="28"/>
          <w:szCs w:val="28"/>
        </w:rPr>
        <w:t xml:space="preserve">рации не являющиеся текущими. </w:t>
      </w:r>
    </w:p>
    <w:p w:rsidR="000B4A91" w:rsidRDefault="00623170" w:rsidP="00623170">
      <w:pPr>
        <w:spacing w:line="360" w:lineRule="auto"/>
        <w:ind w:firstLine="709"/>
        <w:jc w:val="both"/>
        <w:rPr>
          <w:sz w:val="28"/>
          <w:szCs w:val="28"/>
        </w:rPr>
      </w:pPr>
      <w:r w:rsidRPr="00623170">
        <w:rPr>
          <w:sz w:val="28"/>
          <w:szCs w:val="28"/>
        </w:rPr>
        <w:t>В зависимости от сроков валютные операции подразделяются на наличные и срочные. В таблице 1 представлены виды валютных операций в зависимости от срочности их проведения.</w:t>
      </w:r>
    </w:p>
    <w:p w:rsidR="00623170" w:rsidRDefault="00623170" w:rsidP="00623170">
      <w:pPr>
        <w:spacing w:line="360" w:lineRule="auto"/>
        <w:jc w:val="right"/>
        <w:rPr>
          <w:sz w:val="28"/>
          <w:szCs w:val="28"/>
        </w:rPr>
      </w:pPr>
      <w:r>
        <w:rPr>
          <w:sz w:val="28"/>
          <w:szCs w:val="28"/>
        </w:rPr>
        <w:t>Таблица</w:t>
      </w:r>
      <w:r w:rsidRPr="00623170">
        <w:rPr>
          <w:sz w:val="28"/>
          <w:szCs w:val="28"/>
        </w:rPr>
        <w:t>1Виды валютных операций в зависимости от срочности их проведения</w:t>
      </w:r>
    </w:p>
    <w:tbl>
      <w:tblPr>
        <w:tblStyle w:val="a7"/>
        <w:tblW w:w="0" w:type="auto"/>
        <w:tblLook w:val="04A0"/>
      </w:tblPr>
      <w:tblGrid>
        <w:gridCol w:w="2376"/>
        <w:gridCol w:w="7195"/>
      </w:tblGrid>
      <w:tr w:rsidR="00623170" w:rsidTr="00623170">
        <w:tc>
          <w:tcPr>
            <w:tcW w:w="2376" w:type="dxa"/>
          </w:tcPr>
          <w:p w:rsidR="00623170" w:rsidRPr="00623170" w:rsidRDefault="00623170" w:rsidP="00623170">
            <w:pPr>
              <w:contextualSpacing/>
              <w:jc w:val="both"/>
              <w:rPr>
                <w:sz w:val="20"/>
                <w:szCs w:val="20"/>
              </w:rPr>
            </w:pPr>
            <w:r w:rsidRPr="00623170">
              <w:rPr>
                <w:sz w:val="20"/>
                <w:szCs w:val="20"/>
              </w:rPr>
              <w:t>Вид операции</w:t>
            </w:r>
          </w:p>
        </w:tc>
        <w:tc>
          <w:tcPr>
            <w:tcW w:w="7195" w:type="dxa"/>
          </w:tcPr>
          <w:p w:rsidR="00623170" w:rsidRPr="00623170" w:rsidRDefault="00623170" w:rsidP="00623170">
            <w:pPr>
              <w:contextualSpacing/>
              <w:jc w:val="both"/>
              <w:rPr>
                <w:sz w:val="20"/>
                <w:szCs w:val="20"/>
              </w:rPr>
            </w:pPr>
            <w:r w:rsidRPr="00623170">
              <w:rPr>
                <w:sz w:val="20"/>
                <w:szCs w:val="20"/>
              </w:rPr>
              <w:t>Описание операции</w:t>
            </w:r>
          </w:p>
        </w:tc>
      </w:tr>
      <w:tr w:rsidR="00623170" w:rsidTr="00623170">
        <w:tc>
          <w:tcPr>
            <w:tcW w:w="2376" w:type="dxa"/>
          </w:tcPr>
          <w:p w:rsidR="00623170" w:rsidRPr="00623170" w:rsidRDefault="00623170" w:rsidP="00623170">
            <w:pPr>
              <w:contextualSpacing/>
              <w:jc w:val="both"/>
              <w:rPr>
                <w:sz w:val="20"/>
                <w:szCs w:val="20"/>
              </w:rPr>
            </w:pPr>
            <w:r w:rsidRPr="00623170">
              <w:rPr>
                <w:sz w:val="20"/>
                <w:szCs w:val="20"/>
              </w:rPr>
              <w:t>Срочные операции</w:t>
            </w:r>
          </w:p>
        </w:tc>
        <w:tc>
          <w:tcPr>
            <w:tcW w:w="7195" w:type="dxa"/>
          </w:tcPr>
          <w:p w:rsidR="00623170" w:rsidRPr="00623170" w:rsidRDefault="00623170" w:rsidP="00623170">
            <w:pPr>
              <w:contextualSpacing/>
              <w:jc w:val="both"/>
              <w:rPr>
                <w:sz w:val="20"/>
                <w:szCs w:val="20"/>
              </w:rPr>
            </w:pPr>
            <w:r w:rsidRPr="00623170">
              <w:rPr>
                <w:sz w:val="20"/>
                <w:szCs w:val="20"/>
              </w:rPr>
              <w:t>Срочные операции принято подразделять на конверсионные, страховые и спекулятивные. К срочным сделкам также относятся "форвард" (forward), "опцион" (option), "своп" (swap).</w:t>
            </w:r>
          </w:p>
        </w:tc>
      </w:tr>
      <w:tr w:rsidR="00623170" w:rsidTr="00623170">
        <w:tc>
          <w:tcPr>
            <w:tcW w:w="2376" w:type="dxa"/>
          </w:tcPr>
          <w:p w:rsidR="00623170" w:rsidRPr="00623170" w:rsidRDefault="00623170" w:rsidP="00623170">
            <w:pPr>
              <w:contextualSpacing/>
              <w:jc w:val="both"/>
              <w:rPr>
                <w:sz w:val="20"/>
                <w:szCs w:val="20"/>
              </w:rPr>
            </w:pPr>
            <w:r w:rsidRPr="00623170">
              <w:rPr>
                <w:sz w:val="20"/>
                <w:szCs w:val="20"/>
              </w:rPr>
              <w:t>Наличные операции</w:t>
            </w:r>
          </w:p>
        </w:tc>
        <w:tc>
          <w:tcPr>
            <w:tcW w:w="7195" w:type="dxa"/>
          </w:tcPr>
          <w:p w:rsidR="00623170" w:rsidRPr="00623170" w:rsidRDefault="00623170" w:rsidP="00623170">
            <w:pPr>
              <w:contextualSpacing/>
              <w:jc w:val="both"/>
              <w:rPr>
                <w:sz w:val="20"/>
                <w:szCs w:val="20"/>
              </w:rPr>
            </w:pPr>
            <w:r w:rsidRPr="00623170">
              <w:rPr>
                <w:sz w:val="20"/>
                <w:szCs w:val="20"/>
              </w:rPr>
              <w:t>Среди наличных валютных операций выделяют операции "спот" (spot), а также такие операции как "овернайт" (overnight), "туморроу/некст" (tomorrow/next) и "дэй - то - дэй своп" (day - to - day swap), которые применяются банками для управления текущими валютными позициями.</w:t>
            </w:r>
          </w:p>
        </w:tc>
      </w:tr>
    </w:tbl>
    <w:p w:rsidR="00D051F8" w:rsidRPr="00D051F8" w:rsidRDefault="00D051F8" w:rsidP="00D051F8">
      <w:pPr>
        <w:spacing w:line="360" w:lineRule="auto"/>
        <w:ind w:firstLine="709"/>
        <w:contextualSpacing/>
        <w:jc w:val="both"/>
        <w:rPr>
          <w:sz w:val="28"/>
          <w:szCs w:val="28"/>
        </w:rPr>
      </w:pPr>
      <w:r w:rsidRPr="00D051F8">
        <w:rPr>
          <w:sz w:val="28"/>
          <w:szCs w:val="28"/>
        </w:rPr>
        <w:lastRenderedPageBreak/>
        <w:t xml:space="preserve">Тема управления рисками становится все более и более существенной как в мировом масштабе, так и в масштабе банковской системы России. Все большее количество иностранных финансовых институтов приходят на рынок банковских услуг России. При этом большая часть таких инвестиций приходится именно на покупку уже работающих российских банков. Такая интеграция в мировую банковскую систему предъявляет к российским банкам высокие требования к использованию современных методов оценки и управления рисками, и в первую очередь финансовыми.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Вступил в силу стандарт МСФО IFRS 7 «Финансовые инструменты: раскрытие информации», в соответствии с которым с отчетного периода, начинающегося 1 января 2007 года, необходимо будет отражать в составе финансовой отчетности способы управления рисками, а также характер и объем рисков, возникающих по финансовым инструментам. </w:t>
      </w:r>
    </w:p>
    <w:p w:rsidR="00D051F8" w:rsidRPr="00D051F8" w:rsidRDefault="00D051F8" w:rsidP="00D051F8">
      <w:pPr>
        <w:spacing w:line="360" w:lineRule="auto"/>
        <w:ind w:firstLine="709"/>
        <w:contextualSpacing/>
        <w:jc w:val="both"/>
        <w:rPr>
          <w:sz w:val="28"/>
          <w:szCs w:val="28"/>
        </w:rPr>
      </w:pPr>
      <w:r w:rsidRPr="00D051F8">
        <w:rPr>
          <w:sz w:val="28"/>
          <w:szCs w:val="28"/>
        </w:rPr>
        <w:t>В соответствии с Положением Банка России от 16.12.2003 № 242-П «Об организации внутреннего контроля в кредитных организациях и банковских группах» под банковским риском понимается присущая банковской деятельности возможность (вероятность) понесения кредитной организацией по</w:t>
      </w:r>
      <w:r>
        <w:rPr>
          <w:sz w:val="28"/>
          <w:szCs w:val="28"/>
        </w:rPr>
        <w:t>терь и(или) ухудшения ликвиднос</w:t>
      </w:r>
      <w:r w:rsidRPr="00D051F8">
        <w:rPr>
          <w:sz w:val="28"/>
          <w:szCs w:val="28"/>
        </w:rPr>
        <w:t xml:space="preserve">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и(или) внешними факторами (изменение экономических условий деятельности кредитной организации, применяемые технологии и т.д.).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В целом все банковские риски можно разделить на две большие группы — «финансовые» и «нефинансовые».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Прежде всего необходимо отметить, что в настоящее время в законодательных актах Банка России или других надзорных ведомств нет четкого разделения рисков на «финансовые» и «нефинансовые».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Традиционно к финансовым рискам относят: </w:t>
      </w:r>
    </w:p>
    <w:p w:rsidR="00D051F8" w:rsidRPr="00D051F8" w:rsidRDefault="00D051F8" w:rsidP="00D051F8">
      <w:pPr>
        <w:numPr>
          <w:ilvl w:val="0"/>
          <w:numId w:val="9"/>
        </w:numPr>
        <w:spacing w:line="360" w:lineRule="auto"/>
        <w:ind w:left="0" w:firstLine="709"/>
        <w:contextualSpacing/>
        <w:jc w:val="both"/>
        <w:rPr>
          <w:sz w:val="28"/>
          <w:szCs w:val="28"/>
        </w:rPr>
      </w:pPr>
      <w:r w:rsidRPr="00D051F8">
        <w:rPr>
          <w:sz w:val="28"/>
          <w:szCs w:val="28"/>
        </w:rPr>
        <w:t xml:space="preserve">кредитный риск; </w:t>
      </w:r>
    </w:p>
    <w:p w:rsidR="00D051F8" w:rsidRPr="00D051F8" w:rsidRDefault="00D051F8" w:rsidP="00D051F8">
      <w:pPr>
        <w:numPr>
          <w:ilvl w:val="0"/>
          <w:numId w:val="9"/>
        </w:numPr>
        <w:spacing w:line="360" w:lineRule="auto"/>
        <w:ind w:left="0" w:firstLine="709"/>
        <w:contextualSpacing/>
        <w:jc w:val="both"/>
        <w:rPr>
          <w:sz w:val="28"/>
          <w:szCs w:val="28"/>
        </w:rPr>
      </w:pPr>
      <w:r w:rsidRPr="00D051F8">
        <w:rPr>
          <w:sz w:val="28"/>
          <w:szCs w:val="28"/>
        </w:rPr>
        <w:lastRenderedPageBreak/>
        <w:t xml:space="preserve">рыночный риск (валютный, фондовый, процентный); </w:t>
      </w:r>
    </w:p>
    <w:p w:rsidR="00D051F8" w:rsidRPr="00D051F8" w:rsidRDefault="00D051F8" w:rsidP="00D051F8">
      <w:pPr>
        <w:numPr>
          <w:ilvl w:val="0"/>
          <w:numId w:val="9"/>
        </w:numPr>
        <w:spacing w:line="360" w:lineRule="auto"/>
        <w:ind w:left="0" w:firstLine="709"/>
        <w:contextualSpacing/>
        <w:jc w:val="both"/>
        <w:rPr>
          <w:sz w:val="28"/>
          <w:szCs w:val="28"/>
        </w:rPr>
      </w:pPr>
      <w:r w:rsidRPr="00D051F8">
        <w:rPr>
          <w:sz w:val="28"/>
          <w:szCs w:val="28"/>
        </w:rPr>
        <w:t xml:space="preserve">риск ликвидности.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Наиболее значимым видом финансовых, да и нефинансовых рисков, присущих кредитным организациям, является кредитный риск, так как основная часть активов кредитных организаций представляет ссудную и приравненную к ней задолженность, а проценты, полученные по размещенным ссудам, являются основной составляющей доходов.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В связи с этим не только Банк России, будучи надзорным органом, уделяет значительное влияние оценке и управлению данным видом риска в кредитных организациях, но и сами кредитные организации, следуя передовым тенденциям в управлении рисками, внедряют современные методики оценки и управления кредитным риском. </w:t>
      </w:r>
    </w:p>
    <w:p w:rsidR="00D051F8" w:rsidRPr="00D051F8" w:rsidRDefault="00D051F8" w:rsidP="00D051F8">
      <w:pPr>
        <w:spacing w:line="360" w:lineRule="auto"/>
        <w:ind w:firstLine="709"/>
        <w:contextualSpacing/>
        <w:jc w:val="both"/>
        <w:rPr>
          <w:sz w:val="28"/>
          <w:szCs w:val="28"/>
        </w:rPr>
      </w:pPr>
      <w:r w:rsidRPr="00D051F8">
        <w:rPr>
          <w:sz w:val="28"/>
          <w:szCs w:val="28"/>
        </w:rPr>
        <w:t>В соответствии с Письмом Банка России от 23.06.2004 № 70-Т «О типичных банковских рисках» кредитный ри</w:t>
      </w:r>
      <w:r>
        <w:rPr>
          <w:sz w:val="28"/>
          <w:szCs w:val="28"/>
        </w:rPr>
        <w:t>ск — это риск возник</w:t>
      </w:r>
      <w:r w:rsidRPr="00D051F8">
        <w:rPr>
          <w:sz w:val="28"/>
          <w:szCs w:val="28"/>
        </w:rPr>
        <w:t xml:space="preserve">новения у кредитной организации убытков вследствие неисполнения, несвоевременного либо неполного исполнения должником финансовых обязательств перед кредитной организацией в соответствии с условиями договора.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Основными документами, регламентирующими оценку и управление кредитным риском, для кредитных организаций, расположенных на территории Российской Федерации, являются: </w:t>
      </w:r>
    </w:p>
    <w:p w:rsidR="00D051F8" w:rsidRPr="00D051F8" w:rsidRDefault="00D051F8" w:rsidP="00D051F8">
      <w:pPr>
        <w:numPr>
          <w:ilvl w:val="0"/>
          <w:numId w:val="10"/>
        </w:numPr>
        <w:spacing w:line="360" w:lineRule="auto"/>
        <w:ind w:left="0" w:firstLine="709"/>
        <w:contextualSpacing/>
        <w:jc w:val="both"/>
        <w:rPr>
          <w:sz w:val="28"/>
          <w:szCs w:val="28"/>
        </w:rPr>
      </w:pPr>
      <w:r w:rsidRPr="00D051F8">
        <w:rPr>
          <w:sz w:val="28"/>
          <w:szCs w:val="28"/>
        </w:rPr>
        <w:t xml:space="preserve">Положение Банка России от 26.03.2004 № 254-П «О порядке формирования кредитными организациями резервов на возможные потери по ссудам, по ссудной и приравненной к ней задолженности»; </w:t>
      </w:r>
    </w:p>
    <w:p w:rsidR="00D051F8" w:rsidRPr="00D051F8" w:rsidRDefault="00D051F8" w:rsidP="00D051F8">
      <w:pPr>
        <w:numPr>
          <w:ilvl w:val="0"/>
          <w:numId w:val="10"/>
        </w:numPr>
        <w:spacing w:line="360" w:lineRule="auto"/>
        <w:ind w:left="0" w:firstLine="709"/>
        <w:contextualSpacing/>
        <w:jc w:val="both"/>
        <w:rPr>
          <w:sz w:val="28"/>
          <w:szCs w:val="28"/>
        </w:rPr>
      </w:pPr>
      <w:r w:rsidRPr="00D051F8">
        <w:rPr>
          <w:sz w:val="28"/>
          <w:szCs w:val="28"/>
        </w:rPr>
        <w:t xml:space="preserve">Положение Банка России от 20.03.2006 № 283-П «О порядке формирования кредитными организациями резервов на возможные потери».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В отношении выбора кредитными организациями метода оценки кредитного риска Банк России не придерживается каких-то жестких административных ограничений. При этом в Положениях № 254-П и № 232-П указаны обязательные составляющие количественного анализа </w:t>
      </w:r>
      <w:r w:rsidRPr="00D051F8">
        <w:rPr>
          <w:sz w:val="28"/>
          <w:szCs w:val="28"/>
        </w:rPr>
        <w:lastRenderedPageBreak/>
        <w:t xml:space="preserve">кредитоспособности заемщика, которым должна соответствовать выбранная методика оценки кредитного риска. Непосредственно выбор методики и оценка кредитного риска осуществляются кредитными организациями самостоятельно путем формирования профессионального и мотивированного суждений на основе разработанных внутренних методик оценки кредитного риска с учетом вышеуказанных положений Банка России.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Зачастую кредитная организация использует для оценки кредитных рисков несколько методов, комбинируя их либо используя разные методы для разных видов риска. При этом анализируется как количественная, так и качественная информация о заемщике.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В связи с переходом нашей банковской системы на принципы Базеля II кредитные организации начали работу по применению методов оценки кредитного риска, рекомендованных новым Базельским соглашением. </w:t>
      </w:r>
    </w:p>
    <w:p w:rsidR="00D051F8" w:rsidRPr="00D051F8" w:rsidRDefault="00D051F8" w:rsidP="00D051F8">
      <w:pPr>
        <w:spacing w:line="360" w:lineRule="auto"/>
        <w:ind w:firstLine="709"/>
        <w:contextualSpacing/>
        <w:jc w:val="both"/>
        <w:rPr>
          <w:sz w:val="28"/>
          <w:szCs w:val="28"/>
        </w:rPr>
      </w:pPr>
      <w:r w:rsidRPr="00D051F8">
        <w:rPr>
          <w:sz w:val="28"/>
          <w:szCs w:val="28"/>
        </w:rPr>
        <w:t>На самих методах оценки кредитного риска останавливаться не будем — об этом уже было достаточно много публикаций как в прессе</w:t>
      </w:r>
      <w:r w:rsidRPr="00D051F8">
        <w:rPr>
          <w:b/>
          <w:bCs/>
          <w:sz w:val="28"/>
          <w:szCs w:val="28"/>
          <w:vertAlign w:val="superscript"/>
        </w:rPr>
        <w:t>3</w:t>
      </w:r>
      <w:r w:rsidRPr="00D051F8">
        <w:rPr>
          <w:sz w:val="28"/>
          <w:szCs w:val="28"/>
        </w:rPr>
        <w:t xml:space="preserve">, так и в Интернете. </w:t>
      </w:r>
    </w:p>
    <w:p w:rsidR="00D051F8" w:rsidRPr="00D051F8" w:rsidRDefault="00D051F8" w:rsidP="00D051F8">
      <w:pPr>
        <w:spacing w:line="360" w:lineRule="auto"/>
        <w:ind w:firstLine="709"/>
        <w:contextualSpacing/>
        <w:jc w:val="both"/>
        <w:rPr>
          <w:sz w:val="28"/>
          <w:szCs w:val="28"/>
        </w:rPr>
      </w:pPr>
      <w:r w:rsidRPr="00D051F8">
        <w:rPr>
          <w:sz w:val="28"/>
          <w:szCs w:val="28"/>
        </w:rPr>
        <w:t>Наряду с кредитным риском оценка</w:t>
      </w:r>
      <w:r>
        <w:rPr>
          <w:sz w:val="28"/>
          <w:szCs w:val="28"/>
        </w:rPr>
        <w:t xml:space="preserve"> и управ</w:t>
      </w:r>
      <w:r w:rsidRPr="00D051F8">
        <w:rPr>
          <w:sz w:val="28"/>
          <w:szCs w:val="28"/>
        </w:rPr>
        <w:t xml:space="preserve">ление рыночными рисками занимает важное место в системе риск-менеджмента кредитных организаций. Современные подходы к оценке рыночного риска описаны в Базеле II, и это подтверждает, что мировое банковское сообщество уделяет данному риску большое внимание.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Банк России в соответствии с Письмом 70-Т определяет рыночный риск как риск возникновения у кредитной организации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а также курсов иностранных валют и(или) драгоценных металлов.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По типам основных торгуемых финансовых активов рыночный риск разделяют на: </w:t>
      </w:r>
    </w:p>
    <w:p w:rsidR="00D051F8" w:rsidRPr="00D051F8" w:rsidRDefault="00D051F8" w:rsidP="00D051F8">
      <w:pPr>
        <w:numPr>
          <w:ilvl w:val="0"/>
          <w:numId w:val="11"/>
        </w:numPr>
        <w:spacing w:line="360" w:lineRule="auto"/>
        <w:ind w:left="0" w:firstLine="709"/>
        <w:contextualSpacing/>
        <w:jc w:val="both"/>
        <w:rPr>
          <w:sz w:val="28"/>
          <w:szCs w:val="28"/>
        </w:rPr>
      </w:pPr>
      <w:r w:rsidRPr="00D051F8">
        <w:rPr>
          <w:sz w:val="28"/>
          <w:szCs w:val="28"/>
        </w:rPr>
        <w:lastRenderedPageBreak/>
        <w:t xml:space="preserve">валютный — риск получения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а также курсов иностранных валют и(или) драгоценных металлов; </w:t>
      </w:r>
    </w:p>
    <w:p w:rsidR="00D051F8" w:rsidRPr="00D051F8" w:rsidRDefault="00D051F8" w:rsidP="00D051F8">
      <w:pPr>
        <w:numPr>
          <w:ilvl w:val="0"/>
          <w:numId w:val="11"/>
        </w:numPr>
        <w:spacing w:line="360" w:lineRule="auto"/>
        <w:ind w:left="0" w:firstLine="709"/>
        <w:contextualSpacing/>
        <w:jc w:val="both"/>
        <w:rPr>
          <w:sz w:val="28"/>
          <w:szCs w:val="28"/>
        </w:rPr>
      </w:pPr>
      <w:r w:rsidRPr="00D051F8">
        <w:rPr>
          <w:sz w:val="28"/>
          <w:szCs w:val="28"/>
        </w:rPr>
        <w:t xml:space="preserve">фондовый — риск получения убытков вследствие неблагоприятного изменения рыночных цен на фондовые ценности торгового портфеля (ценные бумаги, в том числе закрепляющие права на участие в управлении) и производные финансовые инструменты под влиянием факторов, связанных как с эмитентом фондовых ценностей и производных финансовых инструментов, так и с общими колебаниями рыночных цен на финансовые инструменты; </w:t>
      </w:r>
    </w:p>
    <w:p w:rsidR="00D051F8" w:rsidRPr="00D051F8" w:rsidRDefault="00D051F8" w:rsidP="00D051F8">
      <w:pPr>
        <w:numPr>
          <w:ilvl w:val="0"/>
          <w:numId w:val="11"/>
        </w:numPr>
        <w:spacing w:line="360" w:lineRule="auto"/>
        <w:ind w:left="0" w:firstLine="709"/>
        <w:contextualSpacing/>
        <w:jc w:val="both"/>
        <w:rPr>
          <w:sz w:val="28"/>
          <w:szCs w:val="28"/>
        </w:rPr>
      </w:pPr>
      <w:r w:rsidRPr="00D051F8">
        <w:rPr>
          <w:sz w:val="28"/>
          <w:szCs w:val="28"/>
        </w:rPr>
        <w:t xml:space="preserve">процентный —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кредитной организации.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В основном современные методы оценки рыночных рисков основываются на измерении показателя возможных потерь стоимости финансовых инструментов с определенным уровнем вероятности в течение определенного периода времени — value at risk (VAR).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При анализе и управлении процентным риском кредитными организациями часто используются методы, основанные на анализе разрывов активов и пассивов, чувствительных к изменению процентных ставок — gap.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Надо отметить, что в настоящее время Банк России никак не регламентирует выбор кредитными организациями тех или иных методов в оценке и управлении рыночными рисками. Главное, чтобы в кредитной организации эти методы эффективно применялись в соответствии с масштабами операций и уровнем принимаемых рисков.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Согласно определению, приведенному в Письме Банка России от 23.06.2004 № 70-Т «О типичных банковских рисках», риск ликвидности — </w:t>
      </w:r>
      <w:r w:rsidRPr="00D051F8">
        <w:rPr>
          <w:sz w:val="28"/>
          <w:szCs w:val="28"/>
        </w:rPr>
        <w:lastRenderedPageBreak/>
        <w:t xml:space="preserve">риск убытков вследствие неспособности кредитной организации обеспечить исполнение своих обязательств в полном объеме.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Подход к анализу риска потери ликвидности кредитной организации, рекомендованный Банком России, приводится в Письме от 27.07.2000 № 139-Т «О рекомендациях по анализу ликвидности кредитных организаций». При этом кредитные организации не обязаны следовать рекомендованному порядку, а вправе разрабатывать собственные методики оценки и управления риском ликвидности.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Современные методы оценки риска ликвидности в основном базируются на принципах сценарного моделирования состояния активов и пассивов кредитной организации — так называемого стресс-тестирования. </w:t>
      </w:r>
    </w:p>
    <w:p w:rsidR="00D051F8" w:rsidRPr="00D051F8" w:rsidRDefault="00D051F8" w:rsidP="00D051F8">
      <w:pPr>
        <w:spacing w:line="360" w:lineRule="auto"/>
        <w:ind w:firstLine="709"/>
        <w:contextualSpacing/>
        <w:jc w:val="both"/>
        <w:rPr>
          <w:sz w:val="28"/>
          <w:szCs w:val="28"/>
        </w:rPr>
      </w:pPr>
      <w:r w:rsidRPr="00D051F8">
        <w:rPr>
          <w:sz w:val="28"/>
          <w:szCs w:val="28"/>
        </w:rPr>
        <w:t>Но вместе с тем Банк России уделяет большое внимание тому, какие именно методики используют кредитные организации в пр</w:t>
      </w:r>
      <w:r>
        <w:rPr>
          <w:sz w:val="28"/>
          <w:szCs w:val="28"/>
        </w:rPr>
        <w:t>оцессе анализа и управления рис</w:t>
      </w:r>
      <w:r w:rsidRPr="00D051F8">
        <w:rPr>
          <w:sz w:val="28"/>
          <w:szCs w:val="28"/>
        </w:rPr>
        <w:t xml:space="preserve">ком ликвидности, а также при оценке состояния системы риск-менеджмента кредитной организации, например, в случае оценки финансовой устойчивости кредитной организации в целях признания ее достаточной для участия в системе страхования вкладов.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Определение и регулирование уровня финансовых рисков, принимаемых на себя кредитными организациями, Банк России осуществляет в соответствии с положениями Федерального закона от 10.07.2002 № 86-ФЗ «О Центральном банке Российской Федерации (Банке России)» в рамках осуществления функций по банковскому надзору. </w:t>
      </w:r>
    </w:p>
    <w:p w:rsidR="00D051F8" w:rsidRPr="00D051F8" w:rsidRDefault="00D051F8" w:rsidP="00D051F8">
      <w:pPr>
        <w:spacing w:line="360" w:lineRule="auto"/>
        <w:ind w:firstLine="709"/>
        <w:contextualSpacing/>
        <w:jc w:val="both"/>
        <w:rPr>
          <w:sz w:val="28"/>
          <w:szCs w:val="28"/>
        </w:rPr>
      </w:pPr>
      <w:r w:rsidRPr="00D051F8">
        <w:rPr>
          <w:sz w:val="28"/>
          <w:szCs w:val="28"/>
        </w:rPr>
        <w:t xml:space="preserve">Предельные значения нормативов и показателей, характеризующих основные виды финансовых рисков, принимаемых кредитными организациями, установлены в нормативных актах Банка России (табл. </w:t>
      </w:r>
      <w:r>
        <w:rPr>
          <w:sz w:val="28"/>
          <w:szCs w:val="28"/>
        </w:rPr>
        <w:t>2</w:t>
      </w:r>
      <w:r w:rsidRPr="00D051F8">
        <w:rPr>
          <w:sz w:val="28"/>
          <w:szCs w:val="28"/>
        </w:rPr>
        <w:t xml:space="preserve">). </w:t>
      </w:r>
    </w:p>
    <w:p w:rsidR="00D051F8" w:rsidRDefault="00D051F8" w:rsidP="00623170">
      <w:pPr>
        <w:spacing w:line="360" w:lineRule="auto"/>
        <w:ind w:left="357"/>
        <w:jc w:val="both"/>
        <w:rPr>
          <w:sz w:val="28"/>
          <w:szCs w:val="28"/>
        </w:rPr>
      </w:pPr>
    </w:p>
    <w:p w:rsidR="00D051F8" w:rsidRDefault="00D051F8" w:rsidP="00623170">
      <w:pPr>
        <w:spacing w:line="360" w:lineRule="auto"/>
        <w:ind w:left="357"/>
        <w:jc w:val="both"/>
        <w:rPr>
          <w:sz w:val="28"/>
          <w:szCs w:val="28"/>
        </w:rPr>
      </w:pPr>
    </w:p>
    <w:p w:rsidR="00D051F8" w:rsidRDefault="00D051F8" w:rsidP="00623170">
      <w:pPr>
        <w:spacing w:line="360" w:lineRule="auto"/>
        <w:ind w:left="357"/>
        <w:jc w:val="both"/>
        <w:rPr>
          <w:sz w:val="28"/>
          <w:szCs w:val="28"/>
        </w:rPr>
      </w:pPr>
    </w:p>
    <w:p w:rsidR="00D051F8" w:rsidRDefault="00D051F8" w:rsidP="00623170">
      <w:pPr>
        <w:spacing w:line="360" w:lineRule="auto"/>
        <w:ind w:left="357"/>
        <w:jc w:val="both"/>
        <w:rPr>
          <w:sz w:val="28"/>
          <w:szCs w:val="28"/>
        </w:rPr>
      </w:pPr>
    </w:p>
    <w:p w:rsidR="00D051F8" w:rsidRDefault="00D051F8" w:rsidP="00623170">
      <w:pPr>
        <w:spacing w:line="360" w:lineRule="auto"/>
        <w:ind w:left="357"/>
        <w:jc w:val="both"/>
        <w:rPr>
          <w:sz w:val="28"/>
          <w:szCs w:val="28"/>
        </w:rPr>
      </w:pPr>
    </w:p>
    <w:p w:rsidR="00623170" w:rsidRDefault="00D051F8" w:rsidP="00D051F8">
      <w:pPr>
        <w:spacing w:line="360" w:lineRule="auto"/>
        <w:ind w:left="357"/>
        <w:jc w:val="right"/>
        <w:rPr>
          <w:sz w:val="28"/>
          <w:szCs w:val="28"/>
        </w:rPr>
      </w:pPr>
      <w:r>
        <w:rPr>
          <w:noProof/>
          <w:sz w:val="28"/>
          <w:szCs w:val="28"/>
        </w:rPr>
        <w:lastRenderedPageBreak/>
        <w:drawing>
          <wp:anchor distT="0" distB="0" distL="114300" distR="114300" simplePos="0" relativeHeight="251658240" behindDoc="0" locked="0" layoutInCell="1" allowOverlap="1">
            <wp:simplePos x="0" y="0"/>
            <wp:positionH relativeFrom="column">
              <wp:posOffset>-384810</wp:posOffset>
            </wp:positionH>
            <wp:positionV relativeFrom="paragraph">
              <wp:posOffset>260985</wp:posOffset>
            </wp:positionV>
            <wp:extent cx="5940425" cy="2828925"/>
            <wp:effectExtent l="19050" t="0" r="3175" b="0"/>
            <wp:wrapThrough wrapText="bothSides">
              <wp:wrapPolygon edited="0">
                <wp:start x="-69" y="0"/>
                <wp:lineTo x="-69" y="21527"/>
                <wp:lineTo x="21612" y="21527"/>
                <wp:lineTo x="21612" y="0"/>
                <wp:lineTo x="-69" y="0"/>
              </wp:wrapPolygon>
            </wp:wrapThrough>
            <wp:docPr id="4" name="Рисунок 4" descr="C:\Documents and Settings\777\Рабочий стол\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777\Рабочий стол\1.gif"/>
                    <pic:cNvPicPr>
                      <a:picLocks noChangeAspect="1" noChangeArrowheads="1"/>
                    </pic:cNvPicPr>
                  </pic:nvPicPr>
                  <pic:blipFill>
                    <a:blip r:embed="rId7"/>
                    <a:srcRect/>
                    <a:stretch>
                      <a:fillRect/>
                    </a:stretch>
                  </pic:blipFill>
                  <pic:spPr bwMode="auto">
                    <a:xfrm>
                      <a:off x="0" y="0"/>
                      <a:ext cx="5940425" cy="2828925"/>
                    </a:xfrm>
                    <a:prstGeom prst="rect">
                      <a:avLst/>
                    </a:prstGeom>
                    <a:noFill/>
                    <a:ln w="9525">
                      <a:noFill/>
                      <a:miter lim="800000"/>
                      <a:headEnd/>
                      <a:tailEnd/>
                    </a:ln>
                  </pic:spPr>
                </pic:pic>
              </a:graphicData>
            </a:graphic>
          </wp:anchor>
        </w:drawing>
      </w:r>
      <w:r>
        <w:rPr>
          <w:sz w:val="28"/>
          <w:szCs w:val="28"/>
        </w:rPr>
        <w:t>Таблица 2</w:t>
      </w:r>
    </w:p>
    <w:p w:rsidR="00D051F8" w:rsidRDefault="00D051F8" w:rsidP="00623170">
      <w:pPr>
        <w:spacing w:line="360" w:lineRule="auto"/>
        <w:ind w:left="357"/>
        <w:jc w:val="both"/>
        <w:rPr>
          <w:sz w:val="28"/>
          <w:szCs w:val="28"/>
        </w:rPr>
      </w:pPr>
    </w:p>
    <w:p w:rsidR="00D051F8" w:rsidRDefault="00D051F8" w:rsidP="001B4C3C">
      <w:pPr>
        <w:spacing w:line="360" w:lineRule="auto"/>
        <w:jc w:val="both"/>
        <w:rPr>
          <w:sz w:val="28"/>
          <w:szCs w:val="28"/>
        </w:rPr>
      </w:pPr>
    </w:p>
    <w:p w:rsidR="001B4C3C" w:rsidRDefault="001B4C3C" w:rsidP="001B4C3C">
      <w:pPr>
        <w:spacing w:line="360" w:lineRule="auto"/>
        <w:jc w:val="both"/>
        <w:rPr>
          <w:sz w:val="28"/>
          <w:szCs w:val="28"/>
        </w:rPr>
      </w:pPr>
    </w:p>
    <w:p w:rsidR="001B4C3C" w:rsidRDefault="001B4C3C" w:rsidP="001B4C3C">
      <w:pPr>
        <w:spacing w:line="360" w:lineRule="auto"/>
        <w:jc w:val="both"/>
        <w:rPr>
          <w:sz w:val="28"/>
          <w:szCs w:val="28"/>
        </w:rPr>
      </w:pPr>
    </w:p>
    <w:p w:rsidR="001B4C3C" w:rsidRDefault="001B4C3C" w:rsidP="001B4C3C">
      <w:pPr>
        <w:spacing w:line="360" w:lineRule="auto"/>
        <w:jc w:val="both"/>
        <w:rPr>
          <w:sz w:val="28"/>
          <w:szCs w:val="28"/>
        </w:rPr>
      </w:pPr>
    </w:p>
    <w:p w:rsidR="001B4C3C" w:rsidRDefault="001B4C3C" w:rsidP="001B4C3C">
      <w:pPr>
        <w:spacing w:line="360" w:lineRule="auto"/>
        <w:jc w:val="both"/>
        <w:rPr>
          <w:sz w:val="28"/>
          <w:szCs w:val="28"/>
        </w:rPr>
      </w:pPr>
    </w:p>
    <w:p w:rsidR="001B4C3C" w:rsidRDefault="001B4C3C" w:rsidP="001B4C3C">
      <w:pPr>
        <w:spacing w:line="360" w:lineRule="auto"/>
        <w:jc w:val="both"/>
        <w:rPr>
          <w:sz w:val="28"/>
          <w:szCs w:val="28"/>
        </w:rPr>
      </w:pPr>
    </w:p>
    <w:p w:rsidR="001B4C3C" w:rsidRDefault="001B4C3C" w:rsidP="001B4C3C">
      <w:pPr>
        <w:spacing w:line="360" w:lineRule="auto"/>
        <w:jc w:val="both"/>
        <w:rPr>
          <w:sz w:val="28"/>
          <w:szCs w:val="28"/>
        </w:rPr>
      </w:pPr>
    </w:p>
    <w:p w:rsidR="001B4C3C" w:rsidRPr="001B4C3C" w:rsidRDefault="001B4C3C" w:rsidP="001B4C3C">
      <w:pPr>
        <w:pStyle w:val="a4"/>
        <w:spacing w:before="0" w:beforeAutospacing="0" w:after="0" w:afterAutospacing="0" w:line="360" w:lineRule="auto"/>
        <w:ind w:firstLine="709"/>
        <w:contextualSpacing/>
        <w:jc w:val="both"/>
        <w:rPr>
          <w:sz w:val="28"/>
          <w:szCs w:val="28"/>
        </w:rPr>
      </w:pPr>
      <w:r w:rsidRPr="001B4C3C">
        <w:rPr>
          <w:sz w:val="28"/>
          <w:szCs w:val="28"/>
        </w:rPr>
        <w:t xml:space="preserve">Основными документами Банка России по регулированию уровня финансовых рисков кредитных организаций являются: </w:t>
      </w:r>
    </w:p>
    <w:p w:rsidR="001B4C3C" w:rsidRDefault="001B4C3C" w:rsidP="001B4C3C">
      <w:pPr>
        <w:numPr>
          <w:ilvl w:val="0"/>
          <w:numId w:val="12"/>
        </w:numPr>
        <w:spacing w:line="360" w:lineRule="auto"/>
        <w:ind w:left="714" w:hanging="357"/>
        <w:contextualSpacing/>
        <w:jc w:val="both"/>
        <w:rPr>
          <w:sz w:val="28"/>
          <w:szCs w:val="28"/>
        </w:rPr>
      </w:pPr>
      <w:r w:rsidRPr="001B4C3C">
        <w:rPr>
          <w:sz w:val="28"/>
          <w:szCs w:val="28"/>
        </w:rPr>
        <w:t xml:space="preserve">Инструкция Банка России от 16.01.2004 № 110-И «Об обязательных нормативах банков»; </w:t>
      </w:r>
    </w:p>
    <w:p w:rsidR="001B4C3C" w:rsidRDefault="001B4C3C" w:rsidP="001B4C3C">
      <w:pPr>
        <w:numPr>
          <w:ilvl w:val="0"/>
          <w:numId w:val="12"/>
        </w:numPr>
        <w:spacing w:line="360" w:lineRule="auto"/>
        <w:ind w:left="714" w:hanging="357"/>
        <w:contextualSpacing/>
        <w:jc w:val="both"/>
        <w:rPr>
          <w:sz w:val="28"/>
          <w:szCs w:val="28"/>
        </w:rPr>
      </w:pPr>
      <w:r w:rsidRPr="001B4C3C">
        <w:rPr>
          <w:sz w:val="28"/>
          <w:szCs w:val="28"/>
        </w:rPr>
        <w:t xml:space="preserve">Положение Банка России от 24.09.1999 № 89-П «О порядке расчета кредитными организациями размера рыночных рисков»; </w:t>
      </w:r>
    </w:p>
    <w:p w:rsidR="001B4C3C" w:rsidRDefault="001B4C3C" w:rsidP="001B4C3C">
      <w:pPr>
        <w:numPr>
          <w:ilvl w:val="0"/>
          <w:numId w:val="12"/>
        </w:numPr>
        <w:spacing w:line="360" w:lineRule="auto"/>
        <w:ind w:left="714" w:hanging="357"/>
        <w:contextualSpacing/>
        <w:jc w:val="both"/>
        <w:rPr>
          <w:sz w:val="28"/>
          <w:szCs w:val="28"/>
        </w:rPr>
      </w:pPr>
      <w:r w:rsidRPr="001B4C3C">
        <w:rPr>
          <w:sz w:val="28"/>
          <w:szCs w:val="28"/>
        </w:rPr>
        <w:t xml:space="preserve">Инструкция Банка России от 15.07.2004 № 124-И «Об установлении размеров </w:t>
      </w:r>
      <w:r>
        <w:rPr>
          <w:sz w:val="28"/>
          <w:szCs w:val="28"/>
        </w:rPr>
        <w:t>(лимитов) открытых валютных по</w:t>
      </w:r>
      <w:r w:rsidRPr="001B4C3C">
        <w:rPr>
          <w:sz w:val="28"/>
          <w:szCs w:val="28"/>
        </w:rPr>
        <w:t xml:space="preserve">зиций, методике их расчета и особенностях осуществления надзора за их соблюдением кредитными организациями»; </w:t>
      </w:r>
    </w:p>
    <w:p w:rsidR="001B4C3C" w:rsidRDefault="001B4C3C" w:rsidP="001B4C3C">
      <w:pPr>
        <w:numPr>
          <w:ilvl w:val="0"/>
          <w:numId w:val="12"/>
        </w:numPr>
        <w:spacing w:line="360" w:lineRule="auto"/>
        <w:ind w:left="714" w:hanging="357"/>
        <w:contextualSpacing/>
        <w:jc w:val="both"/>
        <w:rPr>
          <w:sz w:val="28"/>
          <w:szCs w:val="28"/>
        </w:rPr>
      </w:pPr>
      <w:r w:rsidRPr="001B4C3C">
        <w:rPr>
          <w:sz w:val="28"/>
          <w:szCs w:val="28"/>
        </w:rPr>
        <w:t xml:space="preserve">Письмо Банка России от 27.07.2000 № 139-Т «О рекомендациях по анализу ликвидности кредитных организаций»; </w:t>
      </w:r>
    </w:p>
    <w:p w:rsidR="001B4C3C" w:rsidRDefault="001B4C3C" w:rsidP="001B4C3C">
      <w:pPr>
        <w:numPr>
          <w:ilvl w:val="0"/>
          <w:numId w:val="12"/>
        </w:numPr>
        <w:spacing w:line="360" w:lineRule="auto"/>
        <w:ind w:left="714" w:hanging="357"/>
        <w:contextualSpacing/>
        <w:jc w:val="both"/>
        <w:rPr>
          <w:sz w:val="28"/>
          <w:szCs w:val="28"/>
        </w:rPr>
      </w:pPr>
      <w:r w:rsidRPr="001B4C3C">
        <w:rPr>
          <w:sz w:val="28"/>
          <w:szCs w:val="28"/>
        </w:rPr>
        <w:t xml:space="preserve">Указание Банка России от 16.01.2004 № 1379-У «Об оценке финансовой устойчивости банка в целях признания ее достаточной для участия в системе страхования вкладов»; </w:t>
      </w:r>
    </w:p>
    <w:p w:rsidR="001B4C3C" w:rsidRPr="001B4C3C" w:rsidRDefault="001B4C3C" w:rsidP="001B4C3C">
      <w:pPr>
        <w:numPr>
          <w:ilvl w:val="0"/>
          <w:numId w:val="12"/>
        </w:numPr>
        <w:spacing w:line="360" w:lineRule="auto"/>
        <w:ind w:left="714" w:hanging="357"/>
        <w:contextualSpacing/>
        <w:jc w:val="both"/>
        <w:rPr>
          <w:sz w:val="28"/>
          <w:szCs w:val="28"/>
        </w:rPr>
      </w:pPr>
      <w:r w:rsidRPr="001B4C3C">
        <w:rPr>
          <w:sz w:val="28"/>
          <w:szCs w:val="28"/>
        </w:rPr>
        <w:t xml:space="preserve">Указание Банка России от 31.03.2000 № 766-У «О критериях определения финансового состояния кредитных организаций». </w:t>
      </w:r>
    </w:p>
    <w:p w:rsidR="001B4C3C" w:rsidRDefault="001B4C3C" w:rsidP="001B4C3C">
      <w:pPr>
        <w:spacing w:line="360" w:lineRule="auto"/>
        <w:jc w:val="both"/>
        <w:rPr>
          <w:sz w:val="28"/>
          <w:szCs w:val="28"/>
        </w:rPr>
      </w:pPr>
    </w:p>
    <w:p w:rsidR="001B4C3C" w:rsidRDefault="001B4C3C" w:rsidP="001B4C3C">
      <w:pPr>
        <w:spacing w:line="360" w:lineRule="auto"/>
        <w:jc w:val="both"/>
        <w:rPr>
          <w:sz w:val="28"/>
          <w:szCs w:val="28"/>
        </w:rPr>
      </w:pPr>
    </w:p>
    <w:p w:rsidR="001B4C3C" w:rsidRPr="001B4C3C" w:rsidRDefault="00D02CA3" w:rsidP="001B4C3C">
      <w:pPr>
        <w:spacing w:line="360" w:lineRule="auto"/>
        <w:jc w:val="center"/>
        <w:rPr>
          <w:b/>
          <w:sz w:val="28"/>
          <w:szCs w:val="28"/>
        </w:rPr>
      </w:pPr>
      <w:r>
        <w:rPr>
          <w:b/>
          <w:noProof/>
          <w:sz w:val="28"/>
          <w:szCs w:val="28"/>
        </w:rPr>
        <w:lastRenderedPageBreak/>
        <w:drawing>
          <wp:anchor distT="0" distB="0" distL="114300" distR="114300" simplePos="0" relativeHeight="251659264" behindDoc="0" locked="0" layoutInCell="1" allowOverlap="1">
            <wp:simplePos x="0" y="0"/>
            <wp:positionH relativeFrom="column">
              <wp:posOffset>15240</wp:posOffset>
            </wp:positionH>
            <wp:positionV relativeFrom="paragraph">
              <wp:posOffset>523875</wp:posOffset>
            </wp:positionV>
            <wp:extent cx="6086475" cy="2667000"/>
            <wp:effectExtent l="19050" t="0" r="9525" b="0"/>
            <wp:wrapThrough wrapText="bothSides">
              <wp:wrapPolygon edited="0">
                <wp:start x="-68" y="0"/>
                <wp:lineTo x="-68" y="21446"/>
                <wp:lineTo x="21634" y="21446"/>
                <wp:lineTo x="21634" y="0"/>
                <wp:lineTo x="-68" y="0"/>
              </wp:wrapPolygon>
            </wp:wrapThrough>
            <wp:docPr id="5" name="Рисунок 5" descr="F:\институт\Новая папка\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институт\Новая папка\1.bmp"/>
                    <pic:cNvPicPr>
                      <a:picLocks noChangeAspect="1" noChangeArrowheads="1"/>
                    </pic:cNvPicPr>
                  </pic:nvPicPr>
                  <pic:blipFill>
                    <a:blip r:embed="rId8"/>
                    <a:srcRect/>
                    <a:stretch>
                      <a:fillRect/>
                    </a:stretch>
                  </pic:blipFill>
                  <pic:spPr bwMode="auto">
                    <a:xfrm>
                      <a:off x="0" y="0"/>
                      <a:ext cx="6086475" cy="2667000"/>
                    </a:xfrm>
                    <a:prstGeom prst="rect">
                      <a:avLst/>
                    </a:prstGeom>
                    <a:noFill/>
                    <a:ln w="9525">
                      <a:noFill/>
                      <a:miter lim="800000"/>
                      <a:headEnd/>
                      <a:tailEnd/>
                    </a:ln>
                  </pic:spPr>
                </pic:pic>
              </a:graphicData>
            </a:graphic>
          </wp:anchor>
        </w:drawing>
      </w:r>
      <w:r w:rsidR="001B4C3C" w:rsidRPr="001B4C3C">
        <w:rPr>
          <w:b/>
          <w:sz w:val="28"/>
          <w:szCs w:val="28"/>
        </w:rPr>
        <w:t>Анализ финансовый отчетности ОАО «Россельхозбанк»</w:t>
      </w:r>
    </w:p>
    <w:p w:rsidR="001B4C3C" w:rsidRDefault="001B4C3C" w:rsidP="001B4C3C">
      <w:pPr>
        <w:spacing w:line="360" w:lineRule="auto"/>
        <w:jc w:val="both"/>
        <w:rPr>
          <w:sz w:val="28"/>
          <w:szCs w:val="28"/>
        </w:rPr>
      </w:pPr>
    </w:p>
    <w:p w:rsidR="00D02CA3" w:rsidRDefault="00D02CA3" w:rsidP="001B4C3C">
      <w:pPr>
        <w:spacing w:line="360" w:lineRule="auto"/>
        <w:jc w:val="both"/>
        <w:rPr>
          <w:sz w:val="28"/>
          <w:szCs w:val="28"/>
        </w:rPr>
      </w:pPr>
      <w:r>
        <w:rPr>
          <w:sz w:val="28"/>
          <w:szCs w:val="28"/>
        </w:rPr>
        <w:t>Рис. 1 Структура активов</w:t>
      </w:r>
    </w:p>
    <w:p w:rsidR="00D02CA3" w:rsidRDefault="00D02CA3" w:rsidP="00E70E70">
      <w:pPr>
        <w:spacing w:line="360" w:lineRule="auto"/>
        <w:ind w:firstLine="708"/>
        <w:jc w:val="both"/>
        <w:rPr>
          <w:sz w:val="28"/>
          <w:szCs w:val="28"/>
        </w:rPr>
      </w:pPr>
      <w:r>
        <w:rPr>
          <w:sz w:val="28"/>
          <w:szCs w:val="28"/>
        </w:rPr>
        <w:t>Как мы видим на рисунке 1, увеличил</w:t>
      </w:r>
      <w:r w:rsidR="00E70E70">
        <w:rPr>
          <w:sz w:val="28"/>
          <w:szCs w:val="28"/>
        </w:rPr>
        <w:t>ась сумма</w:t>
      </w:r>
      <w:r>
        <w:rPr>
          <w:sz w:val="28"/>
          <w:szCs w:val="28"/>
        </w:rPr>
        <w:t xml:space="preserve"> выдач</w:t>
      </w:r>
      <w:r w:rsidR="00E70E70">
        <w:rPr>
          <w:sz w:val="28"/>
          <w:szCs w:val="28"/>
        </w:rPr>
        <w:t>и</w:t>
      </w:r>
      <w:r>
        <w:rPr>
          <w:sz w:val="28"/>
          <w:szCs w:val="28"/>
        </w:rPr>
        <w:t xml:space="preserve"> кредитов физическим лицам</w:t>
      </w:r>
      <w:r w:rsidR="00E70E70">
        <w:rPr>
          <w:sz w:val="28"/>
          <w:szCs w:val="28"/>
        </w:rPr>
        <w:t xml:space="preserve"> на 94261 млн. рублей, увеличилась сумма выдачи кредитов юридическим лицам 7670 млн. рублей, но с этим уменьшилась сумма межбанковских кредитов на 1283 млн. рублей.</w:t>
      </w:r>
    </w:p>
    <w:p w:rsidR="00E70E70" w:rsidRDefault="00E70E70" w:rsidP="00E70E70">
      <w:pPr>
        <w:spacing w:line="360" w:lineRule="auto"/>
        <w:ind w:firstLine="708"/>
        <w:jc w:val="both"/>
        <w:rPr>
          <w:sz w:val="28"/>
          <w:szCs w:val="28"/>
        </w:rPr>
      </w:pPr>
    </w:p>
    <w:p w:rsidR="00E70E70" w:rsidRDefault="00E70E70" w:rsidP="001B4C3C">
      <w:pPr>
        <w:spacing w:line="360" w:lineRule="auto"/>
        <w:jc w:val="both"/>
        <w:rPr>
          <w:sz w:val="28"/>
          <w:szCs w:val="28"/>
        </w:rPr>
      </w:pPr>
      <w:r>
        <w:rPr>
          <w:noProof/>
          <w:sz w:val="28"/>
          <w:szCs w:val="28"/>
        </w:rPr>
        <w:drawing>
          <wp:inline distT="0" distB="0" distL="0" distR="0">
            <wp:extent cx="6086475" cy="3724275"/>
            <wp:effectExtent l="19050" t="0" r="9525" b="0"/>
            <wp:docPr id="6" name="Рисунок 6" descr="F:\институт\Новая папка\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институт\Новая папка\2.bmp"/>
                    <pic:cNvPicPr>
                      <a:picLocks noChangeAspect="1" noChangeArrowheads="1"/>
                    </pic:cNvPicPr>
                  </pic:nvPicPr>
                  <pic:blipFill>
                    <a:blip r:embed="rId9"/>
                    <a:srcRect/>
                    <a:stretch>
                      <a:fillRect/>
                    </a:stretch>
                  </pic:blipFill>
                  <pic:spPr bwMode="auto">
                    <a:xfrm>
                      <a:off x="0" y="0"/>
                      <a:ext cx="6086475" cy="3724275"/>
                    </a:xfrm>
                    <a:prstGeom prst="rect">
                      <a:avLst/>
                    </a:prstGeom>
                    <a:noFill/>
                    <a:ln w="9525">
                      <a:noFill/>
                      <a:miter lim="800000"/>
                      <a:headEnd/>
                      <a:tailEnd/>
                    </a:ln>
                  </pic:spPr>
                </pic:pic>
              </a:graphicData>
            </a:graphic>
          </wp:inline>
        </w:drawing>
      </w:r>
    </w:p>
    <w:p w:rsidR="00E70E70" w:rsidRDefault="00E70E70" w:rsidP="00E70E70">
      <w:pPr>
        <w:tabs>
          <w:tab w:val="left" w:pos="2895"/>
        </w:tabs>
        <w:rPr>
          <w:sz w:val="28"/>
          <w:szCs w:val="28"/>
        </w:rPr>
      </w:pPr>
      <w:r>
        <w:rPr>
          <w:sz w:val="28"/>
          <w:szCs w:val="28"/>
        </w:rPr>
        <w:t xml:space="preserve">Рис. 2 Структура обязательств </w:t>
      </w:r>
    </w:p>
    <w:p w:rsidR="00E70E70" w:rsidRDefault="00E70E70" w:rsidP="00E70E70">
      <w:pPr>
        <w:tabs>
          <w:tab w:val="left" w:pos="2895"/>
        </w:tabs>
        <w:spacing w:line="360" w:lineRule="auto"/>
        <w:contextualSpacing/>
        <w:jc w:val="both"/>
        <w:rPr>
          <w:sz w:val="28"/>
          <w:szCs w:val="28"/>
        </w:rPr>
      </w:pPr>
      <w:r>
        <w:rPr>
          <w:noProof/>
          <w:sz w:val="28"/>
          <w:szCs w:val="28"/>
        </w:rPr>
        <w:lastRenderedPageBreak/>
        <w:drawing>
          <wp:anchor distT="0" distB="0" distL="114300" distR="114300" simplePos="0" relativeHeight="251660288" behindDoc="0" locked="0" layoutInCell="1" allowOverlap="1">
            <wp:simplePos x="0" y="0"/>
            <wp:positionH relativeFrom="column">
              <wp:posOffset>-127635</wp:posOffset>
            </wp:positionH>
            <wp:positionV relativeFrom="paragraph">
              <wp:posOffset>1247775</wp:posOffset>
            </wp:positionV>
            <wp:extent cx="6200775" cy="4429125"/>
            <wp:effectExtent l="19050" t="0" r="9525" b="0"/>
            <wp:wrapThrough wrapText="bothSides">
              <wp:wrapPolygon edited="0">
                <wp:start x="-66" y="0"/>
                <wp:lineTo x="-66" y="21554"/>
                <wp:lineTo x="21633" y="21554"/>
                <wp:lineTo x="21633" y="0"/>
                <wp:lineTo x="-66" y="0"/>
              </wp:wrapPolygon>
            </wp:wrapThrough>
            <wp:docPr id="7" name="Рисунок 7" descr="C:\Documents and Settings\777\Рабочий стол\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777\Рабочий стол\1.bmp"/>
                    <pic:cNvPicPr>
                      <a:picLocks noChangeAspect="1" noChangeArrowheads="1"/>
                    </pic:cNvPicPr>
                  </pic:nvPicPr>
                  <pic:blipFill>
                    <a:blip r:embed="rId10"/>
                    <a:srcRect/>
                    <a:stretch>
                      <a:fillRect/>
                    </a:stretch>
                  </pic:blipFill>
                  <pic:spPr bwMode="auto">
                    <a:xfrm>
                      <a:off x="0" y="0"/>
                      <a:ext cx="6200775" cy="4429125"/>
                    </a:xfrm>
                    <a:prstGeom prst="rect">
                      <a:avLst/>
                    </a:prstGeom>
                    <a:noFill/>
                    <a:ln w="9525">
                      <a:noFill/>
                      <a:miter lim="800000"/>
                      <a:headEnd/>
                      <a:tailEnd/>
                    </a:ln>
                  </pic:spPr>
                </pic:pic>
              </a:graphicData>
            </a:graphic>
          </wp:anchor>
        </w:drawing>
      </w:r>
      <w:r>
        <w:rPr>
          <w:sz w:val="28"/>
          <w:szCs w:val="28"/>
        </w:rPr>
        <w:t xml:space="preserve">              Исходя из рисунка 2, можно сказать, что увеличились привлекаемые денежные средства, за счет депозитов физ.лиц на 61929 млн. рублей и депозитов юр.лиц 21659 млн.рублей. Также мы видим прирост денежных средств на счетах клиентов на 14758 млн. рублей.</w:t>
      </w:r>
    </w:p>
    <w:p w:rsidR="00E70E70" w:rsidRDefault="00E70E70" w:rsidP="00E70E70">
      <w:pPr>
        <w:tabs>
          <w:tab w:val="left" w:pos="2895"/>
        </w:tabs>
        <w:rPr>
          <w:sz w:val="28"/>
          <w:szCs w:val="28"/>
        </w:rPr>
      </w:pPr>
    </w:p>
    <w:p w:rsidR="00E70E70" w:rsidRDefault="00E70E70" w:rsidP="00E70E70">
      <w:pPr>
        <w:tabs>
          <w:tab w:val="left" w:pos="2895"/>
        </w:tabs>
        <w:rPr>
          <w:sz w:val="28"/>
          <w:szCs w:val="28"/>
        </w:rPr>
      </w:pPr>
      <w:r>
        <w:rPr>
          <w:sz w:val="28"/>
          <w:szCs w:val="28"/>
        </w:rPr>
        <w:t>Рис.3 Выданные кредиты</w:t>
      </w:r>
    </w:p>
    <w:p w:rsidR="000C0D86" w:rsidRDefault="000C0D86" w:rsidP="00E70E70">
      <w:pPr>
        <w:tabs>
          <w:tab w:val="left" w:pos="2895"/>
        </w:tabs>
        <w:rPr>
          <w:sz w:val="28"/>
          <w:szCs w:val="28"/>
        </w:rPr>
      </w:pPr>
    </w:p>
    <w:p w:rsidR="000C0D86" w:rsidRDefault="00E70E70" w:rsidP="009A1559">
      <w:pPr>
        <w:tabs>
          <w:tab w:val="left" w:pos="2895"/>
        </w:tabs>
        <w:spacing w:line="360" w:lineRule="auto"/>
        <w:ind w:firstLine="709"/>
        <w:contextualSpacing/>
        <w:jc w:val="both"/>
        <w:rPr>
          <w:sz w:val="28"/>
          <w:szCs w:val="28"/>
        </w:rPr>
      </w:pPr>
      <w:r>
        <w:rPr>
          <w:sz w:val="28"/>
          <w:szCs w:val="28"/>
        </w:rPr>
        <w:t xml:space="preserve"> </w:t>
      </w:r>
      <w:r w:rsidR="009A1559">
        <w:rPr>
          <w:sz w:val="28"/>
          <w:szCs w:val="28"/>
        </w:rPr>
        <w:t>Исходя из рисунка 3, мы видим увеличение выдачи кредитов физ.лицам и юр.лицам. Также мы видим, что увеличилась сумма просроченных кредитов у физ.лиц 1184 млн. рублей, у юр.лиц на 18044 млн. рублей. Также видим, что банк увеличивает резерв, который стал на 2491 млн. рублей больше.</w:t>
      </w:r>
    </w:p>
    <w:p w:rsidR="00E70E70" w:rsidRDefault="009A1559" w:rsidP="009A1559">
      <w:pPr>
        <w:tabs>
          <w:tab w:val="left" w:pos="2895"/>
        </w:tabs>
        <w:spacing w:line="360" w:lineRule="auto"/>
        <w:ind w:firstLine="709"/>
        <w:contextualSpacing/>
        <w:jc w:val="both"/>
        <w:rPr>
          <w:sz w:val="28"/>
          <w:szCs w:val="28"/>
        </w:rPr>
      </w:pPr>
      <w:r>
        <w:rPr>
          <w:sz w:val="28"/>
          <w:szCs w:val="28"/>
        </w:rPr>
        <w:t xml:space="preserve"> </w:t>
      </w:r>
    </w:p>
    <w:p w:rsidR="000A17D0" w:rsidRDefault="000A17D0" w:rsidP="009A1559">
      <w:pPr>
        <w:tabs>
          <w:tab w:val="left" w:pos="2895"/>
        </w:tabs>
        <w:spacing w:line="360" w:lineRule="auto"/>
        <w:ind w:firstLine="709"/>
        <w:contextualSpacing/>
        <w:jc w:val="both"/>
        <w:rPr>
          <w:sz w:val="28"/>
          <w:szCs w:val="28"/>
        </w:rPr>
      </w:pPr>
    </w:p>
    <w:p w:rsidR="000A17D0" w:rsidRDefault="000A17D0" w:rsidP="009A1559">
      <w:pPr>
        <w:tabs>
          <w:tab w:val="left" w:pos="2895"/>
        </w:tabs>
        <w:spacing w:line="360" w:lineRule="auto"/>
        <w:ind w:firstLine="709"/>
        <w:contextualSpacing/>
        <w:jc w:val="both"/>
        <w:rPr>
          <w:sz w:val="28"/>
          <w:szCs w:val="28"/>
        </w:rPr>
      </w:pPr>
    </w:p>
    <w:p w:rsidR="000A17D0" w:rsidRDefault="000A17D0" w:rsidP="000A17D0">
      <w:pPr>
        <w:tabs>
          <w:tab w:val="left" w:pos="2895"/>
        </w:tabs>
        <w:spacing w:line="360" w:lineRule="auto"/>
        <w:contextualSpacing/>
        <w:jc w:val="both"/>
        <w:rPr>
          <w:sz w:val="28"/>
          <w:szCs w:val="28"/>
        </w:rPr>
      </w:pPr>
    </w:p>
    <w:p w:rsidR="000A17D0" w:rsidRDefault="000A17D0" w:rsidP="009A1559">
      <w:pPr>
        <w:tabs>
          <w:tab w:val="left" w:pos="2895"/>
        </w:tabs>
        <w:spacing w:line="360" w:lineRule="auto"/>
        <w:ind w:firstLine="709"/>
        <w:contextualSpacing/>
        <w:jc w:val="both"/>
        <w:rPr>
          <w:sz w:val="28"/>
          <w:szCs w:val="28"/>
        </w:rPr>
      </w:pPr>
      <w:r>
        <w:rPr>
          <w:noProof/>
          <w:sz w:val="28"/>
          <w:szCs w:val="28"/>
        </w:rPr>
        <w:lastRenderedPageBreak/>
        <w:drawing>
          <wp:anchor distT="0" distB="0" distL="114300" distR="114300" simplePos="0" relativeHeight="251662336" behindDoc="0" locked="0" layoutInCell="1" allowOverlap="1">
            <wp:simplePos x="0" y="0"/>
            <wp:positionH relativeFrom="column">
              <wp:posOffset>-184785</wp:posOffset>
            </wp:positionH>
            <wp:positionV relativeFrom="paragraph">
              <wp:posOffset>-152400</wp:posOffset>
            </wp:positionV>
            <wp:extent cx="5940425" cy="3790950"/>
            <wp:effectExtent l="19050" t="0" r="3175" b="0"/>
            <wp:wrapThrough wrapText="bothSides">
              <wp:wrapPolygon edited="0">
                <wp:start x="-69" y="0"/>
                <wp:lineTo x="-69" y="21491"/>
                <wp:lineTo x="21612" y="21491"/>
                <wp:lineTo x="21612" y="0"/>
                <wp:lineTo x="-69" y="0"/>
              </wp:wrapPolygon>
            </wp:wrapThrough>
            <wp:docPr id="3" name="Рисунок 8" descr="C:\Documents and Settings\777\Рабочий стол\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777\Рабочий стол\2.bmp"/>
                    <pic:cNvPicPr>
                      <a:picLocks noChangeAspect="1" noChangeArrowheads="1"/>
                    </pic:cNvPicPr>
                  </pic:nvPicPr>
                  <pic:blipFill>
                    <a:blip r:embed="rId11"/>
                    <a:srcRect/>
                    <a:stretch>
                      <a:fillRect/>
                    </a:stretch>
                  </pic:blipFill>
                  <pic:spPr bwMode="auto">
                    <a:xfrm>
                      <a:off x="0" y="0"/>
                      <a:ext cx="5940425" cy="3790950"/>
                    </a:xfrm>
                    <a:prstGeom prst="rect">
                      <a:avLst/>
                    </a:prstGeom>
                    <a:noFill/>
                    <a:ln w="9525">
                      <a:noFill/>
                      <a:miter lim="800000"/>
                      <a:headEnd/>
                      <a:tailEnd/>
                    </a:ln>
                  </pic:spPr>
                </pic:pic>
              </a:graphicData>
            </a:graphic>
          </wp:anchor>
        </w:drawing>
      </w:r>
      <w:r>
        <w:rPr>
          <w:sz w:val="28"/>
          <w:szCs w:val="28"/>
        </w:rPr>
        <w:t>Рис. 4 Межбанковские кредиты</w:t>
      </w:r>
    </w:p>
    <w:p w:rsidR="00903A74" w:rsidRDefault="00903A74" w:rsidP="009A1559">
      <w:pPr>
        <w:tabs>
          <w:tab w:val="left" w:pos="2895"/>
        </w:tabs>
        <w:spacing w:line="360" w:lineRule="auto"/>
        <w:ind w:firstLine="709"/>
        <w:contextualSpacing/>
        <w:jc w:val="both"/>
        <w:rPr>
          <w:sz w:val="28"/>
          <w:szCs w:val="28"/>
        </w:rPr>
      </w:pPr>
      <w:r>
        <w:rPr>
          <w:noProof/>
          <w:sz w:val="28"/>
          <w:szCs w:val="28"/>
        </w:rPr>
        <w:drawing>
          <wp:anchor distT="0" distB="0" distL="114300" distR="114300" simplePos="0" relativeHeight="251663360" behindDoc="0" locked="0" layoutInCell="1" allowOverlap="1">
            <wp:simplePos x="0" y="0"/>
            <wp:positionH relativeFrom="column">
              <wp:posOffset>-184785</wp:posOffset>
            </wp:positionH>
            <wp:positionV relativeFrom="paragraph">
              <wp:posOffset>1137920</wp:posOffset>
            </wp:positionV>
            <wp:extent cx="5581650" cy="3533775"/>
            <wp:effectExtent l="19050" t="0" r="0" b="0"/>
            <wp:wrapThrough wrapText="bothSides">
              <wp:wrapPolygon edited="0">
                <wp:start x="-74" y="0"/>
                <wp:lineTo x="-74" y="21542"/>
                <wp:lineTo x="21600" y="21542"/>
                <wp:lineTo x="21600" y="0"/>
                <wp:lineTo x="-74" y="0"/>
              </wp:wrapPolygon>
            </wp:wrapThrough>
            <wp:docPr id="9" name="Рисунок 9" descr="C:\Documents and Settings\777\Рабочий стол\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777\Рабочий стол\3.bmp"/>
                    <pic:cNvPicPr>
                      <a:picLocks noChangeAspect="1" noChangeArrowheads="1"/>
                    </pic:cNvPicPr>
                  </pic:nvPicPr>
                  <pic:blipFill>
                    <a:blip r:embed="rId12"/>
                    <a:srcRect/>
                    <a:stretch>
                      <a:fillRect/>
                    </a:stretch>
                  </pic:blipFill>
                  <pic:spPr bwMode="auto">
                    <a:xfrm>
                      <a:off x="0" y="0"/>
                      <a:ext cx="5581650" cy="3533775"/>
                    </a:xfrm>
                    <a:prstGeom prst="rect">
                      <a:avLst/>
                    </a:prstGeom>
                    <a:noFill/>
                    <a:ln w="9525">
                      <a:noFill/>
                      <a:miter lim="800000"/>
                      <a:headEnd/>
                      <a:tailEnd/>
                    </a:ln>
                  </pic:spPr>
                </pic:pic>
              </a:graphicData>
            </a:graphic>
          </wp:anchor>
        </w:drawing>
      </w:r>
      <w:r w:rsidR="000A17D0">
        <w:rPr>
          <w:sz w:val="28"/>
          <w:szCs w:val="28"/>
        </w:rPr>
        <w:t xml:space="preserve">На рисунке 4 мы видим, что произошло сокращение выдачи межбанковских кредитов. Выдача </w:t>
      </w:r>
      <w:r w:rsidR="006C6BF3">
        <w:rPr>
          <w:sz w:val="28"/>
          <w:szCs w:val="28"/>
        </w:rPr>
        <w:t>МБК резидентам уменьшилась на 1320798 тыс.рублей, также как и выдача МБК нерезидентам уменьшилась на 3514719 тыс.рублей.</w:t>
      </w:r>
    </w:p>
    <w:p w:rsidR="000A17D0" w:rsidRDefault="006C6BF3" w:rsidP="009A1559">
      <w:pPr>
        <w:tabs>
          <w:tab w:val="left" w:pos="2895"/>
        </w:tabs>
        <w:spacing w:line="360" w:lineRule="auto"/>
        <w:ind w:firstLine="709"/>
        <w:contextualSpacing/>
        <w:jc w:val="both"/>
        <w:rPr>
          <w:sz w:val="28"/>
          <w:szCs w:val="28"/>
        </w:rPr>
      </w:pPr>
      <w:r>
        <w:rPr>
          <w:sz w:val="28"/>
          <w:szCs w:val="28"/>
        </w:rPr>
        <w:t xml:space="preserve"> </w:t>
      </w:r>
    </w:p>
    <w:p w:rsidR="000A17D0" w:rsidRDefault="000A17D0" w:rsidP="009A1559">
      <w:pPr>
        <w:tabs>
          <w:tab w:val="left" w:pos="2895"/>
        </w:tabs>
        <w:spacing w:line="360" w:lineRule="auto"/>
        <w:ind w:firstLine="709"/>
        <w:contextualSpacing/>
        <w:jc w:val="both"/>
        <w:rPr>
          <w:sz w:val="28"/>
          <w:szCs w:val="28"/>
        </w:rPr>
      </w:pPr>
    </w:p>
    <w:p w:rsidR="000A17D0" w:rsidRDefault="000A17D0" w:rsidP="009A1559">
      <w:pPr>
        <w:tabs>
          <w:tab w:val="left" w:pos="2895"/>
        </w:tabs>
        <w:spacing w:line="360" w:lineRule="auto"/>
        <w:ind w:firstLine="709"/>
        <w:contextualSpacing/>
        <w:jc w:val="both"/>
        <w:rPr>
          <w:sz w:val="28"/>
          <w:szCs w:val="28"/>
        </w:rPr>
      </w:pPr>
    </w:p>
    <w:p w:rsidR="000A17D0" w:rsidRDefault="000A17D0" w:rsidP="009A1559">
      <w:pPr>
        <w:tabs>
          <w:tab w:val="left" w:pos="2895"/>
        </w:tabs>
        <w:spacing w:line="360" w:lineRule="auto"/>
        <w:ind w:firstLine="709"/>
        <w:contextualSpacing/>
        <w:jc w:val="both"/>
        <w:rPr>
          <w:sz w:val="28"/>
          <w:szCs w:val="28"/>
        </w:rPr>
      </w:pPr>
    </w:p>
    <w:p w:rsidR="00903A74" w:rsidRDefault="00903A74" w:rsidP="009A1559">
      <w:pPr>
        <w:tabs>
          <w:tab w:val="left" w:pos="2895"/>
        </w:tabs>
        <w:spacing w:line="360" w:lineRule="auto"/>
        <w:ind w:firstLine="709"/>
        <w:contextualSpacing/>
        <w:jc w:val="both"/>
        <w:rPr>
          <w:sz w:val="28"/>
          <w:szCs w:val="28"/>
        </w:rPr>
      </w:pPr>
    </w:p>
    <w:p w:rsidR="00903A74" w:rsidRDefault="00903A74" w:rsidP="009A1559">
      <w:pPr>
        <w:tabs>
          <w:tab w:val="left" w:pos="2895"/>
        </w:tabs>
        <w:spacing w:line="360" w:lineRule="auto"/>
        <w:ind w:firstLine="709"/>
        <w:contextualSpacing/>
        <w:jc w:val="both"/>
        <w:rPr>
          <w:sz w:val="28"/>
          <w:szCs w:val="28"/>
        </w:rPr>
      </w:pPr>
    </w:p>
    <w:p w:rsidR="00903A74" w:rsidRDefault="00903A74" w:rsidP="009A1559">
      <w:pPr>
        <w:tabs>
          <w:tab w:val="left" w:pos="2895"/>
        </w:tabs>
        <w:spacing w:line="360" w:lineRule="auto"/>
        <w:ind w:firstLine="709"/>
        <w:contextualSpacing/>
        <w:jc w:val="both"/>
        <w:rPr>
          <w:sz w:val="28"/>
          <w:szCs w:val="28"/>
        </w:rPr>
      </w:pPr>
    </w:p>
    <w:p w:rsidR="00903A74" w:rsidRDefault="00903A74" w:rsidP="009A1559">
      <w:pPr>
        <w:tabs>
          <w:tab w:val="left" w:pos="2895"/>
        </w:tabs>
        <w:spacing w:line="360" w:lineRule="auto"/>
        <w:ind w:firstLine="709"/>
        <w:contextualSpacing/>
        <w:jc w:val="both"/>
        <w:rPr>
          <w:sz w:val="28"/>
          <w:szCs w:val="28"/>
        </w:rPr>
      </w:pPr>
    </w:p>
    <w:p w:rsidR="00903A74" w:rsidRDefault="00903A74" w:rsidP="009A1559">
      <w:pPr>
        <w:tabs>
          <w:tab w:val="left" w:pos="2895"/>
        </w:tabs>
        <w:spacing w:line="360" w:lineRule="auto"/>
        <w:ind w:firstLine="709"/>
        <w:contextualSpacing/>
        <w:jc w:val="both"/>
        <w:rPr>
          <w:sz w:val="28"/>
          <w:szCs w:val="28"/>
        </w:rPr>
      </w:pPr>
    </w:p>
    <w:p w:rsidR="00903A74" w:rsidRDefault="00903A74" w:rsidP="009A1559">
      <w:pPr>
        <w:tabs>
          <w:tab w:val="left" w:pos="2895"/>
        </w:tabs>
        <w:spacing w:line="360" w:lineRule="auto"/>
        <w:ind w:firstLine="709"/>
        <w:contextualSpacing/>
        <w:jc w:val="both"/>
        <w:rPr>
          <w:sz w:val="28"/>
          <w:szCs w:val="28"/>
        </w:rPr>
      </w:pPr>
    </w:p>
    <w:p w:rsidR="00903A74" w:rsidRDefault="00903A74" w:rsidP="009A1559">
      <w:pPr>
        <w:tabs>
          <w:tab w:val="left" w:pos="2895"/>
        </w:tabs>
        <w:spacing w:line="360" w:lineRule="auto"/>
        <w:ind w:firstLine="709"/>
        <w:contextualSpacing/>
        <w:jc w:val="both"/>
        <w:rPr>
          <w:sz w:val="28"/>
          <w:szCs w:val="28"/>
        </w:rPr>
      </w:pPr>
    </w:p>
    <w:p w:rsidR="00903A74" w:rsidRDefault="00903A74" w:rsidP="00903A74">
      <w:pPr>
        <w:tabs>
          <w:tab w:val="left" w:pos="2895"/>
        </w:tabs>
        <w:spacing w:line="360" w:lineRule="auto"/>
        <w:ind w:firstLine="709"/>
        <w:contextualSpacing/>
        <w:jc w:val="both"/>
        <w:rPr>
          <w:sz w:val="28"/>
          <w:szCs w:val="28"/>
        </w:rPr>
      </w:pPr>
      <w:r>
        <w:rPr>
          <w:sz w:val="28"/>
          <w:szCs w:val="28"/>
        </w:rPr>
        <w:t>Рис. 5 Динамика собственного капитала</w:t>
      </w:r>
    </w:p>
    <w:p w:rsidR="00903A74" w:rsidRDefault="00903A74" w:rsidP="00903A74">
      <w:pPr>
        <w:tabs>
          <w:tab w:val="left" w:pos="2895"/>
        </w:tabs>
        <w:spacing w:line="360" w:lineRule="auto"/>
        <w:ind w:firstLine="709"/>
        <w:contextualSpacing/>
        <w:jc w:val="both"/>
        <w:rPr>
          <w:sz w:val="28"/>
          <w:szCs w:val="28"/>
        </w:rPr>
      </w:pPr>
      <w:r>
        <w:rPr>
          <w:sz w:val="28"/>
          <w:szCs w:val="28"/>
        </w:rPr>
        <w:lastRenderedPageBreak/>
        <w:t>Исходя из данных приведенных выше, можно сказать, что собственный капитал банка повысился с 1 января 2014 года до 1 октября 2014 года 592148 тыс. рублей, что является благоприятной тенденцией.</w:t>
      </w:r>
    </w:p>
    <w:p w:rsidR="00283A07" w:rsidRDefault="00283A07" w:rsidP="00283A07">
      <w:pPr>
        <w:tabs>
          <w:tab w:val="left" w:pos="2895"/>
        </w:tabs>
        <w:spacing w:line="360" w:lineRule="auto"/>
        <w:ind w:firstLine="709"/>
        <w:contextualSpacing/>
        <w:jc w:val="right"/>
        <w:rPr>
          <w:sz w:val="28"/>
          <w:szCs w:val="28"/>
        </w:rPr>
      </w:pPr>
      <w:r>
        <w:rPr>
          <w:sz w:val="28"/>
          <w:szCs w:val="28"/>
        </w:rPr>
        <w:t>Таблица 1 Прибыль ОАО «Россельхозбанк» поквартально</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tblPr>
      <w:tblGrid>
        <w:gridCol w:w="3883"/>
        <w:gridCol w:w="1417"/>
        <w:gridCol w:w="1276"/>
        <w:gridCol w:w="1345"/>
        <w:gridCol w:w="1544"/>
      </w:tblGrid>
      <w:tr w:rsidR="00283A07" w:rsidTr="00283A07">
        <w:trPr>
          <w:tblCellSpacing w:w="15" w:type="dxa"/>
        </w:trPr>
        <w:tc>
          <w:tcPr>
            <w:tcW w:w="3838" w:type="dxa"/>
            <w:vAlign w:val="center"/>
            <w:hideMark/>
          </w:tcPr>
          <w:p w:rsidR="00283A07" w:rsidRPr="00283A07" w:rsidRDefault="00283A07" w:rsidP="00283A07">
            <w:pPr>
              <w:contextualSpacing/>
              <w:jc w:val="right"/>
            </w:pPr>
            <w:r w:rsidRPr="00283A07">
              <w:rPr>
                <w:i/>
                <w:iCs/>
              </w:rPr>
              <w:t>(суммы в тысячах рублей)</w:t>
            </w:r>
            <w:r w:rsidRPr="00283A07">
              <w:t xml:space="preserve">    </w:t>
            </w:r>
          </w:p>
        </w:tc>
        <w:tc>
          <w:tcPr>
            <w:tcW w:w="1387" w:type="dxa"/>
            <w:vAlign w:val="center"/>
            <w:hideMark/>
          </w:tcPr>
          <w:p w:rsidR="00283A07" w:rsidRPr="00283A07" w:rsidRDefault="00283A07" w:rsidP="00283A07">
            <w:pPr>
              <w:contextualSpacing/>
              <w:jc w:val="center"/>
            </w:pPr>
            <w:r w:rsidRPr="00283A07">
              <w:t>1 кв. 2014</w:t>
            </w:r>
          </w:p>
        </w:tc>
        <w:tc>
          <w:tcPr>
            <w:tcW w:w="1246" w:type="dxa"/>
            <w:vAlign w:val="center"/>
            <w:hideMark/>
          </w:tcPr>
          <w:p w:rsidR="00283A07" w:rsidRPr="00283A07" w:rsidRDefault="00283A07" w:rsidP="00283A07">
            <w:pPr>
              <w:contextualSpacing/>
              <w:jc w:val="center"/>
            </w:pPr>
            <w:r w:rsidRPr="00283A07">
              <w:t>2 кв. 2014</w:t>
            </w:r>
          </w:p>
        </w:tc>
        <w:tc>
          <w:tcPr>
            <w:tcW w:w="1315" w:type="dxa"/>
            <w:vAlign w:val="center"/>
            <w:hideMark/>
          </w:tcPr>
          <w:p w:rsidR="00283A07" w:rsidRPr="00283A07" w:rsidRDefault="00283A07" w:rsidP="00283A07">
            <w:pPr>
              <w:contextualSpacing/>
              <w:jc w:val="center"/>
            </w:pPr>
            <w:r w:rsidRPr="00283A07">
              <w:t>3 кв. 2014</w:t>
            </w:r>
          </w:p>
        </w:tc>
        <w:tc>
          <w:tcPr>
            <w:tcW w:w="0" w:type="auto"/>
            <w:vAlign w:val="center"/>
            <w:hideMark/>
          </w:tcPr>
          <w:p w:rsidR="00283A07" w:rsidRPr="00283A07" w:rsidRDefault="00283A07" w:rsidP="00283A07">
            <w:pPr>
              <w:contextualSpacing/>
              <w:jc w:val="center"/>
            </w:pPr>
            <w:r w:rsidRPr="00283A07">
              <w:t>Всего с начала года</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Процентные доходы</w:t>
            </w:r>
          </w:p>
        </w:tc>
        <w:tc>
          <w:tcPr>
            <w:tcW w:w="1387" w:type="dxa"/>
            <w:vAlign w:val="center"/>
            <w:hideMark/>
          </w:tcPr>
          <w:p w:rsidR="00283A07" w:rsidRPr="00283A07" w:rsidRDefault="00283A07" w:rsidP="00283A07">
            <w:pPr>
              <w:contextualSpacing/>
            </w:pPr>
            <w:r w:rsidRPr="00283A07">
              <w:t>41 340 699</w:t>
            </w:r>
          </w:p>
        </w:tc>
        <w:tc>
          <w:tcPr>
            <w:tcW w:w="1246" w:type="dxa"/>
            <w:vAlign w:val="center"/>
            <w:hideMark/>
          </w:tcPr>
          <w:p w:rsidR="00283A07" w:rsidRPr="00283A07" w:rsidRDefault="00283A07" w:rsidP="00283A07">
            <w:pPr>
              <w:contextualSpacing/>
            </w:pPr>
            <w:r w:rsidRPr="00283A07">
              <w:t>38 961 097</w:t>
            </w:r>
          </w:p>
        </w:tc>
        <w:tc>
          <w:tcPr>
            <w:tcW w:w="1315" w:type="dxa"/>
            <w:vAlign w:val="center"/>
            <w:hideMark/>
          </w:tcPr>
          <w:p w:rsidR="00283A07" w:rsidRPr="00283A07" w:rsidRDefault="00283A07" w:rsidP="00283A07">
            <w:pPr>
              <w:contextualSpacing/>
            </w:pPr>
            <w:r w:rsidRPr="00283A07">
              <w:t>41 861 891</w:t>
            </w:r>
          </w:p>
        </w:tc>
        <w:tc>
          <w:tcPr>
            <w:tcW w:w="0" w:type="auto"/>
            <w:vAlign w:val="center"/>
            <w:hideMark/>
          </w:tcPr>
          <w:p w:rsidR="00283A07" w:rsidRPr="00283A07" w:rsidRDefault="00283A07" w:rsidP="00283A07">
            <w:pPr>
              <w:contextualSpacing/>
            </w:pPr>
            <w:r w:rsidRPr="00283A07">
              <w:t>122 163 687</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Процентные расходы</w:t>
            </w:r>
          </w:p>
        </w:tc>
        <w:tc>
          <w:tcPr>
            <w:tcW w:w="1387" w:type="dxa"/>
            <w:vAlign w:val="center"/>
            <w:hideMark/>
          </w:tcPr>
          <w:p w:rsidR="00283A07" w:rsidRPr="00283A07" w:rsidRDefault="00283A07" w:rsidP="00283A07">
            <w:pPr>
              <w:contextualSpacing/>
            </w:pPr>
            <w:r w:rsidRPr="00283A07">
              <w:t>-26 229 399</w:t>
            </w:r>
          </w:p>
        </w:tc>
        <w:tc>
          <w:tcPr>
            <w:tcW w:w="1246" w:type="dxa"/>
            <w:vAlign w:val="center"/>
            <w:hideMark/>
          </w:tcPr>
          <w:p w:rsidR="00283A07" w:rsidRPr="00283A07" w:rsidRDefault="00283A07" w:rsidP="00283A07">
            <w:pPr>
              <w:contextualSpacing/>
            </w:pPr>
            <w:r w:rsidRPr="00283A07">
              <w:t>-27 231 591</w:t>
            </w:r>
          </w:p>
        </w:tc>
        <w:tc>
          <w:tcPr>
            <w:tcW w:w="1315" w:type="dxa"/>
            <w:vAlign w:val="center"/>
            <w:hideMark/>
          </w:tcPr>
          <w:p w:rsidR="00283A07" w:rsidRPr="00283A07" w:rsidRDefault="00283A07" w:rsidP="00283A07">
            <w:pPr>
              <w:contextualSpacing/>
            </w:pPr>
            <w:r w:rsidRPr="00283A07">
              <w:t>-29 130 391</w:t>
            </w:r>
          </w:p>
        </w:tc>
        <w:tc>
          <w:tcPr>
            <w:tcW w:w="0" w:type="auto"/>
            <w:vAlign w:val="center"/>
            <w:hideMark/>
          </w:tcPr>
          <w:p w:rsidR="00283A07" w:rsidRPr="00283A07" w:rsidRDefault="00283A07" w:rsidP="00283A07">
            <w:pPr>
              <w:contextualSpacing/>
            </w:pPr>
            <w:r w:rsidRPr="00283A07">
              <w:t>-82 591 381</w:t>
            </w:r>
          </w:p>
        </w:tc>
      </w:tr>
      <w:tr w:rsidR="00283A07" w:rsidTr="00283A07">
        <w:trPr>
          <w:tblCellSpacing w:w="15" w:type="dxa"/>
        </w:trPr>
        <w:tc>
          <w:tcPr>
            <w:tcW w:w="3838" w:type="dxa"/>
            <w:vAlign w:val="center"/>
            <w:hideMark/>
          </w:tcPr>
          <w:p w:rsidR="00283A07" w:rsidRPr="00283A07" w:rsidRDefault="00283A07" w:rsidP="00283A07">
            <w:pPr>
              <w:contextualSpacing/>
              <w:rPr>
                <w:b/>
                <w:bCs/>
              </w:rPr>
            </w:pPr>
            <w:r w:rsidRPr="00283A07">
              <w:rPr>
                <w:b/>
                <w:bCs/>
              </w:rPr>
              <w:t>     Чистый процентный доход</w:t>
            </w:r>
          </w:p>
        </w:tc>
        <w:tc>
          <w:tcPr>
            <w:tcW w:w="1387" w:type="dxa"/>
            <w:vAlign w:val="center"/>
            <w:hideMark/>
          </w:tcPr>
          <w:p w:rsidR="00283A07" w:rsidRPr="00283A07" w:rsidRDefault="00283A07" w:rsidP="00283A07">
            <w:pPr>
              <w:contextualSpacing/>
              <w:rPr>
                <w:b/>
                <w:bCs/>
              </w:rPr>
            </w:pPr>
            <w:r w:rsidRPr="00283A07">
              <w:rPr>
                <w:b/>
                <w:bCs/>
              </w:rPr>
              <w:t>15 111 300</w:t>
            </w:r>
          </w:p>
        </w:tc>
        <w:tc>
          <w:tcPr>
            <w:tcW w:w="1246" w:type="dxa"/>
            <w:vAlign w:val="center"/>
            <w:hideMark/>
          </w:tcPr>
          <w:p w:rsidR="00283A07" w:rsidRPr="00283A07" w:rsidRDefault="00283A07" w:rsidP="00283A07">
            <w:pPr>
              <w:contextualSpacing/>
              <w:rPr>
                <w:b/>
                <w:bCs/>
              </w:rPr>
            </w:pPr>
            <w:r w:rsidRPr="00283A07">
              <w:rPr>
                <w:b/>
                <w:bCs/>
              </w:rPr>
              <w:t>11 729 506</w:t>
            </w:r>
          </w:p>
        </w:tc>
        <w:tc>
          <w:tcPr>
            <w:tcW w:w="1315" w:type="dxa"/>
            <w:vAlign w:val="center"/>
            <w:hideMark/>
          </w:tcPr>
          <w:p w:rsidR="00283A07" w:rsidRPr="00283A07" w:rsidRDefault="00283A07" w:rsidP="00283A07">
            <w:pPr>
              <w:contextualSpacing/>
              <w:rPr>
                <w:b/>
                <w:bCs/>
              </w:rPr>
            </w:pPr>
            <w:r w:rsidRPr="00283A07">
              <w:rPr>
                <w:b/>
                <w:bCs/>
              </w:rPr>
              <w:t>12 731 500</w:t>
            </w:r>
          </w:p>
        </w:tc>
        <w:tc>
          <w:tcPr>
            <w:tcW w:w="0" w:type="auto"/>
            <w:vAlign w:val="center"/>
            <w:hideMark/>
          </w:tcPr>
          <w:p w:rsidR="00283A07" w:rsidRPr="00283A07" w:rsidRDefault="00283A07" w:rsidP="00283A07">
            <w:pPr>
              <w:contextualSpacing/>
              <w:rPr>
                <w:b/>
                <w:bCs/>
              </w:rPr>
            </w:pPr>
            <w:r w:rsidRPr="00283A07">
              <w:rPr>
                <w:b/>
                <w:bCs/>
              </w:rPr>
              <w:t>39 572 306</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Комиссионные доходы</w:t>
            </w:r>
          </w:p>
        </w:tc>
        <w:tc>
          <w:tcPr>
            <w:tcW w:w="1387" w:type="dxa"/>
            <w:vAlign w:val="center"/>
            <w:hideMark/>
          </w:tcPr>
          <w:p w:rsidR="00283A07" w:rsidRPr="00283A07" w:rsidRDefault="00283A07" w:rsidP="00283A07">
            <w:pPr>
              <w:contextualSpacing/>
            </w:pPr>
            <w:r w:rsidRPr="00283A07">
              <w:t>3 284 796</w:t>
            </w:r>
          </w:p>
        </w:tc>
        <w:tc>
          <w:tcPr>
            <w:tcW w:w="1246" w:type="dxa"/>
            <w:vAlign w:val="center"/>
            <w:hideMark/>
          </w:tcPr>
          <w:p w:rsidR="00283A07" w:rsidRPr="00283A07" w:rsidRDefault="00283A07" w:rsidP="00283A07">
            <w:pPr>
              <w:contextualSpacing/>
            </w:pPr>
            <w:r w:rsidRPr="00283A07">
              <w:t>3 637 337</w:t>
            </w:r>
          </w:p>
        </w:tc>
        <w:tc>
          <w:tcPr>
            <w:tcW w:w="1315" w:type="dxa"/>
            <w:vAlign w:val="center"/>
            <w:hideMark/>
          </w:tcPr>
          <w:p w:rsidR="00283A07" w:rsidRPr="00283A07" w:rsidRDefault="00283A07" w:rsidP="00283A07">
            <w:pPr>
              <w:contextualSpacing/>
            </w:pPr>
            <w:r w:rsidRPr="00283A07">
              <w:t>4 195 951</w:t>
            </w:r>
          </w:p>
        </w:tc>
        <w:tc>
          <w:tcPr>
            <w:tcW w:w="0" w:type="auto"/>
            <w:vAlign w:val="center"/>
            <w:hideMark/>
          </w:tcPr>
          <w:p w:rsidR="00283A07" w:rsidRPr="00283A07" w:rsidRDefault="00283A07" w:rsidP="00283A07">
            <w:pPr>
              <w:contextualSpacing/>
            </w:pPr>
            <w:r w:rsidRPr="00283A07">
              <w:t>11 118 084</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Комиссионные расходы</w:t>
            </w:r>
          </w:p>
        </w:tc>
        <w:tc>
          <w:tcPr>
            <w:tcW w:w="1387" w:type="dxa"/>
            <w:vAlign w:val="center"/>
            <w:hideMark/>
          </w:tcPr>
          <w:p w:rsidR="00283A07" w:rsidRPr="00283A07" w:rsidRDefault="00283A07" w:rsidP="00283A07">
            <w:pPr>
              <w:contextualSpacing/>
            </w:pPr>
            <w:r w:rsidRPr="00283A07">
              <w:t>-310 211</w:t>
            </w:r>
          </w:p>
        </w:tc>
        <w:tc>
          <w:tcPr>
            <w:tcW w:w="1246" w:type="dxa"/>
            <w:vAlign w:val="center"/>
            <w:hideMark/>
          </w:tcPr>
          <w:p w:rsidR="00283A07" w:rsidRPr="00283A07" w:rsidRDefault="00283A07" w:rsidP="00283A07">
            <w:pPr>
              <w:contextualSpacing/>
            </w:pPr>
            <w:r w:rsidRPr="00283A07">
              <w:t>-364 154</w:t>
            </w:r>
          </w:p>
        </w:tc>
        <w:tc>
          <w:tcPr>
            <w:tcW w:w="1315" w:type="dxa"/>
            <w:vAlign w:val="center"/>
            <w:hideMark/>
          </w:tcPr>
          <w:p w:rsidR="00283A07" w:rsidRPr="00283A07" w:rsidRDefault="00283A07" w:rsidP="00283A07">
            <w:pPr>
              <w:contextualSpacing/>
            </w:pPr>
            <w:r w:rsidRPr="00283A07">
              <w:t>-510 664</w:t>
            </w:r>
          </w:p>
        </w:tc>
        <w:tc>
          <w:tcPr>
            <w:tcW w:w="0" w:type="auto"/>
            <w:vAlign w:val="center"/>
            <w:hideMark/>
          </w:tcPr>
          <w:p w:rsidR="00283A07" w:rsidRPr="00283A07" w:rsidRDefault="00283A07" w:rsidP="00283A07">
            <w:pPr>
              <w:contextualSpacing/>
            </w:pPr>
            <w:r w:rsidRPr="00283A07">
              <w:t>-1 185 029</w:t>
            </w:r>
          </w:p>
        </w:tc>
      </w:tr>
      <w:tr w:rsidR="00283A07" w:rsidTr="00283A07">
        <w:trPr>
          <w:tblCellSpacing w:w="15" w:type="dxa"/>
        </w:trPr>
        <w:tc>
          <w:tcPr>
            <w:tcW w:w="3838" w:type="dxa"/>
            <w:vAlign w:val="center"/>
            <w:hideMark/>
          </w:tcPr>
          <w:p w:rsidR="00283A07" w:rsidRPr="00283A07" w:rsidRDefault="00283A07" w:rsidP="00283A07">
            <w:pPr>
              <w:contextualSpacing/>
              <w:rPr>
                <w:b/>
                <w:bCs/>
              </w:rPr>
            </w:pPr>
            <w:r w:rsidRPr="00283A07">
              <w:rPr>
                <w:b/>
                <w:bCs/>
              </w:rPr>
              <w:t>     Чистый комиссионный доход</w:t>
            </w:r>
          </w:p>
        </w:tc>
        <w:tc>
          <w:tcPr>
            <w:tcW w:w="1387" w:type="dxa"/>
            <w:vAlign w:val="center"/>
            <w:hideMark/>
          </w:tcPr>
          <w:p w:rsidR="00283A07" w:rsidRPr="00283A07" w:rsidRDefault="00283A07" w:rsidP="00283A07">
            <w:pPr>
              <w:contextualSpacing/>
              <w:rPr>
                <w:b/>
                <w:bCs/>
              </w:rPr>
            </w:pPr>
            <w:r w:rsidRPr="00283A07">
              <w:rPr>
                <w:b/>
                <w:bCs/>
              </w:rPr>
              <w:t>2 974 585</w:t>
            </w:r>
          </w:p>
        </w:tc>
        <w:tc>
          <w:tcPr>
            <w:tcW w:w="1246" w:type="dxa"/>
            <w:vAlign w:val="center"/>
            <w:hideMark/>
          </w:tcPr>
          <w:p w:rsidR="00283A07" w:rsidRPr="00283A07" w:rsidRDefault="00283A07" w:rsidP="00283A07">
            <w:pPr>
              <w:contextualSpacing/>
              <w:rPr>
                <w:b/>
                <w:bCs/>
              </w:rPr>
            </w:pPr>
            <w:r w:rsidRPr="00283A07">
              <w:rPr>
                <w:b/>
                <w:bCs/>
              </w:rPr>
              <w:t>3 273 183</w:t>
            </w:r>
          </w:p>
        </w:tc>
        <w:tc>
          <w:tcPr>
            <w:tcW w:w="1315" w:type="dxa"/>
            <w:vAlign w:val="center"/>
            <w:hideMark/>
          </w:tcPr>
          <w:p w:rsidR="00283A07" w:rsidRPr="00283A07" w:rsidRDefault="00283A07" w:rsidP="00283A07">
            <w:pPr>
              <w:contextualSpacing/>
              <w:rPr>
                <w:b/>
                <w:bCs/>
              </w:rPr>
            </w:pPr>
            <w:r w:rsidRPr="00283A07">
              <w:rPr>
                <w:b/>
                <w:bCs/>
              </w:rPr>
              <w:t>3 685 287</w:t>
            </w:r>
          </w:p>
        </w:tc>
        <w:tc>
          <w:tcPr>
            <w:tcW w:w="0" w:type="auto"/>
            <w:vAlign w:val="center"/>
            <w:hideMark/>
          </w:tcPr>
          <w:p w:rsidR="00283A07" w:rsidRPr="00283A07" w:rsidRDefault="00283A07" w:rsidP="00283A07">
            <w:pPr>
              <w:contextualSpacing/>
              <w:rPr>
                <w:b/>
                <w:bCs/>
              </w:rPr>
            </w:pPr>
            <w:r w:rsidRPr="00283A07">
              <w:rPr>
                <w:b/>
                <w:bCs/>
              </w:rPr>
              <w:t>9 933 055</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Чистый доход по операциям с ценными бумагами</w:t>
            </w:r>
          </w:p>
        </w:tc>
        <w:tc>
          <w:tcPr>
            <w:tcW w:w="1387" w:type="dxa"/>
            <w:vAlign w:val="center"/>
            <w:hideMark/>
          </w:tcPr>
          <w:p w:rsidR="00283A07" w:rsidRPr="00283A07" w:rsidRDefault="00283A07" w:rsidP="00283A07">
            <w:pPr>
              <w:contextualSpacing/>
            </w:pPr>
            <w:r w:rsidRPr="00283A07">
              <w:t>-638 433</w:t>
            </w:r>
          </w:p>
        </w:tc>
        <w:tc>
          <w:tcPr>
            <w:tcW w:w="1246" w:type="dxa"/>
            <w:vAlign w:val="center"/>
            <w:hideMark/>
          </w:tcPr>
          <w:p w:rsidR="00283A07" w:rsidRPr="00283A07" w:rsidRDefault="00283A07" w:rsidP="00283A07">
            <w:pPr>
              <w:contextualSpacing/>
            </w:pPr>
            <w:r w:rsidRPr="00283A07">
              <w:t>-565 058</w:t>
            </w:r>
          </w:p>
        </w:tc>
        <w:tc>
          <w:tcPr>
            <w:tcW w:w="1315" w:type="dxa"/>
            <w:vAlign w:val="center"/>
            <w:hideMark/>
          </w:tcPr>
          <w:p w:rsidR="00283A07" w:rsidRPr="00283A07" w:rsidRDefault="00283A07" w:rsidP="00283A07">
            <w:pPr>
              <w:contextualSpacing/>
            </w:pPr>
            <w:r w:rsidRPr="00283A07">
              <w:t>-46 787</w:t>
            </w:r>
          </w:p>
        </w:tc>
        <w:tc>
          <w:tcPr>
            <w:tcW w:w="0" w:type="auto"/>
            <w:vAlign w:val="center"/>
            <w:hideMark/>
          </w:tcPr>
          <w:p w:rsidR="00283A07" w:rsidRPr="00283A07" w:rsidRDefault="00283A07" w:rsidP="00283A07">
            <w:pPr>
              <w:contextualSpacing/>
            </w:pPr>
            <w:r w:rsidRPr="00283A07">
              <w:t>-1 250 278</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Чистый доход от операций с иностранной валютой</w:t>
            </w:r>
          </w:p>
        </w:tc>
        <w:tc>
          <w:tcPr>
            <w:tcW w:w="1387" w:type="dxa"/>
            <w:vAlign w:val="center"/>
            <w:hideMark/>
          </w:tcPr>
          <w:p w:rsidR="00283A07" w:rsidRPr="00283A07" w:rsidRDefault="00283A07" w:rsidP="00283A07">
            <w:pPr>
              <w:contextualSpacing/>
            </w:pPr>
            <w:r w:rsidRPr="00283A07">
              <w:t>1 441 125</w:t>
            </w:r>
          </w:p>
        </w:tc>
        <w:tc>
          <w:tcPr>
            <w:tcW w:w="1246" w:type="dxa"/>
            <w:vAlign w:val="center"/>
            <w:hideMark/>
          </w:tcPr>
          <w:p w:rsidR="00283A07" w:rsidRPr="00283A07" w:rsidRDefault="00283A07" w:rsidP="00283A07">
            <w:pPr>
              <w:contextualSpacing/>
            </w:pPr>
            <w:r w:rsidRPr="00283A07">
              <w:t>347 356</w:t>
            </w:r>
          </w:p>
        </w:tc>
        <w:tc>
          <w:tcPr>
            <w:tcW w:w="1315" w:type="dxa"/>
            <w:vAlign w:val="center"/>
            <w:hideMark/>
          </w:tcPr>
          <w:p w:rsidR="00283A07" w:rsidRPr="00283A07" w:rsidRDefault="00283A07" w:rsidP="00283A07">
            <w:pPr>
              <w:contextualSpacing/>
            </w:pPr>
            <w:r w:rsidRPr="00283A07">
              <w:t>-1 134 139</w:t>
            </w:r>
          </w:p>
        </w:tc>
        <w:tc>
          <w:tcPr>
            <w:tcW w:w="0" w:type="auto"/>
            <w:vAlign w:val="center"/>
            <w:hideMark/>
          </w:tcPr>
          <w:p w:rsidR="00283A07" w:rsidRPr="00283A07" w:rsidRDefault="00283A07" w:rsidP="00283A07">
            <w:pPr>
              <w:contextualSpacing/>
            </w:pPr>
            <w:r w:rsidRPr="00283A07">
              <w:t>654 342</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Доходы от инвестиций в другие общества</w:t>
            </w:r>
          </w:p>
        </w:tc>
        <w:tc>
          <w:tcPr>
            <w:tcW w:w="1387" w:type="dxa"/>
            <w:vAlign w:val="center"/>
            <w:hideMark/>
          </w:tcPr>
          <w:p w:rsidR="00283A07" w:rsidRPr="00283A07" w:rsidRDefault="00283A07" w:rsidP="00283A07">
            <w:pPr>
              <w:contextualSpacing/>
            </w:pPr>
            <w:r w:rsidRPr="00283A07">
              <w:t>3 461</w:t>
            </w:r>
          </w:p>
        </w:tc>
        <w:tc>
          <w:tcPr>
            <w:tcW w:w="1246" w:type="dxa"/>
            <w:vAlign w:val="center"/>
            <w:hideMark/>
          </w:tcPr>
          <w:p w:rsidR="00283A07" w:rsidRPr="00283A07" w:rsidRDefault="00283A07" w:rsidP="00283A07">
            <w:pPr>
              <w:contextualSpacing/>
            </w:pPr>
            <w:r w:rsidRPr="00283A07">
              <w:t>3 440</w:t>
            </w:r>
          </w:p>
        </w:tc>
        <w:tc>
          <w:tcPr>
            <w:tcW w:w="1315" w:type="dxa"/>
            <w:vAlign w:val="center"/>
            <w:hideMark/>
          </w:tcPr>
          <w:p w:rsidR="00283A07" w:rsidRPr="00283A07" w:rsidRDefault="00283A07" w:rsidP="00283A07">
            <w:pPr>
              <w:contextualSpacing/>
            </w:pPr>
            <w:r w:rsidRPr="00283A07">
              <w:t>3 495</w:t>
            </w:r>
          </w:p>
        </w:tc>
        <w:tc>
          <w:tcPr>
            <w:tcW w:w="0" w:type="auto"/>
            <w:vAlign w:val="center"/>
            <w:hideMark/>
          </w:tcPr>
          <w:p w:rsidR="00283A07" w:rsidRPr="00283A07" w:rsidRDefault="00283A07" w:rsidP="00283A07">
            <w:pPr>
              <w:contextualSpacing/>
            </w:pPr>
            <w:r w:rsidRPr="00283A07">
              <w:t>10 396</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Прочие доходы и расходы</w:t>
            </w:r>
          </w:p>
        </w:tc>
        <w:tc>
          <w:tcPr>
            <w:tcW w:w="1387" w:type="dxa"/>
            <w:vAlign w:val="center"/>
            <w:hideMark/>
          </w:tcPr>
          <w:p w:rsidR="00283A07" w:rsidRPr="00283A07" w:rsidRDefault="00283A07" w:rsidP="00283A07">
            <w:pPr>
              <w:contextualSpacing/>
            </w:pPr>
            <w:r w:rsidRPr="00283A07">
              <w:t>-4 205 733</w:t>
            </w:r>
          </w:p>
        </w:tc>
        <w:tc>
          <w:tcPr>
            <w:tcW w:w="1246" w:type="dxa"/>
            <w:vAlign w:val="center"/>
            <w:hideMark/>
          </w:tcPr>
          <w:p w:rsidR="00283A07" w:rsidRPr="00283A07" w:rsidRDefault="00283A07" w:rsidP="00283A07">
            <w:pPr>
              <w:contextualSpacing/>
            </w:pPr>
            <w:r w:rsidRPr="00283A07">
              <w:t>-224 753</w:t>
            </w:r>
          </w:p>
        </w:tc>
        <w:tc>
          <w:tcPr>
            <w:tcW w:w="1315" w:type="dxa"/>
            <w:vAlign w:val="center"/>
            <w:hideMark/>
          </w:tcPr>
          <w:p w:rsidR="00283A07" w:rsidRPr="00283A07" w:rsidRDefault="00283A07" w:rsidP="00283A07">
            <w:pPr>
              <w:contextualSpacing/>
            </w:pPr>
            <w:r w:rsidRPr="00283A07">
              <w:t>-382 995</w:t>
            </w:r>
          </w:p>
        </w:tc>
        <w:tc>
          <w:tcPr>
            <w:tcW w:w="0" w:type="auto"/>
            <w:vAlign w:val="center"/>
            <w:hideMark/>
          </w:tcPr>
          <w:p w:rsidR="00283A07" w:rsidRPr="00283A07" w:rsidRDefault="00283A07" w:rsidP="00283A07">
            <w:pPr>
              <w:contextualSpacing/>
            </w:pPr>
            <w:r w:rsidRPr="00283A07">
              <w:t>-4 813 481</w:t>
            </w:r>
          </w:p>
        </w:tc>
      </w:tr>
      <w:tr w:rsidR="00283A07" w:rsidTr="00283A07">
        <w:trPr>
          <w:tblCellSpacing w:w="15" w:type="dxa"/>
        </w:trPr>
        <w:tc>
          <w:tcPr>
            <w:tcW w:w="3838" w:type="dxa"/>
            <w:vAlign w:val="center"/>
            <w:hideMark/>
          </w:tcPr>
          <w:p w:rsidR="00283A07" w:rsidRPr="00283A07" w:rsidRDefault="00283A07" w:rsidP="00283A07">
            <w:pPr>
              <w:contextualSpacing/>
              <w:rPr>
                <w:b/>
                <w:bCs/>
              </w:rPr>
            </w:pPr>
            <w:r w:rsidRPr="00283A07">
              <w:rPr>
                <w:b/>
                <w:bCs/>
              </w:rPr>
              <w:t>     Операционная прибыль до резервов</w:t>
            </w:r>
          </w:p>
        </w:tc>
        <w:tc>
          <w:tcPr>
            <w:tcW w:w="1387" w:type="dxa"/>
            <w:vAlign w:val="center"/>
            <w:hideMark/>
          </w:tcPr>
          <w:p w:rsidR="00283A07" w:rsidRPr="00283A07" w:rsidRDefault="00283A07" w:rsidP="00283A07">
            <w:pPr>
              <w:contextualSpacing/>
              <w:rPr>
                <w:b/>
                <w:bCs/>
              </w:rPr>
            </w:pPr>
            <w:r w:rsidRPr="00283A07">
              <w:rPr>
                <w:b/>
                <w:bCs/>
              </w:rPr>
              <w:t>14 686 305</w:t>
            </w:r>
          </w:p>
        </w:tc>
        <w:tc>
          <w:tcPr>
            <w:tcW w:w="1246" w:type="dxa"/>
            <w:vAlign w:val="center"/>
            <w:hideMark/>
          </w:tcPr>
          <w:p w:rsidR="00283A07" w:rsidRPr="00283A07" w:rsidRDefault="00283A07" w:rsidP="00283A07">
            <w:pPr>
              <w:contextualSpacing/>
              <w:rPr>
                <w:b/>
                <w:bCs/>
              </w:rPr>
            </w:pPr>
            <w:r w:rsidRPr="00283A07">
              <w:rPr>
                <w:b/>
                <w:bCs/>
              </w:rPr>
              <w:t>14 563 674</w:t>
            </w:r>
          </w:p>
        </w:tc>
        <w:tc>
          <w:tcPr>
            <w:tcW w:w="1315" w:type="dxa"/>
            <w:vAlign w:val="center"/>
            <w:hideMark/>
          </w:tcPr>
          <w:p w:rsidR="00283A07" w:rsidRPr="00283A07" w:rsidRDefault="00283A07" w:rsidP="00283A07">
            <w:pPr>
              <w:contextualSpacing/>
              <w:rPr>
                <w:b/>
                <w:bCs/>
              </w:rPr>
            </w:pPr>
            <w:r w:rsidRPr="00283A07">
              <w:rPr>
                <w:b/>
                <w:bCs/>
              </w:rPr>
              <w:t>14 856 361</w:t>
            </w:r>
          </w:p>
        </w:tc>
        <w:tc>
          <w:tcPr>
            <w:tcW w:w="0" w:type="auto"/>
            <w:vAlign w:val="center"/>
            <w:hideMark/>
          </w:tcPr>
          <w:p w:rsidR="00283A07" w:rsidRPr="00283A07" w:rsidRDefault="00283A07" w:rsidP="00283A07">
            <w:pPr>
              <w:contextualSpacing/>
              <w:rPr>
                <w:b/>
                <w:bCs/>
              </w:rPr>
            </w:pPr>
            <w:r w:rsidRPr="00283A07">
              <w:rPr>
                <w:b/>
                <w:bCs/>
              </w:rPr>
              <w:t>44 106 340</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     Изменение резервов на возможные потери</w:t>
            </w:r>
          </w:p>
        </w:tc>
        <w:tc>
          <w:tcPr>
            <w:tcW w:w="1387" w:type="dxa"/>
            <w:vAlign w:val="center"/>
            <w:hideMark/>
          </w:tcPr>
          <w:p w:rsidR="00283A07" w:rsidRPr="00283A07" w:rsidRDefault="00283A07" w:rsidP="00283A07">
            <w:pPr>
              <w:contextualSpacing/>
            </w:pPr>
            <w:r w:rsidRPr="00283A07">
              <w:t>-5 106 696</w:t>
            </w:r>
          </w:p>
        </w:tc>
        <w:tc>
          <w:tcPr>
            <w:tcW w:w="1246" w:type="dxa"/>
            <w:vAlign w:val="center"/>
            <w:hideMark/>
          </w:tcPr>
          <w:p w:rsidR="00283A07" w:rsidRPr="00283A07" w:rsidRDefault="00283A07" w:rsidP="00283A07">
            <w:pPr>
              <w:contextualSpacing/>
            </w:pPr>
            <w:r w:rsidRPr="00283A07">
              <w:t>-14 496 349</w:t>
            </w:r>
          </w:p>
        </w:tc>
        <w:tc>
          <w:tcPr>
            <w:tcW w:w="1315" w:type="dxa"/>
            <w:vAlign w:val="center"/>
            <w:hideMark/>
          </w:tcPr>
          <w:p w:rsidR="00283A07" w:rsidRPr="00283A07" w:rsidRDefault="00283A07" w:rsidP="00283A07">
            <w:pPr>
              <w:contextualSpacing/>
            </w:pPr>
            <w:r w:rsidRPr="00283A07">
              <w:t>-7 260 271</w:t>
            </w:r>
          </w:p>
        </w:tc>
        <w:tc>
          <w:tcPr>
            <w:tcW w:w="0" w:type="auto"/>
            <w:vAlign w:val="center"/>
            <w:hideMark/>
          </w:tcPr>
          <w:p w:rsidR="00283A07" w:rsidRPr="00283A07" w:rsidRDefault="00283A07" w:rsidP="00283A07">
            <w:pPr>
              <w:contextualSpacing/>
            </w:pPr>
            <w:r w:rsidRPr="00283A07">
              <w:t>-26 863 316</w:t>
            </w:r>
          </w:p>
        </w:tc>
      </w:tr>
      <w:tr w:rsidR="00283A07" w:rsidTr="00283A07">
        <w:trPr>
          <w:tblCellSpacing w:w="15" w:type="dxa"/>
        </w:trPr>
        <w:tc>
          <w:tcPr>
            <w:tcW w:w="3838" w:type="dxa"/>
            <w:vAlign w:val="center"/>
            <w:hideMark/>
          </w:tcPr>
          <w:p w:rsidR="00283A07" w:rsidRPr="00283A07" w:rsidRDefault="00283A07" w:rsidP="00283A07">
            <w:pPr>
              <w:contextualSpacing/>
              <w:rPr>
                <w:b/>
                <w:bCs/>
              </w:rPr>
            </w:pPr>
            <w:r w:rsidRPr="00283A07">
              <w:rPr>
                <w:b/>
                <w:bCs/>
              </w:rPr>
              <w:t>     Операционная прибыль</w:t>
            </w:r>
          </w:p>
        </w:tc>
        <w:tc>
          <w:tcPr>
            <w:tcW w:w="1387" w:type="dxa"/>
            <w:vAlign w:val="center"/>
            <w:hideMark/>
          </w:tcPr>
          <w:p w:rsidR="00283A07" w:rsidRPr="00283A07" w:rsidRDefault="00283A07" w:rsidP="00283A07">
            <w:pPr>
              <w:contextualSpacing/>
              <w:rPr>
                <w:b/>
                <w:bCs/>
              </w:rPr>
            </w:pPr>
            <w:r w:rsidRPr="00283A07">
              <w:rPr>
                <w:b/>
                <w:bCs/>
              </w:rPr>
              <w:t>9 579 609</w:t>
            </w:r>
          </w:p>
        </w:tc>
        <w:tc>
          <w:tcPr>
            <w:tcW w:w="1246" w:type="dxa"/>
            <w:vAlign w:val="center"/>
            <w:hideMark/>
          </w:tcPr>
          <w:p w:rsidR="00283A07" w:rsidRPr="00283A07" w:rsidRDefault="00283A07" w:rsidP="00283A07">
            <w:pPr>
              <w:contextualSpacing/>
              <w:rPr>
                <w:b/>
                <w:bCs/>
              </w:rPr>
            </w:pPr>
            <w:r w:rsidRPr="00283A07">
              <w:rPr>
                <w:b/>
                <w:bCs/>
              </w:rPr>
              <w:t>67 325</w:t>
            </w:r>
          </w:p>
        </w:tc>
        <w:tc>
          <w:tcPr>
            <w:tcW w:w="1315" w:type="dxa"/>
            <w:vAlign w:val="center"/>
            <w:hideMark/>
          </w:tcPr>
          <w:p w:rsidR="00283A07" w:rsidRPr="00283A07" w:rsidRDefault="00283A07" w:rsidP="00283A07">
            <w:pPr>
              <w:contextualSpacing/>
              <w:rPr>
                <w:b/>
                <w:bCs/>
              </w:rPr>
            </w:pPr>
            <w:r w:rsidRPr="00283A07">
              <w:rPr>
                <w:b/>
                <w:bCs/>
              </w:rPr>
              <w:t>7 596 090</w:t>
            </w:r>
          </w:p>
        </w:tc>
        <w:tc>
          <w:tcPr>
            <w:tcW w:w="0" w:type="auto"/>
            <w:vAlign w:val="center"/>
            <w:hideMark/>
          </w:tcPr>
          <w:p w:rsidR="00283A07" w:rsidRPr="00283A07" w:rsidRDefault="00283A07" w:rsidP="00283A07">
            <w:pPr>
              <w:contextualSpacing/>
              <w:rPr>
                <w:b/>
                <w:bCs/>
              </w:rPr>
            </w:pPr>
            <w:r w:rsidRPr="00283A07">
              <w:rPr>
                <w:b/>
                <w:bCs/>
              </w:rPr>
              <w:t>17 243 024</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Операционные расходы</w:t>
            </w:r>
          </w:p>
        </w:tc>
        <w:tc>
          <w:tcPr>
            <w:tcW w:w="1387" w:type="dxa"/>
            <w:vAlign w:val="center"/>
            <w:hideMark/>
          </w:tcPr>
          <w:p w:rsidR="00283A07" w:rsidRPr="00283A07" w:rsidRDefault="00283A07" w:rsidP="00283A07">
            <w:pPr>
              <w:contextualSpacing/>
            </w:pPr>
            <w:r w:rsidRPr="00283A07">
              <w:t>-8 259 289</w:t>
            </w:r>
          </w:p>
        </w:tc>
        <w:tc>
          <w:tcPr>
            <w:tcW w:w="1246" w:type="dxa"/>
            <w:vAlign w:val="center"/>
            <w:hideMark/>
          </w:tcPr>
          <w:p w:rsidR="00283A07" w:rsidRPr="00283A07" w:rsidRDefault="00283A07" w:rsidP="00283A07">
            <w:pPr>
              <w:contextualSpacing/>
            </w:pPr>
            <w:r w:rsidRPr="00283A07">
              <w:t>-9 685 106</w:t>
            </w:r>
          </w:p>
        </w:tc>
        <w:tc>
          <w:tcPr>
            <w:tcW w:w="1315" w:type="dxa"/>
            <w:vAlign w:val="center"/>
            <w:hideMark/>
          </w:tcPr>
          <w:p w:rsidR="00283A07" w:rsidRPr="00283A07" w:rsidRDefault="00283A07" w:rsidP="00283A07">
            <w:pPr>
              <w:contextualSpacing/>
            </w:pPr>
            <w:r w:rsidRPr="00283A07">
              <w:t>-9 572 460</w:t>
            </w:r>
          </w:p>
        </w:tc>
        <w:tc>
          <w:tcPr>
            <w:tcW w:w="0" w:type="auto"/>
            <w:vAlign w:val="center"/>
            <w:hideMark/>
          </w:tcPr>
          <w:p w:rsidR="00283A07" w:rsidRPr="00283A07" w:rsidRDefault="00283A07" w:rsidP="00283A07">
            <w:pPr>
              <w:contextualSpacing/>
            </w:pPr>
            <w:r w:rsidRPr="00283A07">
              <w:t>-27 516 855</w:t>
            </w:r>
          </w:p>
        </w:tc>
      </w:tr>
      <w:tr w:rsidR="00283A07" w:rsidTr="00283A07">
        <w:trPr>
          <w:tblCellSpacing w:w="15" w:type="dxa"/>
        </w:trPr>
        <w:tc>
          <w:tcPr>
            <w:tcW w:w="3838" w:type="dxa"/>
            <w:vAlign w:val="center"/>
            <w:hideMark/>
          </w:tcPr>
          <w:p w:rsidR="00283A07" w:rsidRPr="00283A07" w:rsidRDefault="00283A07" w:rsidP="00283A07">
            <w:pPr>
              <w:contextualSpacing/>
              <w:rPr>
                <w:b/>
                <w:bCs/>
              </w:rPr>
            </w:pPr>
            <w:r w:rsidRPr="00283A07">
              <w:rPr>
                <w:b/>
                <w:bCs/>
              </w:rPr>
              <w:t>     Прибыль до налогов и резервов (справочно)</w:t>
            </w:r>
          </w:p>
        </w:tc>
        <w:tc>
          <w:tcPr>
            <w:tcW w:w="1387" w:type="dxa"/>
            <w:vAlign w:val="center"/>
            <w:hideMark/>
          </w:tcPr>
          <w:p w:rsidR="00283A07" w:rsidRPr="00283A07" w:rsidRDefault="00283A07" w:rsidP="00283A07">
            <w:pPr>
              <w:contextualSpacing/>
              <w:rPr>
                <w:b/>
                <w:bCs/>
              </w:rPr>
            </w:pPr>
            <w:r w:rsidRPr="00283A07">
              <w:rPr>
                <w:b/>
                <w:bCs/>
              </w:rPr>
              <w:t>6 427 016</w:t>
            </w:r>
          </w:p>
        </w:tc>
        <w:tc>
          <w:tcPr>
            <w:tcW w:w="1246" w:type="dxa"/>
            <w:vAlign w:val="center"/>
            <w:hideMark/>
          </w:tcPr>
          <w:p w:rsidR="00283A07" w:rsidRPr="00283A07" w:rsidRDefault="00283A07" w:rsidP="00283A07">
            <w:pPr>
              <w:contextualSpacing/>
              <w:rPr>
                <w:b/>
                <w:bCs/>
              </w:rPr>
            </w:pPr>
            <w:r w:rsidRPr="00283A07">
              <w:rPr>
                <w:b/>
                <w:bCs/>
              </w:rPr>
              <w:t>4 878 568</w:t>
            </w:r>
          </w:p>
        </w:tc>
        <w:tc>
          <w:tcPr>
            <w:tcW w:w="1315" w:type="dxa"/>
            <w:vAlign w:val="center"/>
            <w:hideMark/>
          </w:tcPr>
          <w:p w:rsidR="00283A07" w:rsidRPr="00283A07" w:rsidRDefault="00283A07" w:rsidP="00283A07">
            <w:pPr>
              <w:contextualSpacing/>
              <w:rPr>
                <w:b/>
                <w:bCs/>
              </w:rPr>
            </w:pPr>
            <w:r w:rsidRPr="00283A07">
              <w:rPr>
                <w:b/>
                <w:bCs/>
              </w:rPr>
              <w:t>5 283 901</w:t>
            </w:r>
          </w:p>
        </w:tc>
        <w:tc>
          <w:tcPr>
            <w:tcW w:w="0" w:type="auto"/>
            <w:vAlign w:val="center"/>
            <w:hideMark/>
          </w:tcPr>
          <w:p w:rsidR="00283A07" w:rsidRPr="00283A07" w:rsidRDefault="00283A07" w:rsidP="00283A07">
            <w:pPr>
              <w:contextualSpacing/>
              <w:rPr>
                <w:b/>
                <w:bCs/>
              </w:rPr>
            </w:pPr>
            <w:r w:rsidRPr="00283A07">
              <w:rPr>
                <w:b/>
                <w:bCs/>
              </w:rPr>
              <w:t>16 589 485</w:t>
            </w:r>
          </w:p>
        </w:tc>
      </w:tr>
      <w:tr w:rsidR="00283A07" w:rsidTr="00283A07">
        <w:trPr>
          <w:tblCellSpacing w:w="15" w:type="dxa"/>
        </w:trPr>
        <w:tc>
          <w:tcPr>
            <w:tcW w:w="3838" w:type="dxa"/>
            <w:vAlign w:val="center"/>
            <w:hideMark/>
          </w:tcPr>
          <w:p w:rsidR="00283A07" w:rsidRPr="00283A07" w:rsidRDefault="00283A07" w:rsidP="00283A07">
            <w:pPr>
              <w:contextualSpacing/>
              <w:rPr>
                <w:b/>
                <w:bCs/>
              </w:rPr>
            </w:pPr>
            <w:r w:rsidRPr="00283A07">
              <w:rPr>
                <w:b/>
                <w:bCs/>
              </w:rPr>
              <w:t>     Прибыль (убыток) до налогообложения</w:t>
            </w:r>
          </w:p>
        </w:tc>
        <w:tc>
          <w:tcPr>
            <w:tcW w:w="1387" w:type="dxa"/>
            <w:vAlign w:val="center"/>
            <w:hideMark/>
          </w:tcPr>
          <w:p w:rsidR="00283A07" w:rsidRPr="00283A07" w:rsidRDefault="00283A07" w:rsidP="00283A07">
            <w:pPr>
              <w:contextualSpacing/>
              <w:rPr>
                <w:b/>
                <w:bCs/>
              </w:rPr>
            </w:pPr>
            <w:r w:rsidRPr="00283A07">
              <w:rPr>
                <w:b/>
                <w:bCs/>
              </w:rPr>
              <w:t>1 320 320</w:t>
            </w:r>
          </w:p>
        </w:tc>
        <w:tc>
          <w:tcPr>
            <w:tcW w:w="1246" w:type="dxa"/>
            <w:vAlign w:val="center"/>
            <w:hideMark/>
          </w:tcPr>
          <w:p w:rsidR="00283A07" w:rsidRPr="00283A07" w:rsidRDefault="00283A07" w:rsidP="00283A07">
            <w:pPr>
              <w:contextualSpacing/>
              <w:rPr>
                <w:b/>
                <w:bCs/>
              </w:rPr>
            </w:pPr>
            <w:r w:rsidRPr="00283A07">
              <w:rPr>
                <w:b/>
                <w:bCs/>
              </w:rPr>
              <w:t>-9 617 781</w:t>
            </w:r>
          </w:p>
        </w:tc>
        <w:tc>
          <w:tcPr>
            <w:tcW w:w="1315" w:type="dxa"/>
            <w:vAlign w:val="center"/>
            <w:hideMark/>
          </w:tcPr>
          <w:p w:rsidR="00283A07" w:rsidRPr="00283A07" w:rsidRDefault="00283A07" w:rsidP="00283A07">
            <w:pPr>
              <w:contextualSpacing/>
              <w:rPr>
                <w:b/>
                <w:bCs/>
              </w:rPr>
            </w:pPr>
            <w:r w:rsidRPr="00283A07">
              <w:rPr>
                <w:b/>
                <w:bCs/>
              </w:rPr>
              <w:t>-1 976 370</w:t>
            </w:r>
          </w:p>
        </w:tc>
        <w:tc>
          <w:tcPr>
            <w:tcW w:w="0" w:type="auto"/>
            <w:vAlign w:val="center"/>
            <w:hideMark/>
          </w:tcPr>
          <w:p w:rsidR="00283A07" w:rsidRPr="00283A07" w:rsidRDefault="00283A07" w:rsidP="00283A07">
            <w:pPr>
              <w:contextualSpacing/>
              <w:rPr>
                <w:b/>
                <w:bCs/>
              </w:rPr>
            </w:pPr>
            <w:r w:rsidRPr="00283A07">
              <w:rPr>
                <w:b/>
                <w:bCs/>
              </w:rPr>
              <w:t>-10 273 831</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Налог на прибыль</w:t>
            </w:r>
          </w:p>
        </w:tc>
        <w:tc>
          <w:tcPr>
            <w:tcW w:w="1387" w:type="dxa"/>
            <w:vAlign w:val="center"/>
            <w:hideMark/>
          </w:tcPr>
          <w:p w:rsidR="00283A07" w:rsidRPr="00283A07" w:rsidRDefault="00283A07" w:rsidP="00283A07">
            <w:pPr>
              <w:contextualSpacing/>
            </w:pPr>
            <w:r w:rsidRPr="00283A07">
              <w:t>-657 226</w:t>
            </w:r>
          </w:p>
        </w:tc>
        <w:tc>
          <w:tcPr>
            <w:tcW w:w="1246" w:type="dxa"/>
            <w:vAlign w:val="center"/>
            <w:hideMark/>
          </w:tcPr>
          <w:p w:rsidR="00283A07" w:rsidRPr="00283A07" w:rsidRDefault="00283A07" w:rsidP="00283A07">
            <w:pPr>
              <w:contextualSpacing/>
            </w:pPr>
            <w:r w:rsidRPr="00283A07">
              <w:t>9 968 246</w:t>
            </w:r>
          </w:p>
        </w:tc>
        <w:tc>
          <w:tcPr>
            <w:tcW w:w="1315" w:type="dxa"/>
            <w:vAlign w:val="center"/>
            <w:hideMark/>
          </w:tcPr>
          <w:p w:rsidR="00283A07" w:rsidRPr="00283A07" w:rsidRDefault="00283A07" w:rsidP="00283A07">
            <w:pPr>
              <w:contextualSpacing/>
            </w:pPr>
            <w:r w:rsidRPr="00283A07">
              <w:t>2 073 031</w:t>
            </w:r>
          </w:p>
        </w:tc>
        <w:tc>
          <w:tcPr>
            <w:tcW w:w="0" w:type="auto"/>
            <w:vAlign w:val="center"/>
            <w:hideMark/>
          </w:tcPr>
          <w:p w:rsidR="00283A07" w:rsidRPr="00283A07" w:rsidRDefault="00283A07" w:rsidP="00283A07">
            <w:pPr>
              <w:contextualSpacing/>
            </w:pPr>
            <w:r w:rsidRPr="00283A07">
              <w:t>11 384 051</w:t>
            </w:r>
          </w:p>
        </w:tc>
      </w:tr>
      <w:tr w:rsidR="00283A07" w:rsidTr="00283A07">
        <w:trPr>
          <w:tblCellSpacing w:w="15" w:type="dxa"/>
        </w:trPr>
        <w:tc>
          <w:tcPr>
            <w:tcW w:w="3838" w:type="dxa"/>
            <w:vAlign w:val="center"/>
            <w:hideMark/>
          </w:tcPr>
          <w:p w:rsidR="00283A07" w:rsidRPr="00283A07" w:rsidRDefault="00283A07" w:rsidP="00283A07">
            <w:pPr>
              <w:contextualSpacing/>
              <w:rPr>
                <w:b/>
                <w:bCs/>
              </w:rPr>
            </w:pPr>
            <w:r w:rsidRPr="00283A07">
              <w:rPr>
                <w:b/>
                <w:bCs/>
              </w:rPr>
              <w:t xml:space="preserve"> Чистая прибыль</w:t>
            </w:r>
          </w:p>
        </w:tc>
        <w:tc>
          <w:tcPr>
            <w:tcW w:w="1387" w:type="dxa"/>
            <w:vAlign w:val="center"/>
            <w:hideMark/>
          </w:tcPr>
          <w:p w:rsidR="00283A07" w:rsidRPr="00283A07" w:rsidRDefault="00283A07" w:rsidP="00283A07">
            <w:pPr>
              <w:contextualSpacing/>
              <w:rPr>
                <w:b/>
                <w:bCs/>
              </w:rPr>
            </w:pPr>
            <w:r w:rsidRPr="00283A07">
              <w:rPr>
                <w:b/>
                <w:bCs/>
              </w:rPr>
              <w:t>663 094</w:t>
            </w:r>
          </w:p>
        </w:tc>
        <w:tc>
          <w:tcPr>
            <w:tcW w:w="1246" w:type="dxa"/>
            <w:vAlign w:val="center"/>
            <w:hideMark/>
          </w:tcPr>
          <w:p w:rsidR="00283A07" w:rsidRPr="00283A07" w:rsidRDefault="00283A07" w:rsidP="00283A07">
            <w:pPr>
              <w:contextualSpacing/>
              <w:rPr>
                <w:b/>
                <w:bCs/>
              </w:rPr>
            </w:pPr>
            <w:r w:rsidRPr="00283A07">
              <w:rPr>
                <w:b/>
                <w:bCs/>
              </w:rPr>
              <w:t>350 465</w:t>
            </w:r>
          </w:p>
        </w:tc>
        <w:tc>
          <w:tcPr>
            <w:tcW w:w="1315" w:type="dxa"/>
            <w:vAlign w:val="center"/>
            <w:hideMark/>
          </w:tcPr>
          <w:p w:rsidR="00283A07" w:rsidRPr="00283A07" w:rsidRDefault="00283A07" w:rsidP="00283A07">
            <w:pPr>
              <w:contextualSpacing/>
              <w:rPr>
                <w:b/>
                <w:bCs/>
              </w:rPr>
            </w:pPr>
            <w:r w:rsidRPr="00283A07">
              <w:rPr>
                <w:b/>
                <w:bCs/>
              </w:rPr>
              <w:t>96 661</w:t>
            </w:r>
          </w:p>
        </w:tc>
        <w:tc>
          <w:tcPr>
            <w:tcW w:w="0" w:type="auto"/>
            <w:vAlign w:val="center"/>
            <w:hideMark/>
          </w:tcPr>
          <w:p w:rsidR="00283A07" w:rsidRPr="00283A07" w:rsidRDefault="00283A07" w:rsidP="00283A07">
            <w:pPr>
              <w:contextualSpacing/>
              <w:rPr>
                <w:b/>
                <w:bCs/>
              </w:rPr>
            </w:pPr>
            <w:r w:rsidRPr="00283A07">
              <w:rPr>
                <w:b/>
                <w:bCs/>
              </w:rPr>
              <w:t>1 110 220</w:t>
            </w:r>
          </w:p>
        </w:tc>
      </w:tr>
      <w:tr w:rsidR="00283A07" w:rsidTr="00283A07">
        <w:trPr>
          <w:tblCellSpacing w:w="15" w:type="dxa"/>
        </w:trPr>
        <w:tc>
          <w:tcPr>
            <w:tcW w:w="3838" w:type="dxa"/>
            <w:vAlign w:val="center"/>
            <w:hideMark/>
          </w:tcPr>
          <w:p w:rsidR="00283A07" w:rsidRPr="00283A07" w:rsidRDefault="00283A07" w:rsidP="00283A07">
            <w:pPr>
              <w:contextualSpacing/>
            </w:pPr>
            <w:r w:rsidRPr="00283A07">
              <w:t xml:space="preserve"> Скорректированная прибыль</w:t>
            </w:r>
          </w:p>
        </w:tc>
        <w:tc>
          <w:tcPr>
            <w:tcW w:w="1387" w:type="dxa"/>
            <w:vAlign w:val="center"/>
            <w:hideMark/>
          </w:tcPr>
          <w:p w:rsidR="00283A07" w:rsidRPr="00283A07" w:rsidRDefault="00283A07" w:rsidP="00283A07">
            <w:pPr>
              <w:contextualSpacing/>
            </w:pPr>
            <w:r w:rsidRPr="00283A07">
              <w:t>663 094</w:t>
            </w:r>
          </w:p>
        </w:tc>
        <w:tc>
          <w:tcPr>
            <w:tcW w:w="1246" w:type="dxa"/>
            <w:vAlign w:val="center"/>
            <w:hideMark/>
          </w:tcPr>
          <w:p w:rsidR="00283A07" w:rsidRPr="00283A07" w:rsidRDefault="00283A07" w:rsidP="00283A07">
            <w:pPr>
              <w:contextualSpacing/>
            </w:pPr>
            <w:r w:rsidRPr="00283A07">
              <w:t>350 463</w:t>
            </w:r>
          </w:p>
        </w:tc>
        <w:tc>
          <w:tcPr>
            <w:tcW w:w="1315" w:type="dxa"/>
            <w:vAlign w:val="center"/>
            <w:hideMark/>
          </w:tcPr>
          <w:p w:rsidR="00283A07" w:rsidRPr="00283A07" w:rsidRDefault="00283A07" w:rsidP="00283A07">
            <w:pPr>
              <w:contextualSpacing/>
            </w:pPr>
            <w:r w:rsidRPr="00283A07">
              <w:t>96 658</w:t>
            </w:r>
          </w:p>
        </w:tc>
        <w:tc>
          <w:tcPr>
            <w:tcW w:w="0" w:type="auto"/>
            <w:vAlign w:val="center"/>
            <w:hideMark/>
          </w:tcPr>
          <w:p w:rsidR="00283A07" w:rsidRPr="00283A07" w:rsidRDefault="00283A07" w:rsidP="00283A07">
            <w:pPr>
              <w:contextualSpacing/>
            </w:pPr>
            <w:r w:rsidRPr="00283A07">
              <w:t>1 110 215</w:t>
            </w:r>
          </w:p>
        </w:tc>
      </w:tr>
      <w:tr w:rsidR="00283A07" w:rsidTr="00283A07">
        <w:trPr>
          <w:tblCellSpacing w:w="15" w:type="dxa"/>
        </w:trPr>
        <w:tc>
          <w:tcPr>
            <w:tcW w:w="3838" w:type="dxa"/>
            <w:vAlign w:val="center"/>
            <w:hideMark/>
          </w:tcPr>
          <w:p w:rsidR="00283A07" w:rsidRPr="00283A07" w:rsidRDefault="00283A07" w:rsidP="00283A07">
            <w:pPr>
              <w:contextualSpacing/>
              <w:rPr>
                <w:b/>
                <w:bCs/>
              </w:rPr>
            </w:pPr>
            <w:r w:rsidRPr="00283A07">
              <w:rPr>
                <w:b/>
                <w:bCs/>
              </w:rPr>
              <w:t>  Нераспределенная прибыль</w:t>
            </w:r>
          </w:p>
        </w:tc>
        <w:tc>
          <w:tcPr>
            <w:tcW w:w="1387" w:type="dxa"/>
            <w:vAlign w:val="center"/>
            <w:hideMark/>
          </w:tcPr>
          <w:p w:rsidR="00283A07" w:rsidRPr="00283A07" w:rsidRDefault="00283A07" w:rsidP="00283A07">
            <w:pPr>
              <w:contextualSpacing/>
              <w:rPr>
                <w:b/>
                <w:bCs/>
              </w:rPr>
            </w:pPr>
            <w:r w:rsidRPr="00283A07">
              <w:rPr>
                <w:b/>
                <w:bCs/>
              </w:rPr>
              <w:t>663 094</w:t>
            </w:r>
          </w:p>
        </w:tc>
        <w:tc>
          <w:tcPr>
            <w:tcW w:w="1246" w:type="dxa"/>
            <w:vAlign w:val="center"/>
            <w:hideMark/>
          </w:tcPr>
          <w:p w:rsidR="00283A07" w:rsidRPr="00283A07" w:rsidRDefault="00283A07" w:rsidP="00283A07">
            <w:pPr>
              <w:contextualSpacing/>
              <w:rPr>
                <w:b/>
                <w:bCs/>
              </w:rPr>
            </w:pPr>
            <w:r w:rsidRPr="00283A07">
              <w:rPr>
                <w:b/>
                <w:bCs/>
              </w:rPr>
              <w:t>350 465</w:t>
            </w:r>
          </w:p>
        </w:tc>
        <w:tc>
          <w:tcPr>
            <w:tcW w:w="1315" w:type="dxa"/>
            <w:vAlign w:val="center"/>
            <w:hideMark/>
          </w:tcPr>
          <w:p w:rsidR="00283A07" w:rsidRPr="00283A07" w:rsidRDefault="00283A07" w:rsidP="00283A07">
            <w:pPr>
              <w:contextualSpacing/>
              <w:rPr>
                <w:b/>
                <w:bCs/>
              </w:rPr>
            </w:pPr>
            <w:r w:rsidRPr="00283A07">
              <w:rPr>
                <w:b/>
                <w:bCs/>
              </w:rPr>
              <w:t>96 661</w:t>
            </w:r>
          </w:p>
        </w:tc>
        <w:tc>
          <w:tcPr>
            <w:tcW w:w="0" w:type="auto"/>
            <w:vAlign w:val="center"/>
            <w:hideMark/>
          </w:tcPr>
          <w:p w:rsidR="00283A07" w:rsidRPr="00283A07" w:rsidRDefault="00283A07" w:rsidP="00283A07">
            <w:pPr>
              <w:contextualSpacing/>
              <w:rPr>
                <w:b/>
                <w:bCs/>
              </w:rPr>
            </w:pPr>
            <w:r w:rsidRPr="00283A07">
              <w:rPr>
                <w:b/>
                <w:bCs/>
              </w:rPr>
              <w:t>1 110 220</w:t>
            </w:r>
          </w:p>
        </w:tc>
      </w:tr>
    </w:tbl>
    <w:p w:rsidR="00283A07" w:rsidRDefault="00283A07" w:rsidP="0025659D">
      <w:pPr>
        <w:tabs>
          <w:tab w:val="left" w:pos="2895"/>
        </w:tabs>
        <w:spacing w:line="360" w:lineRule="auto"/>
        <w:contextualSpacing/>
        <w:jc w:val="both"/>
        <w:rPr>
          <w:sz w:val="28"/>
          <w:szCs w:val="28"/>
        </w:rPr>
      </w:pPr>
    </w:p>
    <w:p w:rsidR="0025659D" w:rsidRDefault="0025659D" w:rsidP="0025659D">
      <w:pPr>
        <w:tabs>
          <w:tab w:val="left" w:pos="2895"/>
        </w:tabs>
        <w:spacing w:line="360" w:lineRule="auto"/>
        <w:ind w:firstLine="709"/>
        <w:contextualSpacing/>
        <w:jc w:val="both"/>
        <w:rPr>
          <w:sz w:val="28"/>
          <w:szCs w:val="28"/>
        </w:rPr>
      </w:pPr>
      <w:r>
        <w:rPr>
          <w:sz w:val="28"/>
          <w:szCs w:val="28"/>
        </w:rPr>
        <w:t>Исходя из данных таблицы 1, можно сказать за 3 квартала 2014 года получил чистую прибыль в размере 1110220 тыс. рублей</w:t>
      </w:r>
      <w:r w:rsidR="002563AD">
        <w:rPr>
          <w:sz w:val="28"/>
          <w:szCs w:val="28"/>
        </w:rPr>
        <w:t>.</w:t>
      </w:r>
    </w:p>
    <w:p w:rsidR="002563AD" w:rsidRDefault="002563AD" w:rsidP="0025659D">
      <w:pPr>
        <w:tabs>
          <w:tab w:val="left" w:pos="2895"/>
        </w:tabs>
        <w:spacing w:line="360" w:lineRule="auto"/>
        <w:ind w:firstLine="709"/>
        <w:contextualSpacing/>
        <w:jc w:val="both"/>
        <w:rPr>
          <w:sz w:val="28"/>
          <w:szCs w:val="28"/>
        </w:rPr>
      </w:pPr>
    </w:p>
    <w:p w:rsidR="002563AD" w:rsidRDefault="002563AD" w:rsidP="0025659D">
      <w:pPr>
        <w:tabs>
          <w:tab w:val="left" w:pos="2895"/>
        </w:tabs>
        <w:spacing w:line="360" w:lineRule="auto"/>
        <w:ind w:firstLine="709"/>
        <w:contextualSpacing/>
        <w:jc w:val="both"/>
        <w:rPr>
          <w:sz w:val="28"/>
          <w:szCs w:val="28"/>
        </w:rPr>
      </w:pPr>
    </w:p>
    <w:p w:rsidR="002563AD" w:rsidRDefault="002563AD" w:rsidP="0025659D">
      <w:pPr>
        <w:tabs>
          <w:tab w:val="left" w:pos="2895"/>
        </w:tabs>
        <w:spacing w:line="360" w:lineRule="auto"/>
        <w:ind w:firstLine="709"/>
        <w:contextualSpacing/>
        <w:jc w:val="both"/>
        <w:rPr>
          <w:sz w:val="28"/>
          <w:szCs w:val="28"/>
        </w:rPr>
      </w:pPr>
      <w:r>
        <w:rPr>
          <w:sz w:val="28"/>
          <w:szCs w:val="28"/>
        </w:rPr>
        <w:lastRenderedPageBreak/>
        <w:t>Таблица 2 Ключевые финансовые показатели банка</w:t>
      </w:r>
    </w:p>
    <w:tbl>
      <w:tblPr>
        <w:tblStyle w:val="a7"/>
        <w:tblW w:w="0" w:type="auto"/>
        <w:tblLook w:val="04A0"/>
      </w:tblPr>
      <w:tblGrid>
        <w:gridCol w:w="3652"/>
        <w:gridCol w:w="1559"/>
        <w:gridCol w:w="1560"/>
        <w:gridCol w:w="1559"/>
      </w:tblGrid>
      <w:tr w:rsidR="002563AD" w:rsidTr="00B054C3">
        <w:tc>
          <w:tcPr>
            <w:tcW w:w="3652" w:type="dxa"/>
            <w:tcBorders>
              <w:tl2br w:val="single" w:sz="4" w:space="0" w:color="auto"/>
            </w:tcBorders>
          </w:tcPr>
          <w:p w:rsidR="002563AD" w:rsidRDefault="002563AD" w:rsidP="002563AD">
            <w:pPr>
              <w:tabs>
                <w:tab w:val="left" w:pos="2895"/>
              </w:tabs>
              <w:contextualSpacing/>
              <w:jc w:val="both"/>
              <w:rPr>
                <w:sz w:val="24"/>
                <w:szCs w:val="24"/>
              </w:rPr>
            </w:pPr>
            <w:r>
              <w:rPr>
                <w:sz w:val="24"/>
                <w:szCs w:val="24"/>
              </w:rPr>
              <w:t xml:space="preserve">            </w:t>
            </w:r>
            <w:r w:rsidR="00B054C3">
              <w:rPr>
                <w:sz w:val="24"/>
                <w:szCs w:val="24"/>
              </w:rPr>
              <w:t xml:space="preserve">                   </w:t>
            </w:r>
            <w:r>
              <w:rPr>
                <w:sz w:val="24"/>
                <w:szCs w:val="24"/>
              </w:rPr>
              <w:t>период</w:t>
            </w:r>
          </w:p>
          <w:p w:rsidR="002563AD" w:rsidRPr="002563AD" w:rsidRDefault="002563AD" w:rsidP="002563AD">
            <w:pPr>
              <w:tabs>
                <w:tab w:val="left" w:pos="2895"/>
              </w:tabs>
              <w:contextualSpacing/>
              <w:jc w:val="both"/>
              <w:rPr>
                <w:sz w:val="24"/>
                <w:szCs w:val="24"/>
              </w:rPr>
            </w:pPr>
            <w:r>
              <w:rPr>
                <w:sz w:val="24"/>
                <w:szCs w:val="24"/>
              </w:rPr>
              <w:t>показатели</w:t>
            </w:r>
          </w:p>
        </w:tc>
        <w:tc>
          <w:tcPr>
            <w:tcW w:w="1559" w:type="dxa"/>
            <w:vAlign w:val="center"/>
          </w:tcPr>
          <w:tbl>
            <w:tblPr>
              <w:tblW w:w="0" w:type="auto"/>
              <w:tblCellSpacing w:w="15" w:type="dxa"/>
              <w:tblCellMar>
                <w:top w:w="15" w:type="dxa"/>
                <w:left w:w="15" w:type="dxa"/>
                <w:bottom w:w="15" w:type="dxa"/>
                <w:right w:w="15" w:type="dxa"/>
              </w:tblCellMar>
              <w:tblLook w:val="04A0"/>
            </w:tblPr>
            <w:tblGrid>
              <w:gridCol w:w="81"/>
              <w:gridCol w:w="66"/>
              <w:gridCol w:w="81"/>
            </w:tblGrid>
            <w:tr w:rsidR="002563AD" w:rsidTr="00B054C3">
              <w:trPr>
                <w:tblCellSpacing w:w="15" w:type="dxa"/>
              </w:trPr>
              <w:tc>
                <w:tcPr>
                  <w:tcW w:w="0" w:type="auto"/>
                  <w:vAlign w:val="center"/>
                  <w:hideMark/>
                </w:tcPr>
                <w:p w:rsidR="002563AD" w:rsidRDefault="002563AD" w:rsidP="00B054C3">
                  <w:pPr>
                    <w:jc w:val="center"/>
                  </w:pPr>
                </w:p>
              </w:tc>
              <w:tc>
                <w:tcPr>
                  <w:tcW w:w="0" w:type="auto"/>
                  <w:vAlign w:val="center"/>
                  <w:hideMark/>
                </w:tcPr>
                <w:p w:rsidR="002563AD" w:rsidRDefault="002563AD" w:rsidP="00B054C3">
                  <w:pPr>
                    <w:jc w:val="center"/>
                  </w:pPr>
                </w:p>
              </w:tc>
              <w:tc>
                <w:tcPr>
                  <w:tcW w:w="0" w:type="auto"/>
                  <w:vAlign w:val="center"/>
                  <w:hideMark/>
                </w:tcPr>
                <w:p w:rsidR="002563AD" w:rsidRDefault="002563AD" w:rsidP="00B054C3">
                  <w:pPr>
                    <w:jc w:val="center"/>
                  </w:pPr>
                </w:p>
              </w:tc>
            </w:tr>
          </w:tbl>
          <w:p w:rsidR="002563AD" w:rsidRPr="002563AD" w:rsidRDefault="00B054C3" w:rsidP="00B054C3">
            <w:pPr>
              <w:tabs>
                <w:tab w:val="left" w:pos="2895"/>
              </w:tabs>
              <w:contextualSpacing/>
              <w:jc w:val="center"/>
              <w:rPr>
                <w:sz w:val="24"/>
                <w:szCs w:val="24"/>
              </w:rPr>
            </w:pPr>
            <w:r>
              <w:t xml:space="preserve">9 мес. </w:t>
            </w:r>
            <w:r w:rsidR="002563AD">
              <w:t>2014</w:t>
            </w:r>
          </w:p>
        </w:tc>
        <w:tc>
          <w:tcPr>
            <w:tcW w:w="1560" w:type="dxa"/>
            <w:vAlign w:val="center"/>
          </w:tcPr>
          <w:p w:rsidR="002563AD" w:rsidRPr="002563AD" w:rsidRDefault="00B054C3" w:rsidP="00B054C3">
            <w:pPr>
              <w:tabs>
                <w:tab w:val="left" w:pos="2895"/>
              </w:tabs>
              <w:contextualSpacing/>
              <w:jc w:val="center"/>
              <w:rPr>
                <w:sz w:val="24"/>
                <w:szCs w:val="24"/>
              </w:rPr>
            </w:pPr>
            <w:r>
              <w:t xml:space="preserve">6 мес. </w:t>
            </w:r>
            <w:r w:rsidR="002563AD">
              <w:t>2014</w:t>
            </w:r>
          </w:p>
        </w:tc>
        <w:tc>
          <w:tcPr>
            <w:tcW w:w="1559" w:type="dxa"/>
            <w:vAlign w:val="center"/>
          </w:tcPr>
          <w:p w:rsidR="002563AD" w:rsidRPr="002563AD" w:rsidRDefault="00B054C3" w:rsidP="00B054C3">
            <w:pPr>
              <w:tabs>
                <w:tab w:val="left" w:pos="2895"/>
              </w:tabs>
              <w:contextualSpacing/>
              <w:jc w:val="center"/>
              <w:rPr>
                <w:sz w:val="24"/>
                <w:szCs w:val="24"/>
              </w:rPr>
            </w:pPr>
            <w:r>
              <w:t xml:space="preserve">3 мес. </w:t>
            </w:r>
            <w:r w:rsidR="002563AD">
              <w:t>2014</w:t>
            </w:r>
          </w:p>
        </w:tc>
      </w:tr>
      <w:tr w:rsidR="002563AD" w:rsidTr="00B054C3">
        <w:tc>
          <w:tcPr>
            <w:tcW w:w="3652" w:type="dxa"/>
            <w:vAlign w:val="center"/>
          </w:tcPr>
          <w:p w:rsidR="002563AD" w:rsidRPr="002563AD" w:rsidRDefault="002563AD" w:rsidP="00B054C3">
            <w:pPr>
              <w:tabs>
                <w:tab w:val="left" w:pos="2895"/>
              </w:tabs>
              <w:contextualSpacing/>
              <w:jc w:val="center"/>
              <w:rPr>
                <w:sz w:val="24"/>
                <w:szCs w:val="24"/>
              </w:rPr>
            </w:pPr>
            <w:r>
              <w:t>RoA</w:t>
            </w:r>
          </w:p>
        </w:tc>
        <w:tc>
          <w:tcPr>
            <w:tcW w:w="1559" w:type="dxa"/>
            <w:vAlign w:val="center"/>
          </w:tcPr>
          <w:p w:rsidR="002563AD" w:rsidRPr="002563AD" w:rsidRDefault="00B054C3" w:rsidP="00B054C3">
            <w:pPr>
              <w:tabs>
                <w:tab w:val="left" w:pos="2895"/>
              </w:tabs>
              <w:contextualSpacing/>
              <w:jc w:val="center"/>
              <w:rPr>
                <w:sz w:val="24"/>
                <w:szCs w:val="24"/>
              </w:rPr>
            </w:pPr>
            <w:r>
              <w:t>0,02%</w:t>
            </w:r>
          </w:p>
        </w:tc>
        <w:tc>
          <w:tcPr>
            <w:tcW w:w="1560" w:type="dxa"/>
            <w:vAlign w:val="center"/>
          </w:tcPr>
          <w:p w:rsidR="002563AD" w:rsidRPr="002563AD" w:rsidRDefault="00B054C3" w:rsidP="00B054C3">
            <w:pPr>
              <w:tabs>
                <w:tab w:val="left" w:pos="2895"/>
              </w:tabs>
              <w:contextualSpacing/>
              <w:jc w:val="center"/>
              <w:rPr>
                <w:sz w:val="24"/>
                <w:szCs w:val="24"/>
              </w:rPr>
            </w:pPr>
            <w:r>
              <w:t>0,07%</w:t>
            </w:r>
          </w:p>
        </w:tc>
        <w:tc>
          <w:tcPr>
            <w:tcW w:w="1559" w:type="dxa"/>
            <w:vAlign w:val="center"/>
          </w:tcPr>
          <w:p w:rsidR="002563AD" w:rsidRPr="002563AD" w:rsidRDefault="00B054C3" w:rsidP="00B054C3">
            <w:pPr>
              <w:tabs>
                <w:tab w:val="left" w:pos="2895"/>
              </w:tabs>
              <w:contextualSpacing/>
              <w:jc w:val="center"/>
              <w:rPr>
                <w:sz w:val="24"/>
                <w:szCs w:val="24"/>
              </w:rPr>
            </w:pPr>
            <w:r>
              <w:t>0,14%</w:t>
            </w:r>
          </w:p>
        </w:tc>
      </w:tr>
      <w:tr w:rsidR="002563AD" w:rsidTr="00B054C3">
        <w:tc>
          <w:tcPr>
            <w:tcW w:w="3652" w:type="dxa"/>
            <w:vAlign w:val="center"/>
          </w:tcPr>
          <w:p w:rsidR="002563AD" w:rsidRPr="002563AD" w:rsidRDefault="002563AD" w:rsidP="00B054C3">
            <w:pPr>
              <w:tabs>
                <w:tab w:val="left" w:pos="2895"/>
              </w:tabs>
              <w:contextualSpacing/>
              <w:jc w:val="center"/>
              <w:rPr>
                <w:sz w:val="24"/>
                <w:szCs w:val="24"/>
              </w:rPr>
            </w:pPr>
            <w:r>
              <w:t>RoE</w:t>
            </w:r>
          </w:p>
        </w:tc>
        <w:tc>
          <w:tcPr>
            <w:tcW w:w="1559" w:type="dxa"/>
            <w:vAlign w:val="center"/>
          </w:tcPr>
          <w:p w:rsidR="002563AD" w:rsidRPr="002563AD" w:rsidRDefault="00B054C3" w:rsidP="00B054C3">
            <w:pPr>
              <w:tabs>
                <w:tab w:val="left" w:pos="2895"/>
              </w:tabs>
              <w:contextualSpacing/>
              <w:jc w:val="center"/>
              <w:rPr>
                <w:sz w:val="24"/>
                <w:szCs w:val="24"/>
              </w:rPr>
            </w:pPr>
            <w:r>
              <w:t>0,18%</w:t>
            </w:r>
          </w:p>
        </w:tc>
        <w:tc>
          <w:tcPr>
            <w:tcW w:w="1560" w:type="dxa"/>
            <w:vAlign w:val="center"/>
          </w:tcPr>
          <w:p w:rsidR="002563AD" w:rsidRPr="002563AD" w:rsidRDefault="00B054C3" w:rsidP="00B054C3">
            <w:pPr>
              <w:tabs>
                <w:tab w:val="left" w:pos="2895"/>
              </w:tabs>
              <w:contextualSpacing/>
              <w:jc w:val="center"/>
              <w:rPr>
                <w:sz w:val="24"/>
                <w:szCs w:val="24"/>
              </w:rPr>
            </w:pPr>
            <w:r>
              <w:t>0,67%</w:t>
            </w:r>
          </w:p>
        </w:tc>
        <w:tc>
          <w:tcPr>
            <w:tcW w:w="1559" w:type="dxa"/>
            <w:vAlign w:val="center"/>
          </w:tcPr>
          <w:p w:rsidR="002563AD" w:rsidRPr="002563AD" w:rsidRDefault="00B054C3" w:rsidP="00B054C3">
            <w:pPr>
              <w:tabs>
                <w:tab w:val="left" w:pos="2895"/>
              </w:tabs>
              <w:contextualSpacing/>
              <w:jc w:val="center"/>
              <w:rPr>
                <w:sz w:val="24"/>
                <w:szCs w:val="24"/>
              </w:rPr>
            </w:pPr>
            <w:r>
              <w:t>1,27%</w:t>
            </w:r>
          </w:p>
        </w:tc>
      </w:tr>
      <w:tr w:rsidR="002563AD" w:rsidTr="00B054C3">
        <w:tc>
          <w:tcPr>
            <w:tcW w:w="3652" w:type="dxa"/>
            <w:vAlign w:val="center"/>
          </w:tcPr>
          <w:p w:rsidR="002563AD" w:rsidRPr="002563AD" w:rsidRDefault="002563AD" w:rsidP="00B054C3">
            <w:pPr>
              <w:tabs>
                <w:tab w:val="left" w:pos="2895"/>
              </w:tabs>
              <w:contextualSpacing/>
              <w:jc w:val="center"/>
              <w:rPr>
                <w:sz w:val="24"/>
                <w:szCs w:val="24"/>
              </w:rPr>
            </w:pPr>
            <w:r>
              <w:t xml:space="preserve">Леверидж </w:t>
            </w:r>
            <w:r w:rsidR="000D640D">
              <w:t>/</w:t>
            </w:r>
            <w:r>
              <w:t xml:space="preserve">дост. </w:t>
            </w:r>
            <w:r w:rsidR="000D640D">
              <w:t>к</w:t>
            </w:r>
            <w:r>
              <w:t>апитала</w:t>
            </w:r>
          </w:p>
        </w:tc>
        <w:tc>
          <w:tcPr>
            <w:tcW w:w="1559" w:type="dxa"/>
            <w:vAlign w:val="center"/>
          </w:tcPr>
          <w:p w:rsidR="002563AD" w:rsidRPr="002563AD" w:rsidRDefault="00B054C3" w:rsidP="00B054C3">
            <w:pPr>
              <w:tabs>
                <w:tab w:val="left" w:pos="2895"/>
              </w:tabs>
              <w:contextualSpacing/>
              <w:jc w:val="center"/>
              <w:rPr>
                <w:sz w:val="24"/>
                <w:szCs w:val="24"/>
              </w:rPr>
            </w:pPr>
            <w:r>
              <w:t>9,0 / 11,1%</w:t>
            </w:r>
          </w:p>
        </w:tc>
        <w:tc>
          <w:tcPr>
            <w:tcW w:w="1560" w:type="dxa"/>
            <w:vAlign w:val="center"/>
          </w:tcPr>
          <w:p w:rsidR="002563AD" w:rsidRPr="002563AD" w:rsidRDefault="00B054C3" w:rsidP="00B054C3">
            <w:pPr>
              <w:tabs>
                <w:tab w:val="left" w:pos="2895"/>
              </w:tabs>
              <w:contextualSpacing/>
              <w:jc w:val="center"/>
              <w:rPr>
                <w:sz w:val="24"/>
                <w:szCs w:val="24"/>
              </w:rPr>
            </w:pPr>
            <w:r>
              <w:t>8,7 / 11,5%</w:t>
            </w:r>
          </w:p>
        </w:tc>
        <w:tc>
          <w:tcPr>
            <w:tcW w:w="1559" w:type="dxa"/>
            <w:vAlign w:val="center"/>
          </w:tcPr>
          <w:p w:rsidR="002563AD" w:rsidRPr="002563AD" w:rsidRDefault="00B054C3" w:rsidP="00B054C3">
            <w:pPr>
              <w:tabs>
                <w:tab w:val="left" w:pos="2895"/>
              </w:tabs>
              <w:contextualSpacing/>
              <w:jc w:val="center"/>
              <w:rPr>
                <w:sz w:val="24"/>
                <w:szCs w:val="24"/>
              </w:rPr>
            </w:pPr>
            <w:r>
              <w:t>8,5 / 11,7%</w:t>
            </w:r>
          </w:p>
        </w:tc>
      </w:tr>
      <w:tr w:rsidR="002563AD" w:rsidTr="00B054C3">
        <w:tc>
          <w:tcPr>
            <w:tcW w:w="3652" w:type="dxa"/>
            <w:vAlign w:val="center"/>
          </w:tcPr>
          <w:p w:rsidR="002563AD" w:rsidRPr="002563AD" w:rsidRDefault="002563AD" w:rsidP="00B054C3">
            <w:pPr>
              <w:tabs>
                <w:tab w:val="left" w:pos="2895"/>
              </w:tabs>
              <w:contextualSpacing/>
              <w:jc w:val="center"/>
              <w:rPr>
                <w:sz w:val="24"/>
                <w:szCs w:val="24"/>
              </w:rPr>
            </w:pPr>
            <w:r>
              <w:t>ЧПМ</w:t>
            </w:r>
          </w:p>
        </w:tc>
        <w:tc>
          <w:tcPr>
            <w:tcW w:w="1559" w:type="dxa"/>
            <w:vAlign w:val="center"/>
          </w:tcPr>
          <w:p w:rsidR="002563AD" w:rsidRPr="002563AD" w:rsidRDefault="00B054C3" w:rsidP="00B054C3">
            <w:pPr>
              <w:tabs>
                <w:tab w:val="left" w:pos="2895"/>
              </w:tabs>
              <w:contextualSpacing/>
              <w:jc w:val="center"/>
              <w:rPr>
                <w:sz w:val="24"/>
                <w:szCs w:val="24"/>
              </w:rPr>
            </w:pPr>
            <w:r>
              <w:t>2,91%</w:t>
            </w:r>
          </w:p>
        </w:tc>
        <w:tc>
          <w:tcPr>
            <w:tcW w:w="1560" w:type="dxa"/>
            <w:vAlign w:val="center"/>
          </w:tcPr>
          <w:p w:rsidR="002563AD" w:rsidRPr="002563AD" w:rsidRDefault="00B054C3" w:rsidP="00B054C3">
            <w:pPr>
              <w:tabs>
                <w:tab w:val="left" w:pos="2895"/>
              </w:tabs>
              <w:contextualSpacing/>
              <w:jc w:val="center"/>
              <w:rPr>
                <w:sz w:val="24"/>
                <w:szCs w:val="24"/>
              </w:rPr>
            </w:pPr>
            <w:r>
              <w:t>2,76%</w:t>
            </w:r>
          </w:p>
        </w:tc>
        <w:tc>
          <w:tcPr>
            <w:tcW w:w="1559" w:type="dxa"/>
            <w:vAlign w:val="center"/>
          </w:tcPr>
          <w:p w:rsidR="002563AD" w:rsidRPr="002563AD" w:rsidRDefault="00B054C3" w:rsidP="00B054C3">
            <w:pPr>
              <w:tabs>
                <w:tab w:val="left" w:pos="2895"/>
              </w:tabs>
              <w:contextualSpacing/>
              <w:jc w:val="center"/>
              <w:rPr>
                <w:sz w:val="24"/>
                <w:szCs w:val="24"/>
              </w:rPr>
            </w:pPr>
            <w:r>
              <w:t>3,58%</w:t>
            </w:r>
          </w:p>
        </w:tc>
      </w:tr>
      <w:tr w:rsidR="002563AD" w:rsidTr="00B054C3">
        <w:tc>
          <w:tcPr>
            <w:tcW w:w="3652" w:type="dxa"/>
            <w:vAlign w:val="center"/>
          </w:tcPr>
          <w:p w:rsidR="002563AD" w:rsidRPr="002563AD" w:rsidRDefault="00B054C3" w:rsidP="00B054C3">
            <w:pPr>
              <w:tabs>
                <w:tab w:val="left" w:pos="2895"/>
              </w:tabs>
              <w:contextualSpacing/>
              <w:jc w:val="center"/>
              <w:rPr>
                <w:sz w:val="24"/>
                <w:szCs w:val="24"/>
              </w:rPr>
            </w:pPr>
            <w:r>
              <w:t xml:space="preserve">Доходность </w:t>
            </w:r>
            <w:r w:rsidR="002563AD">
              <w:t>активов</w:t>
            </w:r>
          </w:p>
        </w:tc>
        <w:tc>
          <w:tcPr>
            <w:tcW w:w="1559" w:type="dxa"/>
            <w:vAlign w:val="center"/>
          </w:tcPr>
          <w:p w:rsidR="002563AD" w:rsidRPr="002563AD" w:rsidRDefault="00B054C3" w:rsidP="00B054C3">
            <w:pPr>
              <w:tabs>
                <w:tab w:val="left" w:pos="2895"/>
              </w:tabs>
              <w:contextualSpacing/>
              <w:jc w:val="center"/>
              <w:rPr>
                <w:sz w:val="24"/>
                <w:szCs w:val="24"/>
              </w:rPr>
            </w:pPr>
            <w:r>
              <w:t>9,57%</w:t>
            </w:r>
          </w:p>
        </w:tc>
        <w:tc>
          <w:tcPr>
            <w:tcW w:w="1560" w:type="dxa"/>
            <w:vAlign w:val="center"/>
          </w:tcPr>
          <w:p w:rsidR="002563AD" w:rsidRPr="002563AD" w:rsidRDefault="00B054C3" w:rsidP="00B054C3">
            <w:pPr>
              <w:tabs>
                <w:tab w:val="left" w:pos="2895"/>
              </w:tabs>
              <w:contextualSpacing/>
              <w:jc w:val="center"/>
              <w:rPr>
                <w:sz w:val="24"/>
                <w:szCs w:val="24"/>
              </w:rPr>
            </w:pPr>
            <w:r>
              <w:t>9,17%</w:t>
            </w:r>
          </w:p>
        </w:tc>
        <w:tc>
          <w:tcPr>
            <w:tcW w:w="1559" w:type="dxa"/>
            <w:vAlign w:val="center"/>
          </w:tcPr>
          <w:p w:rsidR="002563AD" w:rsidRPr="002563AD" w:rsidRDefault="00B054C3" w:rsidP="00B054C3">
            <w:pPr>
              <w:tabs>
                <w:tab w:val="left" w:pos="2895"/>
              </w:tabs>
              <w:contextualSpacing/>
              <w:jc w:val="center"/>
              <w:rPr>
                <w:sz w:val="24"/>
                <w:szCs w:val="24"/>
              </w:rPr>
            </w:pPr>
            <w:r>
              <w:t>9,80%</w:t>
            </w:r>
          </w:p>
        </w:tc>
      </w:tr>
      <w:tr w:rsidR="002563AD" w:rsidTr="00B054C3">
        <w:tc>
          <w:tcPr>
            <w:tcW w:w="3652" w:type="dxa"/>
            <w:vAlign w:val="center"/>
          </w:tcPr>
          <w:p w:rsidR="002563AD" w:rsidRPr="002563AD" w:rsidRDefault="00B054C3" w:rsidP="00B054C3">
            <w:pPr>
              <w:tabs>
                <w:tab w:val="left" w:pos="2895"/>
              </w:tabs>
              <w:contextualSpacing/>
              <w:jc w:val="center"/>
              <w:rPr>
                <w:sz w:val="24"/>
                <w:szCs w:val="24"/>
              </w:rPr>
            </w:pPr>
            <w:r>
              <w:t xml:space="preserve">Стоимость </w:t>
            </w:r>
            <w:r w:rsidR="002563AD">
              <w:t>пассивов</w:t>
            </w:r>
          </w:p>
        </w:tc>
        <w:tc>
          <w:tcPr>
            <w:tcW w:w="1559" w:type="dxa"/>
            <w:vAlign w:val="center"/>
          </w:tcPr>
          <w:p w:rsidR="002563AD" w:rsidRPr="002563AD" w:rsidRDefault="00B054C3" w:rsidP="00B054C3">
            <w:pPr>
              <w:tabs>
                <w:tab w:val="left" w:pos="2895"/>
              </w:tabs>
              <w:contextualSpacing/>
              <w:jc w:val="center"/>
              <w:rPr>
                <w:sz w:val="24"/>
                <w:szCs w:val="24"/>
              </w:rPr>
            </w:pPr>
            <w:r>
              <w:t>7,33%</w:t>
            </w:r>
          </w:p>
        </w:tc>
        <w:tc>
          <w:tcPr>
            <w:tcW w:w="1560" w:type="dxa"/>
            <w:vAlign w:val="center"/>
          </w:tcPr>
          <w:p w:rsidR="002563AD" w:rsidRPr="002563AD" w:rsidRDefault="00B054C3" w:rsidP="00B054C3">
            <w:pPr>
              <w:tabs>
                <w:tab w:val="left" w:pos="2895"/>
              </w:tabs>
              <w:contextualSpacing/>
              <w:jc w:val="center"/>
              <w:rPr>
                <w:sz w:val="24"/>
                <w:szCs w:val="24"/>
              </w:rPr>
            </w:pPr>
            <w:r>
              <w:t>6,98%</w:t>
            </w:r>
          </w:p>
        </w:tc>
        <w:tc>
          <w:tcPr>
            <w:tcW w:w="1559" w:type="dxa"/>
            <w:vAlign w:val="center"/>
          </w:tcPr>
          <w:p w:rsidR="002563AD" w:rsidRPr="002563AD" w:rsidRDefault="00B054C3" w:rsidP="00B054C3">
            <w:pPr>
              <w:tabs>
                <w:tab w:val="left" w:pos="2895"/>
              </w:tabs>
              <w:contextualSpacing/>
              <w:jc w:val="center"/>
              <w:rPr>
                <w:sz w:val="24"/>
                <w:szCs w:val="24"/>
              </w:rPr>
            </w:pPr>
            <w:r>
              <w:t>6,81%</w:t>
            </w:r>
          </w:p>
        </w:tc>
      </w:tr>
      <w:tr w:rsidR="002563AD" w:rsidTr="00B054C3">
        <w:tc>
          <w:tcPr>
            <w:tcW w:w="3652" w:type="dxa"/>
            <w:vAlign w:val="center"/>
          </w:tcPr>
          <w:p w:rsidR="002563AD" w:rsidRPr="002563AD" w:rsidRDefault="00B054C3" w:rsidP="00B054C3">
            <w:pPr>
              <w:tabs>
                <w:tab w:val="left" w:pos="2895"/>
              </w:tabs>
              <w:contextualSpacing/>
              <w:jc w:val="center"/>
              <w:rPr>
                <w:sz w:val="24"/>
                <w:szCs w:val="24"/>
              </w:rPr>
            </w:pPr>
            <w:r>
              <w:t xml:space="preserve">Чистый </w:t>
            </w:r>
            <w:r w:rsidR="002563AD">
              <w:t>спрэд</w:t>
            </w:r>
          </w:p>
        </w:tc>
        <w:tc>
          <w:tcPr>
            <w:tcW w:w="1559" w:type="dxa"/>
            <w:vAlign w:val="center"/>
          </w:tcPr>
          <w:p w:rsidR="002563AD" w:rsidRPr="00B054C3" w:rsidRDefault="00B054C3" w:rsidP="00B054C3">
            <w:pPr>
              <w:tabs>
                <w:tab w:val="left" w:pos="2895"/>
              </w:tabs>
              <w:contextualSpacing/>
              <w:jc w:val="center"/>
              <w:rPr>
                <w:b/>
                <w:sz w:val="24"/>
                <w:szCs w:val="24"/>
              </w:rPr>
            </w:pPr>
            <w:r>
              <w:t>2,24%</w:t>
            </w:r>
          </w:p>
        </w:tc>
        <w:tc>
          <w:tcPr>
            <w:tcW w:w="1560" w:type="dxa"/>
            <w:vAlign w:val="center"/>
          </w:tcPr>
          <w:p w:rsidR="002563AD" w:rsidRPr="002563AD" w:rsidRDefault="00B054C3" w:rsidP="00B054C3">
            <w:pPr>
              <w:tabs>
                <w:tab w:val="left" w:pos="2895"/>
              </w:tabs>
              <w:contextualSpacing/>
              <w:jc w:val="center"/>
              <w:rPr>
                <w:sz w:val="24"/>
                <w:szCs w:val="24"/>
              </w:rPr>
            </w:pPr>
            <w:r>
              <w:t>2,19%</w:t>
            </w:r>
          </w:p>
        </w:tc>
        <w:tc>
          <w:tcPr>
            <w:tcW w:w="1559" w:type="dxa"/>
            <w:vAlign w:val="center"/>
          </w:tcPr>
          <w:p w:rsidR="002563AD" w:rsidRPr="002563AD" w:rsidRDefault="00B054C3" w:rsidP="00B054C3">
            <w:pPr>
              <w:tabs>
                <w:tab w:val="left" w:pos="2895"/>
              </w:tabs>
              <w:contextualSpacing/>
              <w:jc w:val="center"/>
              <w:rPr>
                <w:sz w:val="24"/>
                <w:szCs w:val="24"/>
              </w:rPr>
            </w:pPr>
            <w:r>
              <w:t>2,99%</w:t>
            </w:r>
          </w:p>
        </w:tc>
      </w:tr>
      <w:tr w:rsidR="002563AD" w:rsidTr="00B054C3">
        <w:tc>
          <w:tcPr>
            <w:tcW w:w="3652" w:type="dxa"/>
            <w:vAlign w:val="center"/>
          </w:tcPr>
          <w:p w:rsidR="002563AD" w:rsidRPr="002563AD" w:rsidRDefault="000D640D" w:rsidP="00B054C3">
            <w:pPr>
              <w:tabs>
                <w:tab w:val="left" w:pos="2895"/>
              </w:tabs>
              <w:contextualSpacing/>
              <w:jc w:val="center"/>
              <w:rPr>
                <w:sz w:val="24"/>
                <w:szCs w:val="24"/>
              </w:rPr>
            </w:pPr>
            <w:r>
              <w:t>Cost /</w:t>
            </w:r>
            <w:r w:rsidR="002563AD">
              <w:t>income</w:t>
            </w:r>
          </w:p>
        </w:tc>
        <w:tc>
          <w:tcPr>
            <w:tcW w:w="1559" w:type="dxa"/>
            <w:vAlign w:val="center"/>
          </w:tcPr>
          <w:p w:rsidR="002563AD" w:rsidRPr="002563AD" w:rsidRDefault="00B054C3" w:rsidP="00B054C3">
            <w:pPr>
              <w:tabs>
                <w:tab w:val="left" w:pos="2895"/>
              </w:tabs>
              <w:contextualSpacing/>
              <w:jc w:val="center"/>
              <w:rPr>
                <w:sz w:val="24"/>
                <w:szCs w:val="24"/>
              </w:rPr>
            </w:pPr>
            <w:r>
              <w:t>79,23%</w:t>
            </w:r>
          </w:p>
        </w:tc>
        <w:tc>
          <w:tcPr>
            <w:tcW w:w="1560" w:type="dxa"/>
            <w:vAlign w:val="center"/>
          </w:tcPr>
          <w:p w:rsidR="002563AD" w:rsidRPr="002563AD" w:rsidRDefault="00B054C3" w:rsidP="00B054C3">
            <w:pPr>
              <w:tabs>
                <w:tab w:val="left" w:pos="2895"/>
              </w:tabs>
              <w:contextualSpacing/>
              <w:jc w:val="center"/>
              <w:rPr>
                <w:sz w:val="24"/>
                <w:szCs w:val="24"/>
              </w:rPr>
            </w:pPr>
            <w:r>
              <w:t>68,89%</w:t>
            </w:r>
          </w:p>
        </w:tc>
        <w:tc>
          <w:tcPr>
            <w:tcW w:w="1559" w:type="dxa"/>
            <w:vAlign w:val="center"/>
          </w:tcPr>
          <w:p w:rsidR="002563AD" w:rsidRPr="002563AD" w:rsidRDefault="00942F60" w:rsidP="00B054C3">
            <w:pPr>
              <w:tabs>
                <w:tab w:val="left" w:pos="2895"/>
              </w:tabs>
              <w:contextualSpacing/>
              <w:jc w:val="center"/>
              <w:rPr>
                <w:sz w:val="24"/>
                <w:szCs w:val="24"/>
              </w:rPr>
            </w:pPr>
            <w:r>
              <w:t>79,86%</w:t>
            </w:r>
          </w:p>
        </w:tc>
      </w:tr>
      <w:tr w:rsidR="002563AD" w:rsidTr="00B054C3">
        <w:tc>
          <w:tcPr>
            <w:tcW w:w="3652" w:type="dxa"/>
            <w:vAlign w:val="center"/>
          </w:tcPr>
          <w:p w:rsidR="002563AD" w:rsidRPr="002563AD" w:rsidRDefault="000D640D" w:rsidP="00B054C3">
            <w:pPr>
              <w:tabs>
                <w:tab w:val="left" w:pos="2895"/>
              </w:tabs>
              <w:contextualSpacing/>
              <w:jc w:val="center"/>
              <w:rPr>
                <w:sz w:val="24"/>
                <w:szCs w:val="24"/>
              </w:rPr>
            </w:pPr>
            <w:r>
              <w:t xml:space="preserve">Cost of </w:t>
            </w:r>
            <w:r w:rsidR="002563AD">
              <w:t>assets</w:t>
            </w:r>
          </w:p>
        </w:tc>
        <w:tc>
          <w:tcPr>
            <w:tcW w:w="1559" w:type="dxa"/>
            <w:vAlign w:val="center"/>
          </w:tcPr>
          <w:p w:rsidR="002563AD" w:rsidRPr="002563AD" w:rsidRDefault="00B054C3" w:rsidP="00B054C3">
            <w:pPr>
              <w:tabs>
                <w:tab w:val="left" w:pos="2895"/>
              </w:tabs>
              <w:contextualSpacing/>
              <w:jc w:val="center"/>
              <w:rPr>
                <w:sz w:val="24"/>
                <w:szCs w:val="24"/>
              </w:rPr>
            </w:pPr>
            <w:r>
              <w:t>-2,93%</w:t>
            </w:r>
          </w:p>
        </w:tc>
        <w:tc>
          <w:tcPr>
            <w:tcW w:w="1560" w:type="dxa"/>
            <w:vAlign w:val="center"/>
          </w:tcPr>
          <w:p w:rsidR="002563AD" w:rsidRPr="002563AD" w:rsidRDefault="00B054C3" w:rsidP="00B054C3">
            <w:pPr>
              <w:tabs>
                <w:tab w:val="left" w:pos="2895"/>
              </w:tabs>
              <w:contextualSpacing/>
              <w:jc w:val="center"/>
              <w:rPr>
                <w:sz w:val="24"/>
                <w:szCs w:val="24"/>
              </w:rPr>
            </w:pPr>
            <w:r>
              <w:t>2,56%</w:t>
            </w:r>
          </w:p>
        </w:tc>
        <w:tc>
          <w:tcPr>
            <w:tcW w:w="1559" w:type="dxa"/>
            <w:vAlign w:val="center"/>
          </w:tcPr>
          <w:p w:rsidR="002563AD" w:rsidRPr="002563AD" w:rsidRDefault="00942F60" w:rsidP="00B054C3">
            <w:pPr>
              <w:tabs>
                <w:tab w:val="left" w:pos="2895"/>
              </w:tabs>
              <w:contextualSpacing/>
              <w:jc w:val="center"/>
              <w:rPr>
                <w:sz w:val="24"/>
                <w:szCs w:val="24"/>
              </w:rPr>
            </w:pPr>
            <w:r>
              <w:t>3,00%</w:t>
            </w:r>
          </w:p>
        </w:tc>
      </w:tr>
      <w:tr w:rsidR="002563AD" w:rsidTr="00B054C3">
        <w:tc>
          <w:tcPr>
            <w:tcW w:w="3652" w:type="dxa"/>
            <w:vAlign w:val="center"/>
          </w:tcPr>
          <w:p w:rsidR="002563AD" w:rsidRPr="002563AD" w:rsidRDefault="000D640D" w:rsidP="00B054C3">
            <w:pPr>
              <w:tabs>
                <w:tab w:val="left" w:pos="2895"/>
              </w:tabs>
              <w:contextualSpacing/>
              <w:jc w:val="center"/>
              <w:rPr>
                <w:sz w:val="24"/>
                <w:szCs w:val="24"/>
              </w:rPr>
            </w:pPr>
            <w:r>
              <w:t xml:space="preserve">Валюта </w:t>
            </w:r>
            <w:r w:rsidR="002563AD">
              <w:t>баланса</w:t>
            </w:r>
          </w:p>
        </w:tc>
        <w:tc>
          <w:tcPr>
            <w:tcW w:w="1559" w:type="dxa"/>
            <w:vAlign w:val="center"/>
          </w:tcPr>
          <w:p w:rsidR="002563AD" w:rsidRPr="002563AD" w:rsidRDefault="00B054C3" w:rsidP="00B054C3">
            <w:pPr>
              <w:tabs>
                <w:tab w:val="left" w:pos="2895"/>
              </w:tabs>
              <w:contextualSpacing/>
              <w:jc w:val="center"/>
              <w:rPr>
                <w:sz w:val="24"/>
                <w:szCs w:val="24"/>
              </w:rPr>
            </w:pPr>
            <w:r>
              <w:t>1 848 643 258</w:t>
            </w:r>
          </w:p>
        </w:tc>
        <w:tc>
          <w:tcPr>
            <w:tcW w:w="1560" w:type="dxa"/>
            <w:vAlign w:val="center"/>
          </w:tcPr>
          <w:p w:rsidR="002563AD" w:rsidRPr="002563AD" w:rsidRDefault="00B054C3" w:rsidP="00B054C3">
            <w:pPr>
              <w:tabs>
                <w:tab w:val="left" w:pos="2895"/>
              </w:tabs>
              <w:contextualSpacing/>
              <w:jc w:val="center"/>
              <w:rPr>
                <w:sz w:val="24"/>
                <w:szCs w:val="24"/>
              </w:rPr>
            </w:pPr>
            <w:r>
              <w:t>1 798 927 373</w:t>
            </w:r>
          </w:p>
        </w:tc>
        <w:tc>
          <w:tcPr>
            <w:tcW w:w="1559" w:type="dxa"/>
            <w:vAlign w:val="center"/>
          </w:tcPr>
          <w:p w:rsidR="002563AD" w:rsidRPr="002563AD" w:rsidRDefault="00942F60" w:rsidP="00B054C3">
            <w:pPr>
              <w:tabs>
                <w:tab w:val="left" w:pos="2895"/>
              </w:tabs>
              <w:contextualSpacing/>
              <w:jc w:val="center"/>
              <w:rPr>
                <w:sz w:val="24"/>
                <w:szCs w:val="24"/>
              </w:rPr>
            </w:pPr>
            <w:r>
              <w:t>1 780 657 765</w:t>
            </w:r>
          </w:p>
        </w:tc>
      </w:tr>
      <w:tr w:rsidR="002563AD" w:rsidTr="00B054C3">
        <w:tc>
          <w:tcPr>
            <w:tcW w:w="3652" w:type="dxa"/>
            <w:vAlign w:val="center"/>
          </w:tcPr>
          <w:p w:rsidR="002563AD" w:rsidRPr="002563AD" w:rsidRDefault="000D640D" w:rsidP="00B054C3">
            <w:pPr>
              <w:tabs>
                <w:tab w:val="left" w:pos="2895"/>
              </w:tabs>
              <w:contextualSpacing/>
              <w:jc w:val="center"/>
              <w:rPr>
                <w:sz w:val="24"/>
                <w:szCs w:val="24"/>
              </w:rPr>
            </w:pPr>
            <w:r>
              <w:t xml:space="preserve">Средний </w:t>
            </w:r>
            <w:r w:rsidR="002563AD">
              <w:t>капитал</w:t>
            </w:r>
          </w:p>
        </w:tc>
        <w:tc>
          <w:tcPr>
            <w:tcW w:w="1559" w:type="dxa"/>
            <w:vAlign w:val="center"/>
          </w:tcPr>
          <w:p w:rsidR="002563AD" w:rsidRPr="002563AD" w:rsidRDefault="00B054C3" w:rsidP="00B054C3">
            <w:pPr>
              <w:tabs>
                <w:tab w:val="left" w:pos="2895"/>
              </w:tabs>
              <w:contextualSpacing/>
              <w:jc w:val="center"/>
              <w:rPr>
                <w:sz w:val="24"/>
                <w:szCs w:val="24"/>
              </w:rPr>
            </w:pPr>
            <w:r>
              <w:t>205 218 615</w:t>
            </w:r>
          </w:p>
        </w:tc>
        <w:tc>
          <w:tcPr>
            <w:tcW w:w="1560" w:type="dxa"/>
            <w:vAlign w:val="center"/>
          </w:tcPr>
          <w:p w:rsidR="002563AD" w:rsidRPr="002563AD" w:rsidRDefault="00B054C3" w:rsidP="00B054C3">
            <w:pPr>
              <w:tabs>
                <w:tab w:val="left" w:pos="2895"/>
              </w:tabs>
              <w:contextualSpacing/>
              <w:jc w:val="center"/>
              <w:rPr>
                <w:sz w:val="24"/>
                <w:szCs w:val="24"/>
              </w:rPr>
            </w:pPr>
            <w:r>
              <w:t>206 580 558</w:t>
            </w:r>
          </w:p>
        </w:tc>
        <w:tc>
          <w:tcPr>
            <w:tcW w:w="1559" w:type="dxa"/>
            <w:vAlign w:val="center"/>
          </w:tcPr>
          <w:p w:rsidR="002563AD" w:rsidRPr="002563AD" w:rsidRDefault="00942F60" w:rsidP="00B054C3">
            <w:pPr>
              <w:tabs>
                <w:tab w:val="left" w:pos="2895"/>
              </w:tabs>
              <w:contextualSpacing/>
              <w:jc w:val="center"/>
              <w:rPr>
                <w:sz w:val="24"/>
                <w:szCs w:val="24"/>
              </w:rPr>
            </w:pPr>
            <w:r>
              <w:t>208 775 353</w:t>
            </w:r>
          </w:p>
        </w:tc>
      </w:tr>
      <w:tr w:rsidR="002563AD" w:rsidTr="00B054C3">
        <w:tc>
          <w:tcPr>
            <w:tcW w:w="3652" w:type="dxa"/>
            <w:vAlign w:val="center"/>
          </w:tcPr>
          <w:p w:rsidR="002563AD" w:rsidRPr="002563AD" w:rsidRDefault="000D640D" w:rsidP="00B054C3">
            <w:pPr>
              <w:tabs>
                <w:tab w:val="left" w:pos="2895"/>
              </w:tabs>
              <w:contextualSpacing/>
              <w:jc w:val="center"/>
              <w:rPr>
                <w:sz w:val="24"/>
                <w:szCs w:val="24"/>
              </w:rPr>
            </w:pPr>
            <w:r>
              <w:t xml:space="preserve">Средние </w:t>
            </w:r>
            <w:r w:rsidR="002563AD">
              <w:t>% активы</w:t>
            </w:r>
          </w:p>
        </w:tc>
        <w:tc>
          <w:tcPr>
            <w:tcW w:w="1559" w:type="dxa"/>
            <w:vAlign w:val="center"/>
          </w:tcPr>
          <w:p w:rsidR="002563AD" w:rsidRPr="002563AD" w:rsidRDefault="00B054C3" w:rsidP="00B054C3">
            <w:pPr>
              <w:tabs>
                <w:tab w:val="left" w:pos="2895"/>
              </w:tabs>
              <w:contextualSpacing/>
              <w:jc w:val="center"/>
              <w:rPr>
                <w:sz w:val="24"/>
                <w:szCs w:val="24"/>
              </w:rPr>
            </w:pPr>
            <w:r>
              <w:t>1 748 415 499</w:t>
            </w:r>
          </w:p>
        </w:tc>
        <w:tc>
          <w:tcPr>
            <w:tcW w:w="1560" w:type="dxa"/>
            <w:vAlign w:val="center"/>
          </w:tcPr>
          <w:p w:rsidR="002563AD" w:rsidRPr="002563AD" w:rsidRDefault="00B054C3" w:rsidP="00B054C3">
            <w:pPr>
              <w:tabs>
                <w:tab w:val="left" w:pos="2895"/>
              </w:tabs>
              <w:contextualSpacing/>
              <w:jc w:val="center"/>
              <w:rPr>
                <w:sz w:val="24"/>
                <w:szCs w:val="24"/>
              </w:rPr>
            </w:pPr>
            <w:r>
              <w:rPr>
                <w:sz w:val="24"/>
                <w:szCs w:val="24"/>
              </w:rPr>
              <w:t>1697956243</w:t>
            </w:r>
          </w:p>
        </w:tc>
        <w:tc>
          <w:tcPr>
            <w:tcW w:w="1559" w:type="dxa"/>
            <w:vAlign w:val="center"/>
          </w:tcPr>
          <w:p w:rsidR="002563AD" w:rsidRPr="002563AD" w:rsidRDefault="00942F60" w:rsidP="00B054C3">
            <w:pPr>
              <w:tabs>
                <w:tab w:val="left" w:pos="2895"/>
              </w:tabs>
              <w:contextualSpacing/>
              <w:jc w:val="center"/>
              <w:rPr>
                <w:sz w:val="24"/>
                <w:szCs w:val="24"/>
              </w:rPr>
            </w:pPr>
            <w:r>
              <w:t>1 686 172 502</w:t>
            </w:r>
          </w:p>
        </w:tc>
      </w:tr>
      <w:tr w:rsidR="002563AD" w:rsidTr="00B054C3">
        <w:tc>
          <w:tcPr>
            <w:tcW w:w="3652" w:type="dxa"/>
            <w:vAlign w:val="center"/>
          </w:tcPr>
          <w:p w:rsidR="002563AD" w:rsidRPr="002563AD" w:rsidRDefault="00B054C3" w:rsidP="00B054C3">
            <w:pPr>
              <w:tabs>
                <w:tab w:val="left" w:pos="2895"/>
              </w:tabs>
              <w:contextualSpacing/>
              <w:jc w:val="center"/>
              <w:rPr>
                <w:sz w:val="24"/>
                <w:szCs w:val="24"/>
              </w:rPr>
            </w:pPr>
            <w:r>
              <w:rPr>
                <w:sz w:val="24"/>
                <w:szCs w:val="24"/>
              </w:rPr>
              <w:t>Средние % пассивов</w:t>
            </w:r>
          </w:p>
        </w:tc>
        <w:tc>
          <w:tcPr>
            <w:tcW w:w="1559" w:type="dxa"/>
            <w:vAlign w:val="center"/>
          </w:tcPr>
          <w:p w:rsidR="002563AD" w:rsidRPr="002563AD" w:rsidRDefault="00B054C3" w:rsidP="00B054C3">
            <w:pPr>
              <w:tabs>
                <w:tab w:val="left" w:pos="2895"/>
              </w:tabs>
              <w:contextualSpacing/>
              <w:jc w:val="center"/>
              <w:rPr>
                <w:sz w:val="24"/>
                <w:szCs w:val="24"/>
              </w:rPr>
            </w:pPr>
            <w:r>
              <w:t>1 588 799 131</w:t>
            </w:r>
          </w:p>
        </w:tc>
        <w:tc>
          <w:tcPr>
            <w:tcW w:w="1560" w:type="dxa"/>
            <w:vAlign w:val="center"/>
          </w:tcPr>
          <w:p w:rsidR="002563AD" w:rsidRPr="002563AD" w:rsidRDefault="00B054C3" w:rsidP="00B054C3">
            <w:pPr>
              <w:tabs>
                <w:tab w:val="left" w:pos="2895"/>
              </w:tabs>
              <w:contextualSpacing/>
              <w:jc w:val="center"/>
              <w:rPr>
                <w:sz w:val="24"/>
                <w:szCs w:val="24"/>
              </w:rPr>
            </w:pPr>
            <w:r>
              <w:t>1 560 108 910</w:t>
            </w:r>
          </w:p>
        </w:tc>
        <w:tc>
          <w:tcPr>
            <w:tcW w:w="1559" w:type="dxa"/>
            <w:vAlign w:val="center"/>
          </w:tcPr>
          <w:p w:rsidR="002563AD" w:rsidRPr="002563AD" w:rsidRDefault="00942F60" w:rsidP="00B054C3">
            <w:pPr>
              <w:tabs>
                <w:tab w:val="left" w:pos="2895"/>
              </w:tabs>
              <w:contextualSpacing/>
              <w:jc w:val="center"/>
              <w:rPr>
                <w:sz w:val="24"/>
                <w:szCs w:val="24"/>
              </w:rPr>
            </w:pPr>
            <w:r>
              <w:t>1 539 723 878</w:t>
            </w:r>
          </w:p>
        </w:tc>
      </w:tr>
      <w:tr w:rsidR="002563AD" w:rsidTr="00B054C3">
        <w:tc>
          <w:tcPr>
            <w:tcW w:w="3652" w:type="dxa"/>
            <w:vAlign w:val="center"/>
          </w:tcPr>
          <w:p w:rsidR="002563AD" w:rsidRPr="002563AD" w:rsidRDefault="00B054C3" w:rsidP="00B054C3">
            <w:pPr>
              <w:tabs>
                <w:tab w:val="left" w:pos="2895"/>
              </w:tabs>
              <w:contextualSpacing/>
              <w:jc w:val="center"/>
              <w:rPr>
                <w:sz w:val="24"/>
                <w:szCs w:val="24"/>
              </w:rPr>
            </w:pPr>
            <w:r>
              <w:rPr>
                <w:sz w:val="24"/>
                <w:szCs w:val="24"/>
              </w:rPr>
              <w:t>ЧПД</w:t>
            </w:r>
          </w:p>
        </w:tc>
        <w:tc>
          <w:tcPr>
            <w:tcW w:w="1559" w:type="dxa"/>
            <w:vAlign w:val="center"/>
          </w:tcPr>
          <w:p w:rsidR="002563AD" w:rsidRPr="002563AD" w:rsidRDefault="00B054C3" w:rsidP="00B054C3">
            <w:pPr>
              <w:tabs>
                <w:tab w:val="left" w:pos="2895"/>
              </w:tabs>
              <w:contextualSpacing/>
              <w:jc w:val="center"/>
              <w:rPr>
                <w:sz w:val="24"/>
                <w:szCs w:val="24"/>
              </w:rPr>
            </w:pPr>
            <w:r>
              <w:rPr>
                <w:sz w:val="24"/>
                <w:szCs w:val="24"/>
              </w:rPr>
              <w:t>12731500</w:t>
            </w:r>
          </w:p>
        </w:tc>
        <w:tc>
          <w:tcPr>
            <w:tcW w:w="1560" w:type="dxa"/>
            <w:vAlign w:val="center"/>
          </w:tcPr>
          <w:p w:rsidR="002563AD" w:rsidRPr="002563AD" w:rsidRDefault="00B054C3" w:rsidP="00B054C3">
            <w:pPr>
              <w:tabs>
                <w:tab w:val="left" w:pos="2895"/>
              </w:tabs>
              <w:contextualSpacing/>
              <w:jc w:val="center"/>
              <w:rPr>
                <w:sz w:val="24"/>
                <w:szCs w:val="24"/>
              </w:rPr>
            </w:pPr>
            <w:r>
              <w:t>11 729 506</w:t>
            </w:r>
          </w:p>
        </w:tc>
        <w:tc>
          <w:tcPr>
            <w:tcW w:w="1559" w:type="dxa"/>
            <w:vAlign w:val="center"/>
          </w:tcPr>
          <w:p w:rsidR="002563AD" w:rsidRPr="002563AD" w:rsidRDefault="00942F60" w:rsidP="00B054C3">
            <w:pPr>
              <w:tabs>
                <w:tab w:val="left" w:pos="2895"/>
              </w:tabs>
              <w:contextualSpacing/>
              <w:jc w:val="center"/>
              <w:rPr>
                <w:sz w:val="24"/>
                <w:szCs w:val="24"/>
              </w:rPr>
            </w:pPr>
            <w:r>
              <w:t>15 111 300</w:t>
            </w:r>
          </w:p>
        </w:tc>
      </w:tr>
      <w:tr w:rsidR="002563AD" w:rsidTr="00B054C3">
        <w:tc>
          <w:tcPr>
            <w:tcW w:w="3652" w:type="dxa"/>
            <w:vAlign w:val="center"/>
          </w:tcPr>
          <w:p w:rsidR="002563AD" w:rsidRPr="002563AD" w:rsidRDefault="00B054C3" w:rsidP="00B054C3">
            <w:pPr>
              <w:tabs>
                <w:tab w:val="left" w:pos="2895"/>
              </w:tabs>
              <w:contextualSpacing/>
              <w:jc w:val="center"/>
              <w:rPr>
                <w:sz w:val="24"/>
                <w:szCs w:val="24"/>
              </w:rPr>
            </w:pPr>
            <w:r>
              <w:rPr>
                <w:sz w:val="24"/>
                <w:szCs w:val="24"/>
              </w:rPr>
              <w:t>ЧКД</w:t>
            </w:r>
          </w:p>
        </w:tc>
        <w:tc>
          <w:tcPr>
            <w:tcW w:w="1559" w:type="dxa"/>
            <w:vAlign w:val="center"/>
          </w:tcPr>
          <w:p w:rsidR="002563AD" w:rsidRPr="002563AD" w:rsidRDefault="00B054C3" w:rsidP="00B054C3">
            <w:pPr>
              <w:tabs>
                <w:tab w:val="left" w:pos="2895"/>
              </w:tabs>
              <w:contextualSpacing/>
              <w:jc w:val="center"/>
              <w:rPr>
                <w:sz w:val="24"/>
                <w:szCs w:val="24"/>
              </w:rPr>
            </w:pPr>
            <w:r>
              <w:t>3 685 287</w:t>
            </w:r>
          </w:p>
        </w:tc>
        <w:tc>
          <w:tcPr>
            <w:tcW w:w="1560" w:type="dxa"/>
            <w:vAlign w:val="center"/>
          </w:tcPr>
          <w:p w:rsidR="002563AD" w:rsidRPr="002563AD" w:rsidRDefault="00B054C3" w:rsidP="00B054C3">
            <w:pPr>
              <w:tabs>
                <w:tab w:val="left" w:pos="2895"/>
              </w:tabs>
              <w:contextualSpacing/>
              <w:jc w:val="center"/>
              <w:rPr>
                <w:sz w:val="24"/>
                <w:szCs w:val="24"/>
              </w:rPr>
            </w:pPr>
            <w:r>
              <w:t>3 273 183</w:t>
            </w:r>
          </w:p>
        </w:tc>
        <w:tc>
          <w:tcPr>
            <w:tcW w:w="1559" w:type="dxa"/>
            <w:vAlign w:val="center"/>
          </w:tcPr>
          <w:p w:rsidR="002563AD" w:rsidRPr="002563AD" w:rsidRDefault="00942F60" w:rsidP="00B054C3">
            <w:pPr>
              <w:tabs>
                <w:tab w:val="left" w:pos="2895"/>
              </w:tabs>
              <w:contextualSpacing/>
              <w:jc w:val="center"/>
              <w:rPr>
                <w:sz w:val="24"/>
                <w:szCs w:val="24"/>
              </w:rPr>
            </w:pPr>
            <w:r>
              <w:t>2 974 585</w:t>
            </w:r>
          </w:p>
        </w:tc>
      </w:tr>
      <w:tr w:rsidR="002563AD" w:rsidTr="00B054C3">
        <w:tc>
          <w:tcPr>
            <w:tcW w:w="3652" w:type="dxa"/>
            <w:vAlign w:val="center"/>
          </w:tcPr>
          <w:p w:rsidR="002563AD" w:rsidRPr="002563AD" w:rsidRDefault="00B054C3" w:rsidP="00B054C3">
            <w:pPr>
              <w:tabs>
                <w:tab w:val="left" w:pos="2895"/>
              </w:tabs>
              <w:contextualSpacing/>
              <w:jc w:val="center"/>
              <w:rPr>
                <w:sz w:val="24"/>
                <w:szCs w:val="24"/>
              </w:rPr>
            </w:pPr>
            <w:r>
              <w:rPr>
                <w:sz w:val="24"/>
                <w:szCs w:val="24"/>
              </w:rPr>
              <w:t>ЧКД/ЧПД</w:t>
            </w:r>
          </w:p>
        </w:tc>
        <w:tc>
          <w:tcPr>
            <w:tcW w:w="1559" w:type="dxa"/>
            <w:vAlign w:val="center"/>
          </w:tcPr>
          <w:p w:rsidR="002563AD" w:rsidRPr="002563AD" w:rsidRDefault="00B054C3" w:rsidP="00B054C3">
            <w:pPr>
              <w:tabs>
                <w:tab w:val="left" w:pos="2895"/>
              </w:tabs>
              <w:contextualSpacing/>
              <w:jc w:val="center"/>
              <w:rPr>
                <w:sz w:val="24"/>
                <w:szCs w:val="24"/>
              </w:rPr>
            </w:pPr>
            <w:r>
              <w:t>28,9%</w:t>
            </w:r>
          </w:p>
        </w:tc>
        <w:tc>
          <w:tcPr>
            <w:tcW w:w="1560" w:type="dxa"/>
            <w:vAlign w:val="center"/>
          </w:tcPr>
          <w:p w:rsidR="002563AD" w:rsidRPr="002563AD" w:rsidRDefault="00B054C3" w:rsidP="00B054C3">
            <w:pPr>
              <w:tabs>
                <w:tab w:val="left" w:pos="2895"/>
              </w:tabs>
              <w:contextualSpacing/>
              <w:jc w:val="center"/>
              <w:rPr>
                <w:sz w:val="24"/>
                <w:szCs w:val="24"/>
              </w:rPr>
            </w:pPr>
            <w:r>
              <w:t>27,9%</w:t>
            </w:r>
          </w:p>
        </w:tc>
        <w:tc>
          <w:tcPr>
            <w:tcW w:w="1559" w:type="dxa"/>
            <w:vAlign w:val="center"/>
          </w:tcPr>
          <w:p w:rsidR="002563AD" w:rsidRPr="002563AD" w:rsidRDefault="00942F60" w:rsidP="00B054C3">
            <w:pPr>
              <w:tabs>
                <w:tab w:val="left" w:pos="2895"/>
              </w:tabs>
              <w:contextualSpacing/>
              <w:jc w:val="center"/>
              <w:rPr>
                <w:sz w:val="24"/>
                <w:szCs w:val="24"/>
              </w:rPr>
            </w:pPr>
            <w:r>
              <w:t>19,7%</w:t>
            </w:r>
          </w:p>
        </w:tc>
      </w:tr>
    </w:tbl>
    <w:p w:rsidR="00B054C3" w:rsidRDefault="00B054C3" w:rsidP="00B054C3">
      <w:pPr>
        <w:tabs>
          <w:tab w:val="left" w:pos="2895"/>
        </w:tabs>
        <w:spacing w:line="360" w:lineRule="auto"/>
        <w:contextualSpacing/>
        <w:jc w:val="both"/>
        <w:rPr>
          <w:sz w:val="28"/>
          <w:szCs w:val="28"/>
        </w:rPr>
      </w:pPr>
      <w:r w:rsidRPr="00B054C3">
        <w:rPr>
          <w:b/>
          <w:bCs/>
          <w:sz w:val="28"/>
          <w:szCs w:val="28"/>
        </w:rPr>
        <w:t>RoA</w:t>
      </w:r>
      <w:r w:rsidRPr="00B054C3">
        <w:rPr>
          <w:sz w:val="28"/>
          <w:szCs w:val="28"/>
        </w:rPr>
        <w:t xml:space="preserve"> - Return on average Assets - нераспределенная прибыль за период, отнесенная к средней валюте баланса.</w:t>
      </w:r>
    </w:p>
    <w:p w:rsidR="00B054C3" w:rsidRDefault="00B054C3" w:rsidP="00B054C3">
      <w:pPr>
        <w:tabs>
          <w:tab w:val="left" w:pos="2895"/>
        </w:tabs>
        <w:spacing w:line="360" w:lineRule="auto"/>
        <w:contextualSpacing/>
        <w:jc w:val="both"/>
        <w:rPr>
          <w:sz w:val="28"/>
          <w:szCs w:val="28"/>
        </w:rPr>
      </w:pPr>
      <w:r w:rsidRPr="00B054C3">
        <w:rPr>
          <w:b/>
          <w:bCs/>
          <w:sz w:val="28"/>
          <w:szCs w:val="28"/>
        </w:rPr>
        <w:t>RoE</w:t>
      </w:r>
      <w:r w:rsidRPr="00B054C3">
        <w:rPr>
          <w:sz w:val="28"/>
          <w:szCs w:val="28"/>
        </w:rPr>
        <w:t xml:space="preserve"> - Return on average Equity - нераспределенная прибыль за период, отнесенная к среднему размеру собственных средств (без субординированых займов).</w:t>
      </w:r>
    </w:p>
    <w:p w:rsidR="00B054C3" w:rsidRDefault="00B054C3" w:rsidP="00B054C3">
      <w:pPr>
        <w:tabs>
          <w:tab w:val="left" w:pos="2895"/>
        </w:tabs>
        <w:spacing w:line="360" w:lineRule="auto"/>
        <w:contextualSpacing/>
        <w:jc w:val="both"/>
        <w:rPr>
          <w:sz w:val="28"/>
          <w:szCs w:val="28"/>
        </w:rPr>
      </w:pPr>
      <w:r w:rsidRPr="00B054C3">
        <w:rPr>
          <w:b/>
          <w:bCs/>
          <w:sz w:val="28"/>
          <w:szCs w:val="28"/>
        </w:rPr>
        <w:t>Леверидж</w:t>
      </w:r>
      <w:r w:rsidRPr="00B054C3">
        <w:rPr>
          <w:sz w:val="28"/>
          <w:szCs w:val="28"/>
        </w:rPr>
        <w:t xml:space="preserve"> - отношение средних активов к среднему капиталу (без субординированых займов).</w:t>
      </w:r>
    </w:p>
    <w:p w:rsidR="00B054C3" w:rsidRDefault="00B054C3" w:rsidP="00B054C3">
      <w:pPr>
        <w:tabs>
          <w:tab w:val="left" w:pos="2895"/>
        </w:tabs>
        <w:spacing w:line="360" w:lineRule="auto"/>
        <w:contextualSpacing/>
        <w:jc w:val="both"/>
        <w:rPr>
          <w:sz w:val="28"/>
          <w:szCs w:val="28"/>
        </w:rPr>
      </w:pPr>
      <w:r w:rsidRPr="00B054C3">
        <w:rPr>
          <w:b/>
          <w:bCs/>
          <w:sz w:val="28"/>
          <w:szCs w:val="28"/>
        </w:rPr>
        <w:t>Достаточность капитала</w:t>
      </w:r>
      <w:r w:rsidRPr="00B054C3">
        <w:rPr>
          <w:sz w:val="28"/>
          <w:szCs w:val="28"/>
        </w:rPr>
        <w:t xml:space="preserve"> = 1 / Леверидж. </w:t>
      </w:r>
    </w:p>
    <w:p w:rsidR="00B054C3" w:rsidRDefault="00B054C3" w:rsidP="00B054C3">
      <w:pPr>
        <w:tabs>
          <w:tab w:val="left" w:pos="2895"/>
        </w:tabs>
        <w:spacing w:line="360" w:lineRule="auto"/>
        <w:contextualSpacing/>
        <w:jc w:val="both"/>
        <w:rPr>
          <w:sz w:val="28"/>
          <w:szCs w:val="28"/>
        </w:rPr>
      </w:pPr>
      <w:r w:rsidRPr="00B054C3">
        <w:rPr>
          <w:b/>
          <w:bCs/>
          <w:sz w:val="28"/>
          <w:szCs w:val="28"/>
        </w:rPr>
        <w:t>ЧПМ</w:t>
      </w:r>
      <w:r w:rsidRPr="00B054C3">
        <w:rPr>
          <w:sz w:val="28"/>
          <w:szCs w:val="28"/>
        </w:rPr>
        <w:t xml:space="preserve"> - чистая процентная маржа, отношение чистого процентного дохода к средней величине процентных активов.</w:t>
      </w:r>
    </w:p>
    <w:p w:rsidR="00B054C3" w:rsidRDefault="00B054C3" w:rsidP="00B054C3">
      <w:pPr>
        <w:tabs>
          <w:tab w:val="left" w:pos="2895"/>
        </w:tabs>
        <w:spacing w:line="360" w:lineRule="auto"/>
        <w:contextualSpacing/>
        <w:jc w:val="both"/>
        <w:rPr>
          <w:sz w:val="28"/>
          <w:szCs w:val="28"/>
        </w:rPr>
      </w:pPr>
      <w:r w:rsidRPr="00B054C3">
        <w:rPr>
          <w:b/>
          <w:bCs/>
          <w:sz w:val="28"/>
          <w:szCs w:val="28"/>
        </w:rPr>
        <w:t>Доходность активов</w:t>
      </w:r>
      <w:r w:rsidRPr="00B054C3">
        <w:rPr>
          <w:sz w:val="28"/>
          <w:szCs w:val="28"/>
        </w:rPr>
        <w:t xml:space="preserve"> - отношение процентных доходов к средней величине процентных активов.</w:t>
      </w:r>
    </w:p>
    <w:p w:rsidR="00B054C3" w:rsidRDefault="00B054C3" w:rsidP="00B054C3">
      <w:pPr>
        <w:tabs>
          <w:tab w:val="left" w:pos="2895"/>
        </w:tabs>
        <w:spacing w:line="360" w:lineRule="auto"/>
        <w:contextualSpacing/>
        <w:jc w:val="both"/>
        <w:rPr>
          <w:sz w:val="28"/>
          <w:szCs w:val="28"/>
        </w:rPr>
      </w:pPr>
      <w:r w:rsidRPr="00B054C3">
        <w:rPr>
          <w:b/>
          <w:bCs/>
          <w:sz w:val="28"/>
          <w:szCs w:val="28"/>
        </w:rPr>
        <w:t>Стоимость пассивов</w:t>
      </w:r>
      <w:r w:rsidRPr="00B054C3">
        <w:rPr>
          <w:sz w:val="28"/>
          <w:szCs w:val="28"/>
        </w:rPr>
        <w:t xml:space="preserve"> - отношение процентных расходов к средней величине процентных обязательств.</w:t>
      </w:r>
    </w:p>
    <w:p w:rsidR="00B054C3" w:rsidRDefault="00B054C3" w:rsidP="00B054C3">
      <w:pPr>
        <w:tabs>
          <w:tab w:val="left" w:pos="2895"/>
        </w:tabs>
        <w:spacing w:line="360" w:lineRule="auto"/>
        <w:contextualSpacing/>
        <w:jc w:val="both"/>
        <w:rPr>
          <w:sz w:val="28"/>
          <w:szCs w:val="28"/>
        </w:rPr>
      </w:pPr>
      <w:r w:rsidRPr="00B054C3">
        <w:rPr>
          <w:b/>
          <w:bCs/>
          <w:sz w:val="28"/>
          <w:szCs w:val="28"/>
        </w:rPr>
        <w:t>Чистый спрэд</w:t>
      </w:r>
      <w:r w:rsidRPr="00B054C3">
        <w:rPr>
          <w:sz w:val="28"/>
          <w:szCs w:val="28"/>
        </w:rPr>
        <w:t xml:space="preserve"> = Доходность активов - Стоимость пассивов.</w:t>
      </w:r>
    </w:p>
    <w:p w:rsidR="00B054C3" w:rsidRDefault="00B054C3" w:rsidP="00B054C3">
      <w:pPr>
        <w:tabs>
          <w:tab w:val="left" w:pos="2895"/>
        </w:tabs>
        <w:spacing w:line="360" w:lineRule="auto"/>
        <w:contextualSpacing/>
        <w:jc w:val="both"/>
        <w:rPr>
          <w:sz w:val="28"/>
          <w:szCs w:val="28"/>
        </w:rPr>
      </w:pPr>
      <w:r w:rsidRPr="00B054C3">
        <w:rPr>
          <w:b/>
          <w:bCs/>
          <w:sz w:val="28"/>
          <w:szCs w:val="28"/>
        </w:rPr>
        <w:t>Cost / income</w:t>
      </w:r>
      <w:r w:rsidRPr="00B054C3">
        <w:rPr>
          <w:sz w:val="28"/>
          <w:szCs w:val="28"/>
        </w:rPr>
        <w:t xml:space="preserve"> - операционная эффективность, отношение операционных расходов к операционным доходам до создания/восстановления резервов.</w:t>
      </w:r>
    </w:p>
    <w:p w:rsidR="00B054C3" w:rsidRDefault="00B054C3" w:rsidP="00B054C3">
      <w:pPr>
        <w:tabs>
          <w:tab w:val="left" w:pos="2895"/>
        </w:tabs>
        <w:spacing w:line="360" w:lineRule="auto"/>
        <w:contextualSpacing/>
        <w:jc w:val="both"/>
        <w:rPr>
          <w:sz w:val="28"/>
          <w:szCs w:val="28"/>
        </w:rPr>
      </w:pPr>
      <w:r w:rsidRPr="00B054C3">
        <w:rPr>
          <w:b/>
          <w:bCs/>
          <w:sz w:val="28"/>
          <w:szCs w:val="28"/>
        </w:rPr>
        <w:lastRenderedPageBreak/>
        <w:t>Cost of assets</w:t>
      </w:r>
      <w:r w:rsidRPr="00B054C3">
        <w:rPr>
          <w:sz w:val="28"/>
          <w:szCs w:val="28"/>
        </w:rPr>
        <w:t xml:space="preserve"> - стоимость активов, отношение операционных расходов к средним чистым процентным активам (чистые активы без высоколиквидных и прочих).</w:t>
      </w:r>
    </w:p>
    <w:p w:rsidR="00B054C3" w:rsidRDefault="00B054C3" w:rsidP="00B054C3">
      <w:pPr>
        <w:tabs>
          <w:tab w:val="left" w:pos="2895"/>
        </w:tabs>
        <w:spacing w:line="360" w:lineRule="auto"/>
        <w:contextualSpacing/>
        <w:jc w:val="both"/>
        <w:rPr>
          <w:sz w:val="28"/>
          <w:szCs w:val="28"/>
        </w:rPr>
      </w:pPr>
      <w:r w:rsidRPr="00B054C3">
        <w:rPr>
          <w:b/>
          <w:bCs/>
          <w:sz w:val="28"/>
          <w:szCs w:val="28"/>
        </w:rPr>
        <w:t>ЧПД</w:t>
      </w:r>
      <w:r w:rsidRPr="00B054C3">
        <w:rPr>
          <w:sz w:val="28"/>
          <w:szCs w:val="28"/>
        </w:rPr>
        <w:t xml:space="preserve"> - чистый процентный доход, процентные доходы - процентные расходы.</w:t>
      </w:r>
    </w:p>
    <w:p w:rsidR="002563AD" w:rsidRDefault="00B054C3" w:rsidP="00B054C3">
      <w:pPr>
        <w:tabs>
          <w:tab w:val="left" w:pos="2895"/>
        </w:tabs>
        <w:spacing w:line="360" w:lineRule="auto"/>
        <w:contextualSpacing/>
        <w:jc w:val="both"/>
        <w:rPr>
          <w:sz w:val="28"/>
          <w:szCs w:val="28"/>
        </w:rPr>
      </w:pPr>
      <w:r w:rsidRPr="00B054C3">
        <w:rPr>
          <w:b/>
          <w:bCs/>
          <w:sz w:val="28"/>
          <w:szCs w:val="28"/>
        </w:rPr>
        <w:t>ЧКД</w:t>
      </w:r>
      <w:r w:rsidRPr="00B054C3">
        <w:rPr>
          <w:sz w:val="28"/>
          <w:szCs w:val="28"/>
        </w:rPr>
        <w:t xml:space="preserve"> - чистый комиссионный доход, комиссионные доходы - комиссионные расходы.</w:t>
      </w: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Default="001D33BA" w:rsidP="00B054C3">
      <w:pPr>
        <w:tabs>
          <w:tab w:val="left" w:pos="2895"/>
        </w:tabs>
        <w:spacing w:line="360" w:lineRule="auto"/>
        <w:contextualSpacing/>
        <w:jc w:val="both"/>
        <w:rPr>
          <w:sz w:val="28"/>
          <w:szCs w:val="28"/>
        </w:rPr>
      </w:pPr>
    </w:p>
    <w:p w:rsidR="001D33BA" w:rsidRPr="002569C9" w:rsidRDefault="001D33BA" w:rsidP="001D33BA">
      <w:pPr>
        <w:tabs>
          <w:tab w:val="left" w:pos="2895"/>
        </w:tabs>
        <w:spacing w:line="360" w:lineRule="auto"/>
        <w:contextualSpacing/>
        <w:jc w:val="both"/>
        <w:rPr>
          <w:b/>
          <w:sz w:val="28"/>
          <w:szCs w:val="28"/>
        </w:rPr>
      </w:pPr>
      <w:r w:rsidRPr="002569C9">
        <w:rPr>
          <w:b/>
          <w:sz w:val="28"/>
          <w:szCs w:val="28"/>
        </w:rPr>
        <w:lastRenderedPageBreak/>
        <w:t xml:space="preserve">Список используемой литературы </w:t>
      </w:r>
    </w:p>
    <w:p w:rsidR="002569C9" w:rsidRPr="001D33BA" w:rsidRDefault="002569C9" w:rsidP="001D33BA">
      <w:pPr>
        <w:tabs>
          <w:tab w:val="left" w:pos="2895"/>
        </w:tabs>
        <w:spacing w:line="360" w:lineRule="auto"/>
        <w:contextualSpacing/>
        <w:jc w:val="both"/>
        <w:rPr>
          <w:sz w:val="28"/>
          <w:szCs w:val="28"/>
        </w:rPr>
      </w:pPr>
    </w:p>
    <w:p w:rsidR="002569C9" w:rsidRPr="002569C9" w:rsidRDefault="002569C9" w:rsidP="002569C9">
      <w:pPr>
        <w:pStyle w:val="a6"/>
        <w:numPr>
          <w:ilvl w:val="0"/>
          <w:numId w:val="14"/>
        </w:numPr>
        <w:spacing w:line="360" w:lineRule="auto"/>
        <w:ind w:left="714" w:hanging="357"/>
        <w:jc w:val="both"/>
        <w:rPr>
          <w:color w:val="000000"/>
          <w:sz w:val="28"/>
          <w:szCs w:val="28"/>
        </w:rPr>
      </w:pPr>
      <w:r w:rsidRPr="001002B5">
        <w:rPr>
          <w:sz w:val="28"/>
          <w:szCs w:val="28"/>
        </w:rPr>
        <w:t>Федеральный закон от 02.12.1990 г. № 351- 9 (ред. от 04.10.2014) «О банках и банковской деятельности»</w:t>
      </w:r>
    </w:p>
    <w:p w:rsidR="002569C9" w:rsidRPr="002569C9" w:rsidRDefault="001D33BA" w:rsidP="002569C9">
      <w:pPr>
        <w:pStyle w:val="a6"/>
        <w:numPr>
          <w:ilvl w:val="0"/>
          <w:numId w:val="14"/>
        </w:numPr>
        <w:spacing w:line="360" w:lineRule="auto"/>
        <w:ind w:left="714" w:hanging="357"/>
        <w:jc w:val="both"/>
        <w:rPr>
          <w:color w:val="000000"/>
          <w:sz w:val="28"/>
          <w:szCs w:val="28"/>
        </w:rPr>
      </w:pPr>
      <w:r w:rsidRPr="002569C9">
        <w:rPr>
          <w:sz w:val="28"/>
          <w:szCs w:val="28"/>
        </w:rPr>
        <w:t>Батракова Л.Г. Экономический анализ деятельности коммерческого банка: Учебник. – М.: Логос, 2009. – 368 с.</w:t>
      </w:r>
    </w:p>
    <w:p w:rsidR="002569C9" w:rsidRPr="002569C9" w:rsidRDefault="001D33BA" w:rsidP="002569C9">
      <w:pPr>
        <w:pStyle w:val="a6"/>
        <w:numPr>
          <w:ilvl w:val="0"/>
          <w:numId w:val="14"/>
        </w:numPr>
        <w:spacing w:line="360" w:lineRule="auto"/>
        <w:ind w:left="714" w:hanging="357"/>
        <w:jc w:val="both"/>
        <w:rPr>
          <w:color w:val="000000"/>
          <w:sz w:val="28"/>
          <w:szCs w:val="28"/>
        </w:rPr>
      </w:pPr>
      <w:r w:rsidRPr="002569C9">
        <w:rPr>
          <w:sz w:val="28"/>
          <w:szCs w:val="28"/>
        </w:rPr>
        <w:t>Белоглазова Г.Н., Кроливецкая Л.П., Савинская Н.А. Банковское дело: Учебник. – М.: Финансы и статистика. – 2008. – 592 с.</w:t>
      </w:r>
    </w:p>
    <w:p w:rsidR="002569C9" w:rsidRPr="002569C9" w:rsidRDefault="001D33BA" w:rsidP="002569C9">
      <w:pPr>
        <w:pStyle w:val="a6"/>
        <w:numPr>
          <w:ilvl w:val="0"/>
          <w:numId w:val="14"/>
        </w:numPr>
        <w:spacing w:line="360" w:lineRule="auto"/>
        <w:ind w:left="714" w:hanging="357"/>
        <w:jc w:val="both"/>
        <w:rPr>
          <w:color w:val="000000"/>
          <w:sz w:val="28"/>
          <w:szCs w:val="28"/>
        </w:rPr>
      </w:pPr>
      <w:r w:rsidRPr="002569C9">
        <w:rPr>
          <w:sz w:val="28"/>
          <w:szCs w:val="28"/>
        </w:rPr>
        <w:t>Валиева И.С., Комардина О.Н. Самиев П.А. Финансовая устойчивость российских банков // Аудитор. – 2008. – №3. – С.38–45.</w:t>
      </w:r>
    </w:p>
    <w:p w:rsidR="002569C9" w:rsidRPr="002569C9" w:rsidRDefault="001D33BA" w:rsidP="002569C9">
      <w:pPr>
        <w:pStyle w:val="a6"/>
        <w:numPr>
          <w:ilvl w:val="0"/>
          <w:numId w:val="14"/>
        </w:numPr>
        <w:spacing w:line="360" w:lineRule="auto"/>
        <w:ind w:left="714" w:hanging="357"/>
        <w:jc w:val="both"/>
        <w:rPr>
          <w:color w:val="000000"/>
          <w:sz w:val="28"/>
          <w:szCs w:val="28"/>
        </w:rPr>
      </w:pPr>
      <w:r w:rsidRPr="002569C9">
        <w:rPr>
          <w:sz w:val="28"/>
          <w:szCs w:val="28"/>
        </w:rPr>
        <w:t>Гиляровская Л.Г., Паневина С.Н.Комплексный анализ финансово–экономических результатов деятельности банка и его филиалов: Учебное пособие. – СПБ.: Питер, 2010. – 250 с.</w:t>
      </w:r>
    </w:p>
    <w:p w:rsidR="002569C9" w:rsidRPr="002569C9" w:rsidRDefault="001D33BA" w:rsidP="002569C9">
      <w:pPr>
        <w:pStyle w:val="a6"/>
        <w:numPr>
          <w:ilvl w:val="0"/>
          <w:numId w:val="14"/>
        </w:numPr>
        <w:spacing w:line="360" w:lineRule="auto"/>
        <w:ind w:left="714" w:hanging="357"/>
        <w:jc w:val="both"/>
        <w:rPr>
          <w:color w:val="000000"/>
          <w:sz w:val="28"/>
          <w:szCs w:val="28"/>
        </w:rPr>
      </w:pPr>
      <w:r w:rsidRPr="002569C9">
        <w:rPr>
          <w:sz w:val="28"/>
          <w:szCs w:val="28"/>
        </w:rPr>
        <w:t>Годовой отчет о деятельности ОАО «Россельхозбанка» за 201</w:t>
      </w:r>
      <w:r w:rsidR="002569C9" w:rsidRPr="002569C9">
        <w:rPr>
          <w:sz w:val="28"/>
          <w:szCs w:val="28"/>
        </w:rPr>
        <w:t>3</w:t>
      </w:r>
      <w:r w:rsidRPr="002569C9">
        <w:rPr>
          <w:sz w:val="28"/>
          <w:szCs w:val="28"/>
        </w:rPr>
        <w:t xml:space="preserve"> год</w:t>
      </w:r>
    </w:p>
    <w:p w:rsidR="002569C9" w:rsidRPr="002569C9" w:rsidRDefault="001245BB" w:rsidP="002569C9">
      <w:pPr>
        <w:pStyle w:val="a6"/>
        <w:numPr>
          <w:ilvl w:val="0"/>
          <w:numId w:val="14"/>
        </w:numPr>
        <w:spacing w:line="360" w:lineRule="auto"/>
        <w:ind w:left="714" w:hanging="357"/>
        <w:jc w:val="both"/>
        <w:rPr>
          <w:color w:val="000000" w:themeColor="text1"/>
          <w:sz w:val="28"/>
          <w:szCs w:val="28"/>
        </w:rPr>
      </w:pPr>
      <w:hyperlink r:id="rId13" w:history="1">
        <w:r w:rsidR="002569C9" w:rsidRPr="002569C9">
          <w:rPr>
            <w:rStyle w:val="a5"/>
            <w:color w:val="000000" w:themeColor="text1"/>
            <w:sz w:val="28"/>
            <w:szCs w:val="28"/>
            <w:u w:val="none"/>
          </w:rPr>
          <w:t>http://bankir.ru</w:t>
        </w:r>
      </w:hyperlink>
    </w:p>
    <w:p w:rsidR="002569C9" w:rsidRPr="002569C9" w:rsidRDefault="001245BB" w:rsidP="002569C9">
      <w:pPr>
        <w:pStyle w:val="a6"/>
        <w:numPr>
          <w:ilvl w:val="0"/>
          <w:numId w:val="14"/>
        </w:numPr>
        <w:spacing w:line="360" w:lineRule="auto"/>
        <w:ind w:left="714" w:hanging="357"/>
        <w:jc w:val="both"/>
        <w:rPr>
          <w:color w:val="000000" w:themeColor="text1"/>
          <w:sz w:val="28"/>
          <w:szCs w:val="28"/>
        </w:rPr>
      </w:pPr>
      <w:hyperlink r:id="rId14" w:history="1">
        <w:r w:rsidR="002569C9" w:rsidRPr="002569C9">
          <w:rPr>
            <w:rStyle w:val="a5"/>
            <w:color w:val="000000" w:themeColor="text1"/>
            <w:sz w:val="28"/>
            <w:szCs w:val="28"/>
            <w:u w:val="none"/>
          </w:rPr>
          <w:t>http://www.invest-profit.ru</w:t>
        </w:r>
      </w:hyperlink>
    </w:p>
    <w:p w:rsidR="002569C9" w:rsidRPr="002569C9" w:rsidRDefault="001245BB" w:rsidP="002569C9">
      <w:pPr>
        <w:pStyle w:val="a6"/>
        <w:numPr>
          <w:ilvl w:val="0"/>
          <w:numId w:val="14"/>
        </w:numPr>
        <w:spacing w:line="360" w:lineRule="auto"/>
        <w:ind w:left="714" w:hanging="357"/>
        <w:jc w:val="both"/>
        <w:rPr>
          <w:color w:val="000000" w:themeColor="text1"/>
          <w:sz w:val="28"/>
          <w:szCs w:val="28"/>
        </w:rPr>
      </w:pPr>
      <w:hyperlink r:id="rId15" w:history="1">
        <w:r w:rsidR="002569C9" w:rsidRPr="002569C9">
          <w:rPr>
            <w:rStyle w:val="a5"/>
            <w:color w:val="000000" w:themeColor="text1"/>
            <w:sz w:val="28"/>
            <w:szCs w:val="28"/>
            <w:u w:val="none"/>
          </w:rPr>
          <w:t>http://www.knigabankov.ru</w:t>
        </w:r>
      </w:hyperlink>
    </w:p>
    <w:p w:rsidR="001D33BA" w:rsidRPr="002569C9" w:rsidRDefault="001245BB" w:rsidP="002569C9">
      <w:pPr>
        <w:pStyle w:val="a6"/>
        <w:numPr>
          <w:ilvl w:val="0"/>
          <w:numId w:val="14"/>
        </w:numPr>
        <w:spacing w:line="360" w:lineRule="auto"/>
        <w:ind w:left="714" w:hanging="357"/>
        <w:jc w:val="both"/>
        <w:rPr>
          <w:color w:val="000000" w:themeColor="text1"/>
          <w:sz w:val="28"/>
          <w:szCs w:val="28"/>
        </w:rPr>
      </w:pPr>
      <w:hyperlink r:id="rId16" w:history="1">
        <w:r w:rsidR="002569C9" w:rsidRPr="002569C9">
          <w:rPr>
            <w:rStyle w:val="a5"/>
            <w:rFonts w:eastAsiaTheme="majorEastAsia"/>
            <w:color w:val="000000" w:themeColor="text1"/>
            <w:sz w:val="28"/>
            <w:szCs w:val="28"/>
            <w:u w:val="none"/>
          </w:rPr>
          <w:t>http://www.rshb.ru/</w:t>
        </w:r>
      </w:hyperlink>
    </w:p>
    <w:p w:rsidR="002569C9" w:rsidRPr="002569C9" w:rsidRDefault="002569C9" w:rsidP="002569C9">
      <w:pPr>
        <w:pStyle w:val="a6"/>
        <w:numPr>
          <w:ilvl w:val="0"/>
          <w:numId w:val="14"/>
        </w:numPr>
        <w:spacing w:line="360" w:lineRule="auto"/>
        <w:ind w:left="714" w:hanging="357"/>
        <w:jc w:val="both"/>
        <w:rPr>
          <w:color w:val="000000" w:themeColor="text1"/>
          <w:sz w:val="28"/>
          <w:szCs w:val="28"/>
        </w:rPr>
      </w:pPr>
      <w:r w:rsidRPr="002569C9">
        <w:rPr>
          <w:color w:val="000000" w:themeColor="text1"/>
          <w:sz w:val="28"/>
          <w:szCs w:val="28"/>
        </w:rPr>
        <w:t>http://www.kuap.ru/</w:t>
      </w:r>
    </w:p>
    <w:p w:rsidR="001D33BA" w:rsidRPr="00B054C3" w:rsidRDefault="001D33BA" w:rsidP="001D33BA">
      <w:pPr>
        <w:tabs>
          <w:tab w:val="left" w:pos="2895"/>
        </w:tabs>
        <w:spacing w:line="360" w:lineRule="auto"/>
        <w:contextualSpacing/>
        <w:jc w:val="both"/>
        <w:rPr>
          <w:sz w:val="28"/>
          <w:szCs w:val="28"/>
        </w:rPr>
      </w:pPr>
    </w:p>
    <w:sectPr w:rsidR="001D33BA" w:rsidRPr="00B054C3" w:rsidSect="00D051F8">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4C3" w:rsidRDefault="00B054C3" w:rsidP="00D051F8">
      <w:r>
        <w:separator/>
      </w:r>
    </w:p>
  </w:endnote>
  <w:endnote w:type="continuationSeparator" w:id="1">
    <w:p w:rsidR="00B054C3" w:rsidRDefault="00B054C3" w:rsidP="00D051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4C3" w:rsidRDefault="00B054C3" w:rsidP="00D051F8">
      <w:r>
        <w:separator/>
      </w:r>
    </w:p>
  </w:footnote>
  <w:footnote w:type="continuationSeparator" w:id="1">
    <w:p w:rsidR="00B054C3" w:rsidRDefault="00B054C3" w:rsidP="00D051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5079"/>
      <w:docPartObj>
        <w:docPartGallery w:val="Page Numbers (Top of Page)"/>
        <w:docPartUnique/>
      </w:docPartObj>
    </w:sdtPr>
    <w:sdtContent>
      <w:p w:rsidR="00B054C3" w:rsidRDefault="001245BB">
        <w:pPr>
          <w:pStyle w:val="aa"/>
          <w:jc w:val="center"/>
        </w:pPr>
        <w:fldSimple w:instr=" PAGE   \* MERGEFORMAT ">
          <w:r w:rsidR="00D32414">
            <w:rPr>
              <w:noProof/>
            </w:rPr>
            <w:t>2</w:t>
          </w:r>
        </w:fldSimple>
      </w:p>
    </w:sdtContent>
  </w:sdt>
  <w:p w:rsidR="00B054C3" w:rsidRDefault="00B054C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87044"/>
    <w:multiLevelType w:val="hybridMultilevel"/>
    <w:tmpl w:val="487C45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6239A3"/>
    <w:multiLevelType w:val="multilevel"/>
    <w:tmpl w:val="A0D0C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786E57"/>
    <w:multiLevelType w:val="multilevel"/>
    <w:tmpl w:val="8F3A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345DB0"/>
    <w:multiLevelType w:val="hybridMultilevel"/>
    <w:tmpl w:val="CB980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047053"/>
    <w:multiLevelType w:val="hybridMultilevel"/>
    <w:tmpl w:val="EB3A9ADE"/>
    <w:lvl w:ilvl="0" w:tplc="D174CA6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746911"/>
    <w:multiLevelType w:val="hybridMultilevel"/>
    <w:tmpl w:val="0DACD0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5D532E2"/>
    <w:multiLevelType w:val="hybridMultilevel"/>
    <w:tmpl w:val="76D0942A"/>
    <w:lvl w:ilvl="0" w:tplc="D174CA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7DC1201"/>
    <w:multiLevelType w:val="hybridMultilevel"/>
    <w:tmpl w:val="C388CC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754343"/>
    <w:multiLevelType w:val="hybridMultilevel"/>
    <w:tmpl w:val="3E42E6A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AD47C58"/>
    <w:multiLevelType w:val="hybridMultilevel"/>
    <w:tmpl w:val="1B342036"/>
    <w:lvl w:ilvl="0" w:tplc="CB8091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5E90C99"/>
    <w:multiLevelType w:val="hybridMultilevel"/>
    <w:tmpl w:val="043E34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55E7922"/>
    <w:multiLevelType w:val="multilevel"/>
    <w:tmpl w:val="CEE49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B93346"/>
    <w:multiLevelType w:val="multilevel"/>
    <w:tmpl w:val="7BAA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FA0635"/>
    <w:multiLevelType w:val="hybridMultilevel"/>
    <w:tmpl w:val="97F05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7"/>
  </w:num>
  <w:num w:numId="5">
    <w:abstractNumId w:val="10"/>
  </w:num>
  <w:num w:numId="6">
    <w:abstractNumId w:val="6"/>
  </w:num>
  <w:num w:numId="7">
    <w:abstractNumId w:val="4"/>
  </w:num>
  <w:num w:numId="8">
    <w:abstractNumId w:val="13"/>
  </w:num>
  <w:num w:numId="9">
    <w:abstractNumId w:val="12"/>
  </w:num>
  <w:num w:numId="10">
    <w:abstractNumId w:val="2"/>
  </w:num>
  <w:num w:numId="11">
    <w:abstractNumId w:val="11"/>
  </w:num>
  <w:num w:numId="12">
    <w:abstractNumId w:val="1"/>
  </w:num>
  <w:num w:numId="13">
    <w:abstractNumId w:val="0"/>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5402B"/>
    <w:rsid w:val="0003168F"/>
    <w:rsid w:val="000A17D0"/>
    <w:rsid w:val="000B4A91"/>
    <w:rsid w:val="000C0D86"/>
    <w:rsid w:val="000D640D"/>
    <w:rsid w:val="001245BB"/>
    <w:rsid w:val="001B4C3C"/>
    <w:rsid w:val="001B6265"/>
    <w:rsid w:val="001D33BA"/>
    <w:rsid w:val="002563AD"/>
    <w:rsid w:val="0025659D"/>
    <w:rsid w:val="002569C9"/>
    <w:rsid w:val="00283A07"/>
    <w:rsid w:val="003232E9"/>
    <w:rsid w:val="0036572E"/>
    <w:rsid w:val="00623170"/>
    <w:rsid w:val="006C6BF3"/>
    <w:rsid w:val="00903A74"/>
    <w:rsid w:val="00942F60"/>
    <w:rsid w:val="009774EC"/>
    <w:rsid w:val="009A1559"/>
    <w:rsid w:val="00B054C3"/>
    <w:rsid w:val="00C63B74"/>
    <w:rsid w:val="00C80A8D"/>
    <w:rsid w:val="00D02CA3"/>
    <w:rsid w:val="00D051F8"/>
    <w:rsid w:val="00D32414"/>
    <w:rsid w:val="00E5402B"/>
    <w:rsid w:val="00E70E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02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3B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D051F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5402B"/>
    <w:rPr>
      <w:b/>
      <w:bCs/>
    </w:rPr>
  </w:style>
  <w:style w:type="paragraph" w:styleId="a4">
    <w:name w:val="Normal (Web)"/>
    <w:basedOn w:val="a"/>
    <w:uiPriority w:val="99"/>
    <w:unhideWhenUsed/>
    <w:rsid w:val="00E5402B"/>
    <w:pPr>
      <w:spacing w:before="100" w:beforeAutospacing="1" w:after="100" w:afterAutospacing="1"/>
    </w:pPr>
  </w:style>
  <w:style w:type="character" w:styleId="a5">
    <w:name w:val="Hyperlink"/>
    <w:basedOn w:val="a0"/>
    <w:uiPriority w:val="99"/>
    <w:unhideWhenUsed/>
    <w:rsid w:val="00E5402B"/>
    <w:rPr>
      <w:color w:val="0000FF"/>
      <w:u w:val="single"/>
    </w:rPr>
  </w:style>
  <w:style w:type="paragraph" w:styleId="a6">
    <w:name w:val="List Paragraph"/>
    <w:basedOn w:val="a"/>
    <w:uiPriority w:val="34"/>
    <w:qFormat/>
    <w:rsid w:val="00623170"/>
    <w:pPr>
      <w:ind w:left="720"/>
      <w:contextualSpacing/>
    </w:pPr>
  </w:style>
  <w:style w:type="table" w:styleId="a7">
    <w:name w:val="Table Grid"/>
    <w:basedOn w:val="a1"/>
    <w:uiPriority w:val="59"/>
    <w:rsid w:val="006231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rsid w:val="00D051F8"/>
    <w:rPr>
      <w:rFonts w:ascii="Times New Roman" w:eastAsia="Times New Roman" w:hAnsi="Times New Roman" w:cs="Times New Roman"/>
      <w:b/>
      <w:bCs/>
      <w:sz w:val="24"/>
      <w:szCs w:val="24"/>
      <w:lang w:eastAsia="ru-RU"/>
    </w:rPr>
  </w:style>
  <w:style w:type="paragraph" w:styleId="a8">
    <w:name w:val="Balloon Text"/>
    <w:basedOn w:val="a"/>
    <w:link w:val="a9"/>
    <w:uiPriority w:val="99"/>
    <w:semiHidden/>
    <w:unhideWhenUsed/>
    <w:rsid w:val="00D051F8"/>
    <w:rPr>
      <w:rFonts w:ascii="Tahoma" w:hAnsi="Tahoma" w:cs="Tahoma"/>
      <w:sz w:val="16"/>
      <w:szCs w:val="16"/>
    </w:rPr>
  </w:style>
  <w:style w:type="character" w:customStyle="1" w:styleId="a9">
    <w:name w:val="Текст выноски Знак"/>
    <w:basedOn w:val="a0"/>
    <w:link w:val="a8"/>
    <w:uiPriority w:val="99"/>
    <w:semiHidden/>
    <w:rsid w:val="00D051F8"/>
    <w:rPr>
      <w:rFonts w:ascii="Tahoma" w:eastAsia="Times New Roman" w:hAnsi="Tahoma" w:cs="Tahoma"/>
      <w:sz w:val="16"/>
      <w:szCs w:val="16"/>
      <w:lang w:eastAsia="ru-RU"/>
    </w:rPr>
  </w:style>
  <w:style w:type="paragraph" w:styleId="aa">
    <w:name w:val="header"/>
    <w:basedOn w:val="a"/>
    <w:link w:val="ab"/>
    <w:uiPriority w:val="99"/>
    <w:unhideWhenUsed/>
    <w:rsid w:val="00D051F8"/>
    <w:pPr>
      <w:tabs>
        <w:tab w:val="center" w:pos="4677"/>
        <w:tab w:val="right" w:pos="9355"/>
      </w:tabs>
    </w:pPr>
  </w:style>
  <w:style w:type="character" w:customStyle="1" w:styleId="ab">
    <w:name w:val="Верхний колонтитул Знак"/>
    <w:basedOn w:val="a0"/>
    <w:link w:val="aa"/>
    <w:uiPriority w:val="99"/>
    <w:rsid w:val="00D051F8"/>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D051F8"/>
    <w:pPr>
      <w:tabs>
        <w:tab w:val="center" w:pos="4677"/>
        <w:tab w:val="right" w:pos="9355"/>
      </w:tabs>
    </w:pPr>
  </w:style>
  <w:style w:type="character" w:customStyle="1" w:styleId="ad">
    <w:name w:val="Нижний колонтитул Знак"/>
    <w:basedOn w:val="a0"/>
    <w:link w:val="ac"/>
    <w:uiPriority w:val="99"/>
    <w:semiHidden/>
    <w:rsid w:val="00D051F8"/>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D33BA"/>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108084400">
      <w:bodyDiv w:val="1"/>
      <w:marLeft w:val="0"/>
      <w:marRight w:val="0"/>
      <w:marTop w:val="0"/>
      <w:marBottom w:val="0"/>
      <w:divBdr>
        <w:top w:val="none" w:sz="0" w:space="0" w:color="auto"/>
        <w:left w:val="none" w:sz="0" w:space="0" w:color="auto"/>
        <w:bottom w:val="none" w:sz="0" w:space="0" w:color="auto"/>
        <w:right w:val="none" w:sz="0" w:space="0" w:color="auto"/>
      </w:divBdr>
    </w:div>
    <w:div w:id="178543953">
      <w:bodyDiv w:val="1"/>
      <w:marLeft w:val="0"/>
      <w:marRight w:val="0"/>
      <w:marTop w:val="0"/>
      <w:marBottom w:val="0"/>
      <w:divBdr>
        <w:top w:val="none" w:sz="0" w:space="0" w:color="auto"/>
        <w:left w:val="none" w:sz="0" w:space="0" w:color="auto"/>
        <w:bottom w:val="none" w:sz="0" w:space="0" w:color="auto"/>
        <w:right w:val="none" w:sz="0" w:space="0" w:color="auto"/>
      </w:divBdr>
    </w:div>
    <w:div w:id="249318677">
      <w:bodyDiv w:val="1"/>
      <w:marLeft w:val="0"/>
      <w:marRight w:val="0"/>
      <w:marTop w:val="0"/>
      <w:marBottom w:val="0"/>
      <w:divBdr>
        <w:top w:val="none" w:sz="0" w:space="0" w:color="auto"/>
        <w:left w:val="none" w:sz="0" w:space="0" w:color="auto"/>
        <w:bottom w:val="none" w:sz="0" w:space="0" w:color="auto"/>
        <w:right w:val="none" w:sz="0" w:space="0" w:color="auto"/>
      </w:divBdr>
    </w:div>
    <w:div w:id="261186109">
      <w:bodyDiv w:val="1"/>
      <w:marLeft w:val="0"/>
      <w:marRight w:val="0"/>
      <w:marTop w:val="0"/>
      <w:marBottom w:val="0"/>
      <w:divBdr>
        <w:top w:val="none" w:sz="0" w:space="0" w:color="auto"/>
        <w:left w:val="none" w:sz="0" w:space="0" w:color="auto"/>
        <w:bottom w:val="none" w:sz="0" w:space="0" w:color="auto"/>
        <w:right w:val="none" w:sz="0" w:space="0" w:color="auto"/>
      </w:divBdr>
    </w:div>
    <w:div w:id="443234374">
      <w:bodyDiv w:val="1"/>
      <w:marLeft w:val="0"/>
      <w:marRight w:val="0"/>
      <w:marTop w:val="0"/>
      <w:marBottom w:val="0"/>
      <w:divBdr>
        <w:top w:val="none" w:sz="0" w:space="0" w:color="auto"/>
        <w:left w:val="none" w:sz="0" w:space="0" w:color="auto"/>
        <w:bottom w:val="none" w:sz="0" w:space="0" w:color="auto"/>
        <w:right w:val="none" w:sz="0" w:space="0" w:color="auto"/>
      </w:divBdr>
    </w:div>
    <w:div w:id="477890772">
      <w:bodyDiv w:val="1"/>
      <w:marLeft w:val="0"/>
      <w:marRight w:val="0"/>
      <w:marTop w:val="0"/>
      <w:marBottom w:val="0"/>
      <w:divBdr>
        <w:top w:val="none" w:sz="0" w:space="0" w:color="auto"/>
        <w:left w:val="none" w:sz="0" w:space="0" w:color="auto"/>
        <w:bottom w:val="none" w:sz="0" w:space="0" w:color="auto"/>
        <w:right w:val="none" w:sz="0" w:space="0" w:color="auto"/>
      </w:divBdr>
      <w:divsChild>
        <w:div w:id="1478454067">
          <w:marLeft w:val="0"/>
          <w:marRight w:val="0"/>
          <w:marTop w:val="0"/>
          <w:marBottom w:val="0"/>
          <w:divBdr>
            <w:top w:val="none" w:sz="0" w:space="0" w:color="auto"/>
            <w:left w:val="none" w:sz="0" w:space="0" w:color="auto"/>
            <w:bottom w:val="none" w:sz="0" w:space="0" w:color="auto"/>
            <w:right w:val="none" w:sz="0" w:space="0" w:color="auto"/>
          </w:divBdr>
          <w:divsChild>
            <w:div w:id="1431701076">
              <w:marLeft w:val="0"/>
              <w:marRight w:val="0"/>
              <w:marTop w:val="0"/>
              <w:marBottom w:val="0"/>
              <w:divBdr>
                <w:top w:val="none" w:sz="0" w:space="0" w:color="auto"/>
                <w:left w:val="none" w:sz="0" w:space="0" w:color="auto"/>
                <w:bottom w:val="none" w:sz="0" w:space="0" w:color="auto"/>
                <w:right w:val="none" w:sz="0" w:space="0" w:color="auto"/>
              </w:divBdr>
              <w:divsChild>
                <w:div w:id="10246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648400">
      <w:bodyDiv w:val="1"/>
      <w:marLeft w:val="0"/>
      <w:marRight w:val="0"/>
      <w:marTop w:val="0"/>
      <w:marBottom w:val="0"/>
      <w:divBdr>
        <w:top w:val="none" w:sz="0" w:space="0" w:color="auto"/>
        <w:left w:val="none" w:sz="0" w:space="0" w:color="auto"/>
        <w:bottom w:val="none" w:sz="0" w:space="0" w:color="auto"/>
        <w:right w:val="none" w:sz="0" w:space="0" w:color="auto"/>
      </w:divBdr>
    </w:div>
    <w:div w:id="674768970">
      <w:bodyDiv w:val="1"/>
      <w:marLeft w:val="0"/>
      <w:marRight w:val="0"/>
      <w:marTop w:val="0"/>
      <w:marBottom w:val="0"/>
      <w:divBdr>
        <w:top w:val="none" w:sz="0" w:space="0" w:color="auto"/>
        <w:left w:val="none" w:sz="0" w:space="0" w:color="auto"/>
        <w:bottom w:val="none" w:sz="0" w:space="0" w:color="auto"/>
        <w:right w:val="none" w:sz="0" w:space="0" w:color="auto"/>
      </w:divBdr>
    </w:div>
    <w:div w:id="793256467">
      <w:bodyDiv w:val="1"/>
      <w:marLeft w:val="0"/>
      <w:marRight w:val="0"/>
      <w:marTop w:val="0"/>
      <w:marBottom w:val="0"/>
      <w:divBdr>
        <w:top w:val="none" w:sz="0" w:space="0" w:color="auto"/>
        <w:left w:val="none" w:sz="0" w:space="0" w:color="auto"/>
        <w:bottom w:val="none" w:sz="0" w:space="0" w:color="auto"/>
        <w:right w:val="none" w:sz="0" w:space="0" w:color="auto"/>
      </w:divBdr>
    </w:div>
    <w:div w:id="1292708885">
      <w:bodyDiv w:val="1"/>
      <w:marLeft w:val="0"/>
      <w:marRight w:val="0"/>
      <w:marTop w:val="0"/>
      <w:marBottom w:val="0"/>
      <w:divBdr>
        <w:top w:val="none" w:sz="0" w:space="0" w:color="auto"/>
        <w:left w:val="none" w:sz="0" w:space="0" w:color="auto"/>
        <w:bottom w:val="none" w:sz="0" w:space="0" w:color="auto"/>
        <w:right w:val="none" w:sz="0" w:space="0" w:color="auto"/>
      </w:divBdr>
    </w:div>
    <w:div w:id="1466848409">
      <w:bodyDiv w:val="1"/>
      <w:marLeft w:val="0"/>
      <w:marRight w:val="0"/>
      <w:marTop w:val="0"/>
      <w:marBottom w:val="0"/>
      <w:divBdr>
        <w:top w:val="none" w:sz="0" w:space="0" w:color="auto"/>
        <w:left w:val="none" w:sz="0" w:space="0" w:color="auto"/>
        <w:bottom w:val="none" w:sz="0" w:space="0" w:color="auto"/>
        <w:right w:val="none" w:sz="0" w:space="0" w:color="auto"/>
      </w:divBdr>
    </w:div>
    <w:div w:id="1514690527">
      <w:bodyDiv w:val="1"/>
      <w:marLeft w:val="0"/>
      <w:marRight w:val="0"/>
      <w:marTop w:val="0"/>
      <w:marBottom w:val="0"/>
      <w:divBdr>
        <w:top w:val="none" w:sz="0" w:space="0" w:color="auto"/>
        <w:left w:val="none" w:sz="0" w:space="0" w:color="auto"/>
        <w:bottom w:val="none" w:sz="0" w:space="0" w:color="auto"/>
        <w:right w:val="none" w:sz="0" w:space="0" w:color="auto"/>
      </w:divBdr>
    </w:div>
    <w:div w:id="1723138833">
      <w:bodyDiv w:val="1"/>
      <w:marLeft w:val="0"/>
      <w:marRight w:val="0"/>
      <w:marTop w:val="0"/>
      <w:marBottom w:val="0"/>
      <w:divBdr>
        <w:top w:val="none" w:sz="0" w:space="0" w:color="auto"/>
        <w:left w:val="none" w:sz="0" w:space="0" w:color="auto"/>
        <w:bottom w:val="none" w:sz="0" w:space="0" w:color="auto"/>
        <w:right w:val="none" w:sz="0" w:space="0" w:color="auto"/>
      </w:divBdr>
    </w:div>
    <w:div w:id="1952055502">
      <w:bodyDiv w:val="1"/>
      <w:marLeft w:val="0"/>
      <w:marRight w:val="0"/>
      <w:marTop w:val="0"/>
      <w:marBottom w:val="0"/>
      <w:divBdr>
        <w:top w:val="none" w:sz="0" w:space="0" w:color="auto"/>
        <w:left w:val="none" w:sz="0" w:space="0" w:color="auto"/>
        <w:bottom w:val="none" w:sz="0" w:space="0" w:color="auto"/>
        <w:right w:val="none" w:sz="0" w:space="0" w:color="auto"/>
      </w:divBdr>
    </w:div>
    <w:div w:id="2091850428">
      <w:bodyDiv w:val="1"/>
      <w:marLeft w:val="0"/>
      <w:marRight w:val="0"/>
      <w:marTop w:val="0"/>
      <w:marBottom w:val="0"/>
      <w:divBdr>
        <w:top w:val="none" w:sz="0" w:space="0" w:color="auto"/>
        <w:left w:val="none" w:sz="0" w:space="0" w:color="auto"/>
        <w:bottom w:val="none" w:sz="0" w:space="0" w:color="auto"/>
        <w:right w:val="none" w:sz="0" w:space="0" w:color="auto"/>
      </w:divBdr>
    </w:div>
    <w:div w:id="212344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bankir.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rsh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knigabankov.ru"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invest-prof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3392</Words>
  <Characters>19335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777</cp:lastModifiedBy>
  <cp:revision>3</cp:revision>
  <dcterms:created xsi:type="dcterms:W3CDTF">2014-11-18T06:03:00Z</dcterms:created>
  <dcterms:modified xsi:type="dcterms:W3CDTF">2014-11-29T05:39:00Z</dcterms:modified>
</cp:coreProperties>
</file>