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0D2" w:rsidRPr="00041CF3" w:rsidRDefault="00D320D2" w:rsidP="00D320D2">
      <w:pPr>
        <w:pStyle w:val="a3"/>
        <w:spacing w:after="0"/>
        <w:ind w:left="0"/>
        <w:jc w:val="center"/>
        <w:rPr>
          <w:bCs/>
          <w:sz w:val="28"/>
          <w:szCs w:val="28"/>
        </w:rPr>
      </w:pPr>
      <w:r w:rsidRPr="00041CF3">
        <w:rPr>
          <w:bCs/>
          <w:sz w:val="28"/>
          <w:szCs w:val="28"/>
        </w:rPr>
        <w:t>Федеральное государственное образовательное бюджетное учреждение</w:t>
      </w:r>
      <w:r w:rsidRPr="00041CF3">
        <w:rPr>
          <w:bCs/>
          <w:sz w:val="28"/>
          <w:szCs w:val="28"/>
        </w:rPr>
        <w:br/>
        <w:t>высшего профессионального образования</w:t>
      </w:r>
    </w:p>
    <w:p w:rsidR="00D320D2" w:rsidRPr="00041CF3" w:rsidRDefault="00D320D2" w:rsidP="00D320D2">
      <w:pPr>
        <w:pStyle w:val="a3"/>
        <w:spacing w:after="0"/>
        <w:ind w:left="0"/>
        <w:jc w:val="center"/>
        <w:rPr>
          <w:b/>
          <w:bCs/>
          <w:sz w:val="28"/>
          <w:szCs w:val="28"/>
        </w:rPr>
      </w:pPr>
      <w:r w:rsidRPr="00041CF3">
        <w:rPr>
          <w:b/>
          <w:bCs/>
          <w:sz w:val="28"/>
          <w:szCs w:val="28"/>
        </w:rPr>
        <w:t>«Финансовый университет при Правительстве Российской Федерации»</w:t>
      </w:r>
    </w:p>
    <w:p w:rsidR="00D320D2" w:rsidRPr="00041CF3" w:rsidRDefault="00D320D2" w:rsidP="00D320D2">
      <w:pPr>
        <w:pStyle w:val="a3"/>
        <w:spacing w:after="0"/>
        <w:ind w:left="0"/>
        <w:jc w:val="center"/>
        <w:rPr>
          <w:b/>
          <w:bCs/>
          <w:sz w:val="28"/>
          <w:szCs w:val="28"/>
        </w:rPr>
      </w:pPr>
      <w:r w:rsidRPr="00041CF3">
        <w:rPr>
          <w:b/>
          <w:bCs/>
          <w:sz w:val="28"/>
          <w:szCs w:val="28"/>
        </w:rPr>
        <w:t>(Финуниверситет)</w:t>
      </w:r>
    </w:p>
    <w:p w:rsidR="00D320D2" w:rsidRPr="00041CF3" w:rsidRDefault="00D320D2" w:rsidP="00D320D2">
      <w:pPr>
        <w:pStyle w:val="a3"/>
        <w:spacing w:after="0"/>
        <w:ind w:left="0"/>
        <w:jc w:val="center"/>
        <w:rPr>
          <w:bCs/>
          <w:sz w:val="28"/>
          <w:szCs w:val="28"/>
        </w:rPr>
      </w:pPr>
    </w:p>
    <w:p w:rsidR="00D320D2" w:rsidRPr="00041CF3" w:rsidRDefault="00D320D2" w:rsidP="00D320D2">
      <w:pPr>
        <w:pStyle w:val="a3"/>
        <w:spacing w:after="0"/>
        <w:ind w:left="0"/>
        <w:jc w:val="center"/>
        <w:rPr>
          <w:b/>
          <w:sz w:val="28"/>
          <w:szCs w:val="28"/>
        </w:rPr>
      </w:pPr>
      <w:r w:rsidRPr="00041CF3">
        <w:rPr>
          <w:b/>
          <w:sz w:val="28"/>
          <w:szCs w:val="28"/>
        </w:rPr>
        <w:t>Омский филиал Финуниверситета</w:t>
      </w:r>
    </w:p>
    <w:p w:rsidR="00D320D2" w:rsidRPr="00041CF3" w:rsidRDefault="00D320D2" w:rsidP="00D320D2">
      <w:pPr>
        <w:pStyle w:val="a3"/>
        <w:spacing w:after="0"/>
        <w:ind w:left="0"/>
        <w:jc w:val="center"/>
        <w:rPr>
          <w:b/>
          <w:sz w:val="28"/>
          <w:szCs w:val="28"/>
        </w:rPr>
      </w:pPr>
    </w:p>
    <w:p w:rsidR="00D320D2" w:rsidRPr="00041CF3" w:rsidRDefault="00D320D2" w:rsidP="00D320D2">
      <w:pPr>
        <w:pStyle w:val="a3"/>
        <w:spacing w:after="0"/>
        <w:ind w:left="0"/>
        <w:jc w:val="center"/>
        <w:rPr>
          <w:b/>
          <w:bCs/>
          <w:sz w:val="28"/>
          <w:szCs w:val="28"/>
          <w:u w:val="single"/>
        </w:rPr>
      </w:pPr>
      <w:r w:rsidRPr="00041CF3">
        <w:rPr>
          <w:b/>
          <w:bCs/>
          <w:sz w:val="28"/>
          <w:szCs w:val="28"/>
        </w:rPr>
        <w:t xml:space="preserve">Кафедра </w:t>
      </w:r>
      <w:r w:rsidRPr="00041CF3">
        <w:rPr>
          <w:b/>
          <w:bCs/>
          <w:sz w:val="28"/>
          <w:szCs w:val="28"/>
          <w:u w:val="single"/>
        </w:rPr>
        <w:t>«Экономики, менеджмента и маркетинга»</w:t>
      </w:r>
    </w:p>
    <w:p w:rsidR="00D320D2" w:rsidRPr="005B0710" w:rsidRDefault="00841F55" w:rsidP="00841F55">
      <w:pPr>
        <w:pStyle w:val="a3"/>
        <w:spacing w:after="0" w:line="3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</w:t>
      </w:r>
      <w:r w:rsidR="005B0710">
        <w:rPr>
          <w:b/>
          <w:sz w:val="28"/>
          <w:szCs w:val="28"/>
        </w:rPr>
        <w:t xml:space="preserve"> «Экономик</w:t>
      </w:r>
      <w:r w:rsidR="00F8484A">
        <w:rPr>
          <w:b/>
          <w:sz w:val="28"/>
          <w:szCs w:val="28"/>
        </w:rPr>
        <w:t>и</w:t>
      </w:r>
      <w:r w:rsidR="005B0710">
        <w:rPr>
          <w:b/>
          <w:sz w:val="28"/>
          <w:szCs w:val="28"/>
        </w:rPr>
        <w:t xml:space="preserve">» </w:t>
      </w:r>
    </w:p>
    <w:p w:rsidR="00D320D2" w:rsidRPr="00041CF3" w:rsidRDefault="00D320D2" w:rsidP="00841F55">
      <w:pPr>
        <w:pStyle w:val="a3"/>
        <w:spacing w:line="360" w:lineRule="auto"/>
        <w:jc w:val="center"/>
        <w:rPr>
          <w:sz w:val="28"/>
          <w:szCs w:val="28"/>
        </w:rPr>
      </w:pPr>
    </w:p>
    <w:p w:rsidR="00D320D2" w:rsidRPr="00041CF3" w:rsidRDefault="00D320D2" w:rsidP="00D320D2">
      <w:pPr>
        <w:pStyle w:val="a3"/>
        <w:spacing w:line="360" w:lineRule="auto"/>
        <w:rPr>
          <w:sz w:val="28"/>
          <w:szCs w:val="28"/>
        </w:rPr>
      </w:pPr>
    </w:p>
    <w:p w:rsidR="00D320D2" w:rsidRPr="00041CF3" w:rsidRDefault="00D320D2" w:rsidP="00D320D2">
      <w:pPr>
        <w:pStyle w:val="a3"/>
        <w:spacing w:line="360" w:lineRule="auto"/>
        <w:jc w:val="center"/>
        <w:rPr>
          <w:b/>
          <w:bCs/>
          <w:sz w:val="28"/>
          <w:szCs w:val="28"/>
        </w:rPr>
      </w:pPr>
      <w:r w:rsidRPr="00041CF3">
        <w:rPr>
          <w:b/>
          <w:bCs/>
          <w:sz w:val="28"/>
          <w:szCs w:val="28"/>
        </w:rPr>
        <w:t>КОНТРОЛЬНАЯ РАБОТА</w:t>
      </w:r>
    </w:p>
    <w:p w:rsidR="00D320D2" w:rsidRPr="00041CF3" w:rsidRDefault="00D320D2" w:rsidP="00D320D2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041CF3">
        <w:rPr>
          <w:b/>
          <w:bCs/>
          <w:sz w:val="28"/>
          <w:szCs w:val="28"/>
        </w:rPr>
        <w:t xml:space="preserve">По дисциплине: Менеджмент </w:t>
      </w:r>
    </w:p>
    <w:p w:rsidR="00D320D2" w:rsidRPr="00041CF3" w:rsidRDefault="00D320D2" w:rsidP="00D320D2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041CF3">
        <w:rPr>
          <w:b/>
          <w:bCs/>
          <w:sz w:val="28"/>
          <w:szCs w:val="28"/>
        </w:rPr>
        <w:t>Тема: Медико-демографические показатели Томской области</w:t>
      </w:r>
    </w:p>
    <w:p w:rsidR="00D320D2" w:rsidRPr="00041CF3" w:rsidRDefault="00D320D2" w:rsidP="00D320D2">
      <w:pPr>
        <w:pStyle w:val="a3"/>
        <w:spacing w:after="0"/>
        <w:jc w:val="center"/>
        <w:rPr>
          <w:b/>
          <w:bCs/>
          <w:sz w:val="28"/>
          <w:szCs w:val="28"/>
        </w:rPr>
      </w:pPr>
    </w:p>
    <w:p w:rsidR="00D320D2" w:rsidRPr="00041CF3" w:rsidRDefault="00D320D2" w:rsidP="00D320D2">
      <w:pPr>
        <w:pStyle w:val="a3"/>
        <w:spacing w:after="0"/>
        <w:jc w:val="center"/>
        <w:rPr>
          <w:b/>
          <w:bCs/>
          <w:sz w:val="28"/>
          <w:szCs w:val="28"/>
        </w:rPr>
      </w:pPr>
    </w:p>
    <w:p w:rsidR="00D320D2" w:rsidRPr="00041CF3" w:rsidRDefault="00D320D2" w:rsidP="00D320D2">
      <w:pPr>
        <w:pStyle w:val="a3"/>
        <w:spacing w:after="0"/>
        <w:jc w:val="center"/>
        <w:rPr>
          <w:b/>
          <w:bCs/>
          <w:sz w:val="28"/>
          <w:szCs w:val="28"/>
        </w:rPr>
      </w:pPr>
    </w:p>
    <w:p w:rsidR="00D320D2" w:rsidRPr="00041CF3" w:rsidRDefault="00D320D2" w:rsidP="00D320D2">
      <w:pPr>
        <w:pStyle w:val="a3"/>
        <w:spacing w:after="0"/>
        <w:jc w:val="center"/>
        <w:rPr>
          <w:b/>
          <w:bCs/>
          <w:sz w:val="28"/>
          <w:szCs w:val="28"/>
        </w:rPr>
      </w:pPr>
    </w:p>
    <w:p w:rsidR="00D320D2" w:rsidRPr="00041CF3" w:rsidRDefault="00D320D2" w:rsidP="00D320D2">
      <w:pPr>
        <w:pStyle w:val="a3"/>
        <w:spacing w:after="0"/>
        <w:jc w:val="center"/>
        <w:rPr>
          <w:b/>
          <w:bCs/>
          <w:sz w:val="28"/>
          <w:szCs w:val="28"/>
        </w:rPr>
      </w:pPr>
    </w:p>
    <w:p w:rsidR="00D320D2" w:rsidRPr="00041CF3" w:rsidRDefault="00D320D2" w:rsidP="00D320D2">
      <w:pPr>
        <w:pStyle w:val="a3"/>
        <w:spacing w:after="0"/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34" w:type="dxa"/>
        <w:tblLook w:val="00A0"/>
      </w:tblPr>
      <w:tblGrid>
        <w:gridCol w:w="5137"/>
        <w:gridCol w:w="4207"/>
        <w:gridCol w:w="261"/>
      </w:tblGrid>
      <w:tr w:rsidR="00D320D2" w:rsidRPr="00041CF3" w:rsidTr="00370132">
        <w:trPr>
          <w:gridBefore w:val="1"/>
          <w:wBefore w:w="5137" w:type="dxa"/>
        </w:trPr>
        <w:tc>
          <w:tcPr>
            <w:tcW w:w="4468" w:type="dxa"/>
            <w:gridSpan w:val="2"/>
          </w:tcPr>
          <w:p w:rsidR="00D320D2" w:rsidRPr="00041CF3" w:rsidRDefault="00D320D2" w:rsidP="00370132">
            <w:pPr>
              <w:pStyle w:val="a3"/>
              <w:spacing w:after="0"/>
              <w:ind w:left="0"/>
              <w:jc w:val="center"/>
              <w:rPr>
                <w:bCs/>
                <w:sz w:val="28"/>
                <w:szCs w:val="28"/>
              </w:rPr>
            </w:pPr>
            <w:r w:rsidRPr="00041CF3">
              <w:rPr>
                <w:sz w:val="28"/>
                <w:szCs w:val="28"/>
              </w:rPr>
              <w:t>Выполнил (а) студент (ка) группы</w:t>
            </w:r>
          </w:p>
        </w:tc>
      </w:tr>
      <w:tr w:rsidR="00D320D2" w:rsidRPr="00041CF3" w:rsidTr="00370132">
        <w:trPr>
          <w:gridBefore w:val="1"/>
          <w:wBefore w:w="5137" w:type="dxa"/>
        </w:trPr>
        <w:tc>
          <w:tcPr>
            <w:tcW w:w="4468" w:type="dxa"/>
            <w:gridSpan w:val="2"/>
            <w:tcBorders>
              <w:bottom w:val="single" w:sz="4" w:space="0" w:color="auto"/>
            </w:tcBorders>
          </w:tcPr>
          <w:p w:rsidR="00D320D2" w:rsidRPr="00041CF3" w:rsidRDefault="00D320D2" w:rsidP="00370132">
            <w:pPr>
              <w:pStyle w:val="a3"/>
              <w:spacing w:after="0"/>
              <w:ind w:left="0"/>
              <w:jc w:val="center"/>
              <w:rPr>
                <w:bCs/>
                <w:sz w:val="28"/>
                <w:szCs w:val="28"/>
              </w:rPr>
            </w:pPr>
            <w:r w:rsidRPr="00041CF3">
              <w:rPr>
                <w:bCs/>
                <w:sz w:val="28"/>
                <w:szCs w:val="28"/>
              </w:rPr>
              <w:t>3БСП3-ЭФ 221 Васкан В.И.</w:t>
            </w:r>
          </w:p>
        </w:tc>
      </w:tr>
      <w:tr w:rsidR="00D320D2" w:rsidRPr="00041CF3" w:rsidTr="00370132">
        <w:trPr>
          <w:gridBefore w:val="1"/>
          <w:wBefore w:w="5137" w:type="dxa"/>
        </w:trPr>
        <w:tc>
          <w:tcPr>
            <w:tcW w:w="4468" w:type="dxa"/>
            <w:gridSpan w:val="2"/>
            <w:tcBorders>
              <w:top w:val="single" w:sz="4" w:space="0" w:color="auto"/>
            </w:tcBorders>
          </w:tcPr>
          <w:p w:rsidR="00D320D2" w:rsidRPr="00176820" w:rsidRDefault="00D320D2" w:rsidP="00370132">
            <w:pPr>
              <w:pStyle w:val="a3"/>
              <w:spacing w:after="0"/>
              <w:ind w:left="0"/>
              <w:jc w:val="center"/>
              <w:rPr>
                <w:bCs/>
              </w:rPr>
            </w:pPr>
            <w:r w:rsidRPr="00176820">
              <w:rPr>
                <w:bCs/>
              </w:rPr>
              <w:t>Ф.И.О. студента</w:t>
            </w:r>
          </w:p>
        </w:tc>
      </w:tr>
      <w:tr w:rsidR="00D320D2" w:rsidRPr="00041CF3" w:rsidTr="00370132">
        <w:trPr>
          <w:gridBefore w:val="1"/>
          <w:wBefore w:w="5137" w:type="dxa"/>
        </w:trPr>
        <w:tc>
          <w:tcPr>
            <w:tcW w:w="4468" w:type="dxa"/>
            <w:gridSpan w:val="2"/>
          </w:tcPr>
          <w:p w:rsidR="00D320D2" w:rsidRPr="00041CF3" w:rsidRDefault="00D320D2" w:rsidP="00370132">
            <w:pPr>
              <w:pStyle w:val="a3"/>
              <w:spacing w:after="0"/>
              <w:ind w:left="0"/>
              <w:jc w:val="center"/>
              <w:rPr>
                <w:bCs/>
                <w:sz w:val="28"/>
                <w:szCs w:val="28"/>
              </w:rPr>
            </w:pPr>
          </w:p>
        </w:tc>
      </w:tr>
      <w:tr w:rsidR="00D320D2" w:rsidRPr="00041CF3" w:rsidTr="00370132">
        <w:trPr>
          <w:gridBefore w:val="1"/>
          <w:wBefore w:w="5137" w:type="dxa"/>
        </w:trPr>
        <w:tc>
          <w:tcPr>
            <w:tcW w:w="4468" w:type="dxa"/>
            <w:gridSpan w:val="2"/>
          </w:tcPr>
          <w:p w:rsidR="00D320D2" w:rsidRPr="00041CF3" w:rsidRDefault="00D320D2" w:rsidP="00370132">
            <w:pPr>
              <w:pStyle w:val="a3"/>
              <w:tabs>
                <w:tab w:val="left" w:pos="1197"/>
              </w:tabs>
              <w:spacing w:after="0"/>
              <w:ind w:left="0"/>
              <w:jc w:val="center"/>
              <w:rPr>
                <w:bCs/>
                <w:sz w:val="28"/>
                <w:szCs w:val="28"/>
              </w:rPr>
            </w:pPr>
            <w:r w:rsidRPr="00041CF3">
              <w:rPr>
                <w:bCs/>
                <w:sz w:val="28"/>
                <w:szCs w:val="28"/>
              </w:rPr>
              <w:t>Проверил преподаватель</w:t>
            </w:r>
          </w:p>
        </w:tc>
      </w:tr>
      <w:tr w:rsidR="00D320D2" w:rsidRPr="00041CF3" w:rsidTr="00370132">
        <w:trPr>
          <w:gridBefore w:val="1"/>
          <w:wBefore w:w="5137" w:type="dxa"/>
        </w:trPr>
        <w:tc>
          <w:tcPr>
            <w:tcW w:w="4468" w:type="dxa"/>
            <w:gridSpan w:val="2"/>
            <w:tcBorders>
              <w:bottom w:val="single" w:sz="4" w:space="0" w:color="auto"/>
            </w:tcBorders>
          </w:tcPr>
          <w:p w:rsidR="00D320D2" w:rsidRPr="00041CF3" w:rsidRDefault="00D320D2" w:rsidP="00370132">
            <w:pPr>
              <w:pStyle w:val="a3"/>
              <w:spacing w:after="0"/>
              <w:ind w:left="0"/>
              <w:jc w:val="center"/>
              <w:rPr>
                <w:bCs/>
                <w:sz w:val="28"/>
                <w:szCs w:val="28"/>
              </w:rPr>
            </w:pPr>
            <w:r w:rsidRPr="00041CF3">
              <w:rPr>
                <w:bCs/>
                <w:sz w:val="28"/>
                <w:szCs w:val="28"/>
              </w:rPr>
              <w:t>старший преподаватель</w:t>
            </w:r>
          </w:p>
        </w:tc>
      </w:tr>
      <w:tr w:rsidR="00D320D2" w:rsidRPr="00041CF3" w:rsidTr="00370132">
        <w:trPr>
          <w:gridBefore w:val="1"/>
          <w:wBefore w:w="5137" w:type="dxa"/>
        </w:trPr>
        <w:tc>
          <w:tcPr>
            <w:tcW w:w="4468" w:type="dxa"/>
            <w:gridSpan w:val="2"/>
            <w:tcBorders>
              <w:top w:val="single" w:sz="4" w:space="0" w:color="auto"/>
            </w:tcBorders>
          </w:tcPr>
          <w:p w:rsidR="00D320D2" w:rsidRPr="00176820" w:rsidRDefault="00D320D2" w:rsidP="00370132">
            <w:pPr>
              <w:pStyle w:val="a3"/>
              <w:spacing w:after="0"/>
              <w:ind w:left="0"/>
              <w:jc w:val="center"/>
              <w:rPr>
                <w:bCs/>
              </w:rPr>
            </w:pPr>
            <w:r w:rsidRPr="00176820">
              <w:rPr>
                <w:bCs/>
              </w:rPr>
              <w:t>уч. степень, должность</w:t>
            </w:r>
          </w:p>
        </w:tc>
      </w:tr>
      <w:tr w:rsidR="00D320D2" w:rsidRPr="00041CF3" w:rsidTr="00370132">
        <w:trPr>
          <w:gridBefore w:val="1"/>
          <w:wBefore w:w="5137" w:type="dxa"/>
        </w:trPr>
        <w:tc>
          <w:tcPr>
            <w:tcW w:w="4468" w:type="dxa"/>
            <w:gridSpan w:val="2"/>
            <w:tcBorders>
              <w:bottom w:val="single" w:sz="4" w:space="0" w:color="auto"/>
            </w:tcBorders>
          </w:tcPr>
          <w:p w:rsidR="00D320D2" w:rsidRPr="00041CF3" w:rsidRDefault="00D320D2" w:rsidP="00370132">
            <w:pPr>
              <w:pStyle w:val="a3"/>
              <w:spacing w:after="0"/>
              <w:ind w:left="0"/>
              <w:jc w:val="center"/>
              <w:rPr>
                <w:bCs/>
                <w:sz w:val="28"/>
                <w:szCs w:val="28"/>
              </w:rPr>
            </w:pPr>
            <w:r w:rsidRPr="00041CF3">
              <w:rPr>
                <w:bCs/>
                <w:sz w:val="28"/>
                <w:szCs w:val="28"/>
              </w:rPr>
              <w:t>Шиповалов А.Г.</w:t>
            </w:r>
          </w:p>
        </w:tc>
      </w:tr>
      <w:tr w:rsidR="00D320D2" w:rsidRPr="00041CF3" w:rsidTr="00370132">
        <w:trPr>
          <w:gridBefore w:val="1"/>
          <w:wBefore w:w="5137" w:type="dxa"/>
        </w:trPr>
        <w:tc>
          <w:tcPr>
            <w:tcW w:w="4468" w:type="dxa"/>
            <w:gridSpan w:val="2"/>
            <w:tcBorders>
              <w:top w:val="single" w:sz="4" w:space="0" w:color="auto"/>
            </w:tcBorders>
          </w:tcPr>
          <w:p w:rsidR="00D320D2" w:rsidRPr="00176820" w:rsidRDefault="00D320D2" w:rsidP="00370132">
            <w:pPr>
              <w:pStyle w:val="a3"/>
              <w:spacing w:after="0"/>
              <w:ind w:left="0"/>
              <w:jc w:val="center"/>
              <w:rPr>
                <w:bCs/>
              </w:rPr>
            </w:pPr>
            <w:r w:rsidRPr="00176820">
              <w:rPr>
                <w:bCs/>
              </w:rPr>
              <w:t>Ф.И.О. преподавателя</w:t>
            </w:r>
          </w:p>
        </w:tc>
      </w:tr>
      <w:tr w:rsidR="00D320D2" w:rsidRPr="00041CF3" w:rsidTr="00370132">
        <w:tc>
          <w:tcPr>
            <w:tcW w:w="5137" w:type="dxa"/>
          </w:tcPr>
          <w:p w:rsidR="00D320D2" w:rsidRDefault="00D320D2" w:rsidP="00370132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</w:p>
          <w:p w:rsidR="00D320D2" w:rsidRPr="00041CF3" w:rsidRDefault="00D320D2" w:rsidP="00370132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</w:p>
          <w:p w:rsidR="00D320D2" w:rsidRPr="00041CF3" w:rsidRDefault="00D320D2" w:rsidP="00370132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</w:p>
          <w:p w:rsidR="00D320D2" w:rsidRDefault="00D320D2" w:rsidP="00370132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поступления работы на</w:t>
            </w:r>
          </w:p>
          <w:p w:rsidR="00D320D2" w:rsidRPr="00041CF3" w:rsidRDefault="00D320D2" w:rsidP="00370132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 w:rsidRPr="00041CF3">
              <w:rPr>
                <w:sz w:val="28"/>
                <w:szCs w:val="28"/>
              </w:rPr>
              <w:t>кафедру</w:t>
            </w:r>
          </w:p>
          <w:p w:rsidR="00D320D2" w:rsidRPr="00041CF3" w:rsidRDefault="00D320D2" w:rsidP="00370132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 w:rsidRPr="00041CF3">
              <w:rPr>
                <w:sz w:val="28"/>
                <w:szCs w:val="28"/>
              </w:rPr>
              <w:t>«___»____________20___г.</w:t>
            </w:r>
          </w:p>
        </w:tc>
        <w:tc>
          <w:tcPr>
            <w:tcW w:w="4468" w:type="dxa"/>
            <w:gridSpan w:val="2"/>
          </w:tcPr>
          <w:p w:rsidR="00D320D2" w:rsidRPr="00041CF3" w:rsidRDefault="00D320D2" w:rsidP="00370132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</w:p>
          <w:p w:rsidR="00D320D2" w:rsidRPr="00041CF3" w:rsidRDefault="00D320D2" w:rsidP="00370132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 w:rsidRPr="00041CF3">
              <w:rPr>
                <w:sz w:val="28"/>
                <w:szCs w:val="28"/>
              </w:rPr>
              <w:t>Оценка</w:t>
            </w:r>
          </w:p>
          <w:p w:rsidR="00D320D2" w:rsidRPr="00041CF3" w:rsidRDefault="00D320D2" w:rsidP="00370132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 w:rsidRPr="00041CF3">
              <w:rPr>
                <w:sz w:val="28"/>
                <w:szCs w:val="28"/>
              </w:rPr>
              <w:t>___________________  __________</w:t>
            </w:r>
          </w:p>
          <w:p w:rsidR="00D320D2" w:rsidRPr="00176820" w:rsidRDefault="00D320D2" w:rsidP="00370132">
            <w:pPr>
              <w:pStyle w:val="a3"/>
              <w:tabs>
                <w:tab w:val="left" w:pos="2733"/>
              </w:tabs>
              <w:spacing w:after="0"/>
              <w:ind w:left="0"/>
            </w:pPr>
            <w:r w:rsidRPr="00176820">
              <w:t xml:space="preserve">количество баллов, зачтено/не зачтено            </w:t>
            </w:r>
            <w:r>
              <w:t xml:space="preserve">  </w:t>
            </w:r>
            <w:r w:rsidRPr="00176820">
              <w:t>подпись</w:t>
            </w:r>
          </w:p>
        </w:tc>
      </w:tr>
      <w:tr w:rsidR="00D320D2" w:rsidRPr="00041CF3" w:rsidTr="00370132">
        <w:trPr>
          <w:gridAfter w:val="1"/>
          <w:wAfter w:w="261" w:type="dxa"/>
        </w:trPr>
        <w:tc>
          <w:tcPr>
            <w:tcW w:w="5137" w:type="dxa"/>
          </w:tcPr>
          <w:p w:rsidR="00D320D2" w:rsidRPr="00041CF3" w:rsidRDefault="00D320D2" w:rsidP="00370132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</w:p>
        </w:tc>
        <w:tc>
          <w:tcPr>
            <w:tcW w:w="4207" w:type="dxa"/>
          </w:tcPr>
          <w:p w:rsidR="00D320D2" w:rsidRPr="00041CF3" w:rsidRDefault="00D320D2" w:rsidP="00370132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________________ 20___</w:t>
            </w:r>
            <w:r w:rsidRPr="00041CF3">
              <w:rPr>
                <w:sz w:val="28"/>
                <w:szCs w:val="28"/>
              </w:rPr>
              <w:t>г.</w:t>
            </w:r>
          </w:p>
        </w:tc>
      </w:tr>
    </w:tbl>
    <w:p w:rsidR="00D320D2" w:rsidRPr="00041CF3" w:rsidRDefault="00D320D2" w:rsidP="00D320D2">
      <w:pPr>
        <w:pStyle w:val="a3"/>
        <w:spacing w:after="0"/>
        <w:rPr>
          <w:sz w:val="28"/>
          <w:szCs w:val="28"/>
        </w:rPr>
      </w:pPr>
    </w:p>
    <w:p w:rsidR="00D320D2" w:rsidRDefault="00D320D2" w:rsidP="00D320D2">
      <w:pPr>
        <w:pStyle w:val="a3"/>
        <w:spacing w:after="0"/>
        <w:jc w:val="center"/>
        <w:rPr>
          <w:sz w:val="28"/>
        </w:rPr>
      </w:pPr>
    </w:p>
    <w:p w:rsidR="00D320D2" w:rsidRDefault="00D320D2" w:rsidP="00D320D2">
      <w:pPr>
        <w:pStyle w:val="a3"/>
        <w:spacing w:after="0"/>
        <w:jc w:val="center"/>
        <w:rPr>
          <w:sz w:val="28"/>
        </w:rPr>
      </w:pPr>
    </w:p>
    <w:p w:rsidR="00D320D2" w:rsidRDefault="00D320D2" w:rsidP="00D320D2">
      <w:pPr>
        <w:pStyle w:val="a3"/>
        <w:spacing w:after="0"/>
        <w:ind w:left="0"/>
        <w:rPr>
          <w:sz w:val="28"/>
        </w:rPr>
      </w:pPr>
    </w:p>
    <w:p w:rsidR="00852B86" w:rsidRDefault="00D320D2" w:rsidP="00D320D2">
      <w:pPr>
        <w:pStyle w:val="a3"/>
        <w:spacing w:after="0"/>
        <w:jc w:val="center"/>
        <w:rPr>
          <w:lang w:val="en-US"/>
        </w:rPr>
      </w:pPr>
      <w:r>
        <w:t>Омск 2014</w:t>
      </w:r>
    </w:p>
    <w:p w:rsidR="00D320D2" w:rsidRDefault="00D320D2" w:rsidP="00D320D2">
      <w:pPr>
        <w:pStyle w:val="a3"/>
        <w:spacing w:after="0"/>
        <w:jc w:val="center"/>
        <w:rPr>
          <w:lang w:val="en-US"/>
        </w:rPr>
      </w:pPr>
    </w:p>
    <w:p w:rsidR="00D320D2" w:rsidRDefault="00D320D2" w:rsidP="00D320D2">
      <w:pPr>
        <w:pStyle w:val="a3"/>
        <w:spacing w:after="0"/>
        <w:jc w:val="center"/>
        <w:rPr>
          <w:lang w:val="en-US"/>
        </w:rPr>
      </w:pPr>
    </w:p>
    <w:p w:rsidR="00D320D2" w:rsidRDefault="00D320D2" w:rsidP="0056561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D320D2" w:rsidRDefault="00D320D2" w:rsidP="00D320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Введение…………………………………………………………………………...3</w:t>
      </w:r>
    </w:p>
    <w:p w:rsidR="00D320D2" w:rsidRPr="004E7E1C" w:rsidRDefault="00D320D2" w:rsidP="00D320D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Медицинские и демографические показатели  здоровья населения Томской область в период с 2006-2010 </w:t>
      </w:r>
      <w:r w:rsidR="00320139">
        <w:rPr>
          <w:rFonts w:ascii="Times New Roman" w:hAnsi="Times New Roman" w:cs="Times New Roman"/>
          <w:sz w:val="28"/>
          <w:szCs w:val="28"/>
        </w:rPr>
        <w:t>годах.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…………………………………………….5</w:t>
      </w:r>
    </w:p>
    <w:p w:rsidR="00D320D2" w:rsidRPr="006565E5" w:rsidRDefault="00D320D2" w:rsidP="00D320D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6565E5">
        <w:rPr>
          <w:rFonts w:ascii="Times New Roman" w:hAnsi="Times New Roman" w:cs="Times New Roman"/>
          <w:sz w:val="28"/>
          <w:szCs w:val="28"/>
        </w:rPr>
        <w:t>Медико-демографические показатели здоровья населе</w:t>
      </w:r>
      <w:r>
        <w:rPr>
          <w:rFonts w:ascii="Times New Roman" w:hAnsi="Times New Roman" w:cs="Times New Roman"/>
          <w:sz w:val="28"/>
          <w:szCs w:val="28"/>
        </w:rPr>
        <w:t>ния Томской области в 2013 году………………………………………………………………………..11</w:t>
      </w:r>
    </w:p>
    <w:p w:rsidR="00D320D2" w:rsidRDefault="004760ED" w:rsidP="00D320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 ……</w:t>
      </w:r>
      <w:r w:rsidR="00D320D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……………………………………………………………………….18</w:t>
      </w:r>
    </w:p>
    <w:p w:rsidR="00D320D2" w:rsidRDefault="00D320D2" w:rsidP="00D320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литературы………………………………………………………………19</w:t>
      </w:r>
    </w:p>
    <w:p w:rsidR="00D320D2" w:rsidRDefault="00D320D2" w:rsidP="00D320D2">
      <w:pPr>
        <w:rPr>
          <w:rFonts w:ascii="Times New Roman" w:hAnsi="Times New Roman" w:cs="Times New Roman"/>
          <w:sz w:val="28"/>
          <w:szCs w:val="28"/>
        </w:rPr>
      </w:pPr>
    </w:p>
    <w:p w:rsidR="00D320D2" w:rsidRDefault="00D320D2" w:rsidP="00D320D2">
      <w:pPr>
        <w:rPr>
          <w:rFonts w:ascii="Times New Roman" w:hAnsi="Times New Roman" w:cs="Times New Roman"/>
          <w:sz w:val="28"/>
          <w:szCs w:val="28"/>
        </w:rPr>
      </w:pPr>
    </w:p>
    <w:p w:rsidR="00D320D2" w:rsidRDefault="00D320D2" w:rsidP="00D320D2">
      <w:pPr>
        <w:rPr>
          <w:rFonts w:ascii="Times New Roman" w:hAnsi="Times New Roman" w:cs="Times New Roman"/>
          <w:sz w:val="28"/>
          <w:szCs w:val="28"/>
        </w:rPr>
      </w:pPr>
    </w:p>
    <w:p w:rsidR="00D320D2" w:rsidRDefault="00D320D2" w:rsidP="00D320D2">
      <w:pPr>
        <w:rPr>
          <w:rFonts w:ascii="Times New Roman" w:hAnsi="Times New Roman" w:cs="Times New Roman"/>
          <w:sz w:val="28"/>
          <w:szCs w:val="28"/>
        </w:rPr>
      </w:pPr>
    </w:p>
    <w:p w:rsidR="00D320D2" w:rsidRDefault="00D320D2" w:rsidP="00D320D2">
      <w:pPr>
        <w:rPr>
          <w:rFonts w:ascii="Times New Roman" w:hAnsi="Times New Roman" w:cs="Times New Roman"/>
          <w:sz w:val="28"/>
          <w:szCs w:val="28"/>
        </w:rPr>
      </w:pPr>
    </w:p>
    <w:p w:rsidR="00320139" w:rsidRDefault="00320139" w:rsidP="00D320D2">
      <w:pPr>
        <w:rPr>
          <w:rFonts w:ascii="Times New Roman" w:hAnsi="Times New Roman" w:cs="Times New Roman"/>
          <w:sz w:val="28"/>
          <w:szCs w:val="28"/>
        </w:rPr>
      </w:pPr>
    </w:p>
    <w:p w:rsidR="00320139" w:rsidRDefault="00320139" w:rsidP="00D320D2">
      <w:pPr>
        <w:rPr>
          <w:rFonts w:ascii="Times New Roman" w:hAnsi="Times New Roman" w:cs="Times New Roman"/>
          <w:sz w:val="28"/>
          <w:szCs w:val="28"/>
        </w:rPr>
      </w:pPr>
    </w:p>
    <w:p w:rsidR="00D320D2" w:rsidRDefault="00D320D2" w:rsidP="00D320D2">
      <w:pPr>
        <w:rPr>
          <w:rFonts w:ascii="Times New Roman" w:hAnsi="Times New Roman" w:cs="Times New Roman"/>
          <w:sz w:val="28"/>
          <w:szCs w:val="28"/>
        </w:rPr>
      </w:pPr>
    </w:p>
    <w:p w:rsidR="00D320D2" w:rsidRDefault="00D320D2" w:rsidP="00D320D2">
      <w:pPr>
        <w:rPr>
          <w:rFonts w:ascii="Times New Roman" w:hAnsi="Times New Roman" w:cs="Times New Roman"/>
          <w:sz w:val="28"/>
          <w:szCs w:val="28"/>
        </w:rPr>
      </w:pPr>
    </w:p>
    <w:p w:rsidR="00D320D2" w:rsidRDefault="00D320D2" w:rsidP="00D320D2">
      <w:pPr>
        <w:rPr>
          <w:rFonts w:ascii="Times New Roman" w:hAnsi="Times New Roman" w:cs="Times New Roman"/>
          <w:sz w:val="28"/>
          <w:szCs w:val="28"/>
        </w:rPr>
      </w:pPr>
    </w:p>
    <w:p w:rsidR="00D320D2" w:rsidRDefault="00D320D2" w:rsidP="00D320D2">
      <w:pPr>
        <w:rPr>
          <w:rFonts w:ascii="Times New Roman" w:hAnsi="Times New Roman" w:cs="Times New Roman"/>
          <w:sz w:val="28"/>
          <w:szCs w:val="28"/>
        </w:rPr>
      </w:pPr>
    </w:p>
    <w:p w:rsidR="00D320D2" w:rsidRDefault="00D320D2" w:rsidP="00D320D2">
      <w:pPr>
        <w:rPr>
          <w:rFonts w:ascii="Times New Roman" w:hAnsi="Times New Roman" w:cs="Times New Roman"/>
          <w:sz w:val="28"/>
          <w:szCs w:val="28"/>
        </w:rPr>
      </w:pPr>
    </w:p>
    <w:p w:rsidR="00D320D2" w:rsidRDefault="00D320D2" w:rsidP="00D320D2">
      <w:pPr>
        <w:rPr>
          <w:rFonts w:ascii="Times New Roman" w:hAnsi="Times New Roman" w:cs="Times New Roman"/>
          <w:sz w:val="28"/>
          <w:szCs w:val="28"/>
        </w:rPr>
      </w:pPr>
    </w:p>
    <w:p w:rsidR="00D320D2" w:rsidRDefault="00D320D2" w:rsidP="00D320D2">
      <w:pPr>
        <w:rPr>
          <w:rFonts w:ascii="Times New Roman" w:hAnsi="Times New Roman" w:cs="Times New Roman"/>
          <w:sz w:val="28"/>
          <w:szCs w:val="28"/>
        </w:rPr>
      </w:pPr>
    </w:p>
    <w:p w:rsidR="00D320D2" w:rsidRDefault="00D320D2" w:rsidP="00D320D2">
      <w:pPr>
        <w:rPr>
          <w:rFonts w:ascii="Times New Roman" w:hAnsi="Times New Roman" w:cs="Times New Roman"/>
          <w:sz w:val="28"/>
          <w:szCs w:val="28"/>
        </w:rPr>
      </w:pPr>
    </w:p>
    <w:p w:rsidR="00D320D2" w:rsidRDefault="00D320D2" w:rsidP="00D320D2">
      <w:pPr>
        <w:rPr>
          <w:rFonts w:ascii="Times New Roman" w:hAnsi="Times New Roman" w:cs="Times New Roman"/>
          <w:sz w:val="28"/>
          <w:szCs w:val="28"/>
        </w:rPr>
      </w:pPr>
    </w:p>
    <w:p w:rsidR="00D320D2" w:rsidRDefault="00D320D2" w:rsidP="00D320D2">
      <w:pPr>
        <w:rPr>
          <w:rFonts w:ascii="Times New Roman" w:hAnsi="Times New Roman" w:cs="Times New Roman"/>
          <w:sz w:val="28"/>
          <w:szCs w:val="28"/>
        </w:rPr>
      </w:pPr>
    </w:p>
    <w:p w:rsidR="00D320D2" w:rsidRDefault="00D320D2" w:rsidP="00D320D2">
      <w:pPr>
        <w:rPr>
          <w:rFonts w:ascii="Times New Roman" w:hAnsi="Times New Roman" w:cs="Times New Roman"/>
          <w:sz w:val="28"/>
          <w:szCs w:val="28"/>
        </w:rPr>
      </w:pPr>
    </w:p>
    <w:p w:rsidR="00D320D2" w:rsidRPr="00106917" w:rsidRDefault="00D320D2" w:rsidP="0056561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D320D2" w:rsidRPr="00553E5F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6917">
        <w:rPr>
          <w:rFonts w:ascii="Times New Roman" w:hAnsi="Times New Roman" w:cs="Times New Roman"/>
          <w:sz w:val="28"/>
          <w:szCs w:val="28"/>
        </w:rPr>
        <w:t>В настоящее время ситуационный анализ с оценкой внешних и внутренних факторов, влияющих на функционирование любой организационной системы, является общепризнанным. Не составляет исключения как система медицинской помощи в целом, так и система лекарственной помощи как ее ключевой компонент. Поскольку потребность в лекарственной помощи является производной потребности в здоровье, оценка медико-демографических характеристик населения, как потенциального потребителя лекарственных средств, представляется важным компонентом ситуационного анализа внешней среды системы лекарственной помощи [4].</w:t>
      </w:r>
    </w:p>
    <w:p w:rsidR="00D320D2" w:rsidRPr="00106917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6917">
        <w:rPr>
          <w:rFonts w:ascii="Times New Roman" w:hAnsi="Times New Roman" w:cs="Times New Roman"/>
          <w:sz w:val="28"/>
          <w:szCs w:val="28"/>
        </w:rPr>
        <w:t>В статье на основе анализа официальных данных статистики населения за период с 2006 по 2010 год представлена характеристика населения Томской области как потенциального потребителя медицинской и лекарственной помощи на основе двух групп показателей: собственно демографических и показателей здоровья. Показано, что демографический статус Томской области характеризуется положительной динамикой естественного движения населения, увеличением ожидаемой продолжительности жизни при рождении для обоих полов, снижением показателей общей заболеваемости. Доминирование в структуре заболеваемости хронической патологии и изменение структуры населения в сторону старших возрастных групп предопределяют дальнейшее увеличение роли лекарственной составляющей в структуре медицинской помощи.</w:t>
      </w:r>
    </w:p>
    <w:p w:rsidR="00D320D2" w:rsidRPr="00106917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6917">
        <w:rPr>
          <w:rFonts w:ascii="Times New Roman" w:hAnsi="Times New Roman" w:cs="Times New Roman"/>
          <w:sz w:val="28"/>
          <w:szCs w:val="28"/>
        </w:rPr>
        <w:t>Целью настоящего исследования явился анализ демографических процессов и динамики показателей заболеваемости населения Томской области за период с 2006 по 2010 год.</w:t>
      </w:r>
    </w:p>
    <w:p w:rsidR="00D320D2" w:rsidRPr="00106917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6917">
        <w:rPr>
          <w:rFonts w:ascii="Times New Roman" w:hAnsi="Times New Roman" w:cs="Times New Roman"/>
          <w:sz w:val="28"/>
          <w:szCs w:val="28"/>
        </w:rPr>
        <w:t xml:space="preserve">Информационной базой исследования послужили данные официальной статистики, представленной на сайте Федеральной службы государственной статистики и в материалах Территориального органа Федеральной службы </w:t>
      </w:r>
      <w:r w:rsidRPr="00106917">
        <w:rPr>
          <w:rFonts w:ascii="Times New Roman" w:hAnsi="Times New Roman" w:cs="Times New Roman"/>
          <w:sz w:val="28"/>
          <w:szCs w:val="28"/>
        </w:rPr>
        <w:lastRenderedPageBreak/>
        <w:t>государственной статистики по Томской области [2, 5]. В качестве базового показателя статистики населения использовалась численность постоянного населения на 1 января каждого года. Динамика численности населения определялась по изменению абсолютной численности населения по отношению к предыдущему году цепным методом. Рассчитывались структурные коэффициенты: соотношение полов в населении, степень урбанизации (доля городского населения), коэффициент демографической нагрузки (соотношение численности нет</w:t>
      </w:r>
      <w:r w:rsidR="00590175">
        <w:rPr>
          <w:rFonts w:ascii="Times New Roman" w:hAnsi="Times New Roman" w:cs="Times New Roman"/>
          <w:sz w:val="28"/>
          <w:szCs w:val="28"/>
        </w:rPr>
        <w:t>рудоспособных и трудоспособных)</w:t>
      </w:r>
      <w:r w:rsidRPr="00106917">
        <w:rPr>
          <w:rFonts w:ascii="Times New Roman" w:hAnsi="Times New Roman" w:cs="Times New Roman"/>
          <w:sz w:val="28"/>
          <w:szCs w:val="28"/>
        </w:rPr>
        <w:t>. Интенсивность процессов естественного движения населения характеризовалась общими коэффициентами. В качестве коэффициентов свободных от влияния возрастной структуры населения использовались суммарный коэффициент рождаемости и ожидаемая продолжительность жизни при рождении [1, 3].</w:t>
      </w:r>
    </w:p>
    <w:p w:rsidR="00D320D2" w:rsidRPr="00553E5F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20D2" w:rsidRPr="00553E5F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20D2" w:rsidRPr="00553E5F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20D2" w:rsidRPr="00553E5F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20D2" w:rsidRPr="00553E5F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20D2" w:rsidRDefault="00D320D2" w:rsidP="00D320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366B" w:rsidRPr="00553E5F" w:rsidRDefault="0077366B" w:rsidP="00D320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20D2" w:rsidRPr="00553E5F" w:rsidRDefault="00D320D2" w:rsidP="00D320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20D2" w:rsidRPr="00553E5F" w:rsidRDefault="00D320D2" w:rsidP="00D320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20D2" w:rsidRDefault="00D320D2" w:rsidP="00D320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20D2" w:rsidRPr="00CA7034" w:rsidRDefault="00D320D2" w:rsidP="00D320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20D2" w:rsidRPr="00553E5F" w:rsidRDefault="00D320D2" w:rsidP="00D320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20D2" w:rsidRPr="00553E5F" w:rsidRDefault="00D320D2" w:rsidP="00D320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20D2" w:rsidRPr="00CA7034" w:rsidRDefault="00D320D2" w:rsidP="00D320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20D2" w:rsidRPr="00553E5F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20D2" w:rsidRPr="004E7E1C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Медицинские и демографические показатели  здоровья населения Томской область в период с 2006-2010 год</w:t>
      </w:r>
      <w:r w:rsidR="00D20C43">
        <w:rPr>
          <w:rFonts w:ascii="Times New Roman" w:hAnsi="Times New Roman" w:cs="Times New Roman"/>
          <w:sz w:val="28"/>
          <w:szCs w:val="28"/>
        </w:rPr>
        <w:t>ы</w:t>
      </w:r>
    </w:p>
    <w:p w:rsidR="00D320D2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6917">
        <w:rPr>
          <w:rFonts w:ascii="Times New Roman" w:hAnsi="Times New Roman" w:cs="Times New Roman"/>
          <w:sz w:val="28"/>
          <w:szCs w:val="28"/>
        </w:rPr>
        <w:t>Характеристика населения как потенциального потребителя услуг здравоохранения предполагает оценку двух групп показателей: собственно демографических и показателей здоровья. Оценка абсолютных показателей динамики численности населения Томской области за анализируемый период показала, что имевшее место с 1992 года уменьшение численности населения впервые сменилось его приростом в течение 2007 года (табл</w:t>
      </w:r>
      <w:r>
        <w:rPr>
          <w:rFonts w:ascii="Times New Roman" w:hAnsi="Times New Roman" w:cs="Times New Roman"/>
          <w:sz w:val="28"/>
          <w:szCs w:val="28"/>
        </w:rPr>
        <w:t xml:space="preserve">ица </w:t>
      </w:r>
      <w:r w:rsidR="0077366B">
        <w:rPr>
          <w:rFonts w:ascii="Times New Roman" w:hAnsi="Times New Roman" w:cs="Times New Roman"/>
          <w:sz w:val="28"/>
          <w:szCs w:val="28"/>
        </w:rPr>
        <w:t>1).</w:t>
      </w:r>
    </w:p>
    <w:p w:rsidR="00D320D2" w:rsidRDefault="00D320D2" w:rsidP="00D320D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06917">
        <w:rPr>
          <w:rFonts w:ascii="Times New Roman" w:hAnsi="Times New Roman" w:cs="Times New Roman"/>
          <w:sz w:val="28"/>
          <w:szCs w:val="28"/>
        </w:rPr>
        <w:t>Таб</w:t>
      </w:r>
      <w:r>
        <w:rPr>
          <w:rFonts w:ascii="Times New Roman" w:hAnsi="Times New Roman" w:cs="Times New Roman"/>
          <w:sz w:val="28"/>
          <w:szCs w:val="28"/>
        </w:rPr>
        <w:t>л.</w:t>
      </w:r>
      <w:r w:rsidRPr="00106917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D320D2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6917">
        <w:rPr>
          <w:rFonts w:ascii="Times New Roman" w:hAnsi="Times New Roman" w:cs="Times New Roman"/>
          <w:sz w:val="28"/>
          <w:szCs w:val="28"/>
        </w:rPr>
        <w:t>Динамика численности населения Томской области в 2006–2010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6917">
        <w:rPr>
          <w:rFonts w:ascii="Times New Roman" w:hAnsi="Times New Roman" w:cs="Times New Roman"/>
          <w:sz w:val="28"/>
          <w:szCs w:val="28"/>
        </w:rPr>
        <w:t>годах</w:t>
      </w:r>
      <w:r w:rsidR="0077366B">
        <w:rPr>
          <w:rFonts w:ascii="Times New Roman" w:hAnsi="Times New Roman" w:cs="Times New Roman"/>
          <w:sz w:val="28"/>
          <w:szCs w:val="28"/>
        </w:rPr>
        <w:t>, чел.</w:t>
      </w:r>
    </w:p>
    <w:tbl>
      <w:tblPr>
        <w:tblStyle w:val="a9"/>
        <w:tblW w:w="0" w:type="auto"/>
        <w:tblLayout w:type="fixed"/>
        <w:tblLook w:val="04A0"/>
      </w:tblPr>
      <w:tblGrid>
        <w:gridCol w:w="3227"/>
        <w:gridCol w:w="1276"/>
        <w:gridCol w:w="1275"/>
        <w:gridCol w:w="1276"/>
        <w:gridCol w:w="1276"/>
        <w:gridCol w:w="1241"/>
      </w:tblGrid>
      <w:tr w:rsidR="00D320D2" w:rsidTr="00370132">
        <w:tc>
          <w:tcPr>
            <w:tcW w:w="3227" w:type="dxa"/>
            <w:vMerge w:val="restart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6344" w:type="dxa"/>
            <w:gridSpan w:val="5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D320D2" w:rsidTr="00370132">
        <w:tc>
          <w:tcPr>
            <w:tcW w:w="3227" w:type="dxa"/>
            <w:vMerge/>
          </w:tcPr>
          <w:p w:rsidR="00D320D2" w:rsidRDefault="00D320D2" w:rsidP="003701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  <w:tc>
          <w:tcPr>
            <w:tcW w:w="1275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  <w:tc>
          <w:tcPr>
            <w:tcW w:w="1276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1276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2009</w:t>
            </w:r>
          </w:p>
        </w:tc>
        <w:tc>
          <w:tcPr>
            <w:tcW w:w="1241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</w:tr>
      <w:tr w:rsidR="00D320D2" w:rsidTr="00370132">
        <w:tc>
          <w:tcPr>
            <w:tcW w:w="3227" w:type="dxa"/>
          </w:tcPr>
          <w:p w:rsidR="00D320D2" w:rsidRDefault="00D320D2" w:rsidP="003701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постоянного населения на начало года</w:t>
            </w:r>
          </w:p>
        </w:tc>
        <w:tc>
          <w:tcPr>
            <w:tcW w:w="1276" w:type="dxa"/>
          </w:tcPr>
          <w:p w:rsidR="00D320D2" w:rsidRDefault="00D320D2" w:rsidP="003701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1034137</w:t>
            </w:r>
          </w:p>
        </w:tc>
        <w:tc>
          <w:tcPr>
            <w:tcW w:w="1275" w:type="dxa"/>
          </w:tcPr>
          <w:p w:rsidR="00D320D2" w:rsidRDefault="00D320D2" w:rsidP="003701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1033102</w:t>
            </w:r>
          </w:p>
        </w:tc>
        <w:tc>
          <w:tcPr>
            <w:tcW w:w="1276" w:type="dxa"/>
          </w:tcPr>
          <w:p w:rsidR="00D320D2" w:rsidRDefault="00D320D2" w:rsidP="003701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1034985</w:t>
            </w:r>
          </w:p>
        </w:tc>
        <w:tc>
          <w:tcPr>
            <w:tcW w:w="1276" w:type="dxa"/>
          </w:tcPr>
          <w:p w:rsidR="00D320D2" w:rsidRDefault="00D320D2" w:rsidP="003701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1038508</w:t>
            </w:r>
          </w:p>
        </w:tc>
        <w:tc>
          <w:tcPr>
            <w:tcW w:w="1241" w:type="dxa"/>
          </w:tcPr>
          <w:p w:rsidR="00D320D2" w:rsidRDefault="00D320D2" w:rsidP="003701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1043759</w:t>
            </w:r>
          </w:p>
        </w:tc>
      </w:tr>
      <w:tr w:rsidR="00D320D2" w:rsidTr="00370132">
        <w:tc>
          <w:tcPr>
            <w:tcW w:w="3227" w:type="dxa"/>
          </w:tcPr>
          <w:p w:rsidR="00D320D2" w:rsidRDefault="00D320D2" w:rsidP="003701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прирост постоянного населения за год</w:t>
            </w:r>
          </w:p>
        </w:tc>
        <w:tc>
          <w:tcPr>
            <w:tcW w:w="1276" w:type="dxa"/>
          </w:tcPr>
          <w:p w:rsidR="00D320D2" w:rsidRDefault="00D320D2" w:rsidP="003701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-1035</w:t>
            </w:r>
          </w:p>
        </w:tc>
        <w:tc>
          <w:tcPr>
            <w:tcW w:w="1275" w:type="dxa"/>
          </w:tcPr>
          <w:p w:rsidR="00D320D2" w:rsidRDefault="00D320D2" w:rsidP="003701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1883</w:t>
            </w:r>
          </w:p>
        </w:tc>
        <w:tc>
          <w:tcPr>
            <w:tcW w:w="1276" w:type="dxa"/>
          </w:tcPr>
          <w:p w:rsidR="00D320D2" w:rsidRDefault="00D320D2" w:rsidP="003701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3523</w:t>
            </w:r>
          </w:p>
        </w:tc>
        <w:tc>
          <w:tcPr>
            <w:tcW w:w="1276" w:type="dxa"/>
          </w:tcPr>
          <w:p w:rsidR="00D320D2" w:rsidRDefault="00D320D2" w:rsidP="003701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5251</w:t>
            </w:r>
          </w:p>
        </w:tc>
        <w:tc>
          <w:tcPr>
            <w:tcW w:w="1241" w:type="dxa"/>
          </w:tcPr>
          <w:p w:rsidR="00D320D2" w:rsidRDefault="00D320D2" w:rsidP="003701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2926</w:t>
            </w:r>
          </w:p>
        </w:tc>
      </w:tr>
    </w:tbl>
    <w:p w:rsidR="00D320D2" w:rsidRPr="00106917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20D2" w:rsidRPr="00F8484A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6917">
        <w:rPr>
          <w:rFonts w:ascii="Times New Roman" w:hAnsi="Times New Roman" w:cs="Times New Roman"/>
          <w:sz w:val="28"/>
          <w:szCs w:val="28"/>
        </w:rPr>
        <w:t>Поскольку динамика численности населения определяется интенсивностью двух процессов — естественного и механического движений населения, целесообразно оценить вклад этих процессов в результирующие показатели. Анализ динамики характеристик естественного движения населения РФ в целом и Томской области в частности обнаруживает, что наблюдавшаяся на протяжении почти двух десятилетий депопуляция сменилась в 2009 году в Томской области небольшим естественным приростом населения, сохранившимся и в последующем году (табл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106917">
        <w:rPr>
          <w:rFonts w:ascii="Times New Roman" w:hAnsi="Times New Roman" w:cs="Times New Roman"/>
          <w:sz w:val="28"/>
          <w:szCs w:val="28"/>
        </w:rPr>
        <w:t xml:space="preserve"> 2). Однако вклад естественного прироста в увеличение численности населения области составил только 14,7 %. В отличие от Томской области по Российской Федерации в среднем коэффициент естественного прироста </w:t>
      </w:r>
      <w:r w:rsidRPr="00106917">
        <w:rPr>
          <w:rFonts w:ascii="Times New Roman" w:hAnsi="Times New Roman" w:cs="Times New Roman"/>
          <w:sz w:val="28"/>
          <w:szCs w:val="28"/>
        </w:rPr>
        <w:lastRenderedPageBreak/>
        <w:t>населения сохранил отрицательные значения, а в Сибирском Федеральном округе (СФО) небольшой естественный прирост был зафиксирован только в 2009 году.</w:t>
      </w:r>
      <w:r w:rsidR="00F8484A" w:rsidRPr="00F8484A">
        <w:rPr>
          <w:rFonts w:ascii="Times New Roman" w:hAnsi="Times New Roman" w:cs="Times New Roman"/>
          <w:sz w:val="28"/>
          <w:szCs w:val="28"/>
        </w:rPr>
        <w:t>[8]</w:t>
      </w:r>
    </w:p>
    <w:p w:rsidR="00D320D2" w:rsidRDefault="00D320D2" w:rsidP="00D320D2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106917">
        <w:rPr>
          <w:rFonts w:ascii="Times New Roman" w:hAnsi="Times New Roman" w:cs="Times New Roman"/>
          <w:sz w:val="28"/>
          <w:szCs w:val="28"/>
        </w:rPr>
        <w:t>Табл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06917">
        <w:rPr>
          <w:rFonts w:ascii="Times New Roman" w:hAnsi="Times New Roman" w:cs="Times New Roman"/>
          <w:sz w:val="28"/>
          <w:szCs w:val="28"/>
        </w:rPr>
        <w:t>2</w:t>
      </w:r>
    </w:p>
    <w:p w:rsidR="00D320D2" w:rsidRPr="00F8484A" w:rsidRDefault="00D320D2" w:rsidP="00D320D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6917">
        <w:rPr>
          <w:rFonts w:ascii="Times New Roman" w:hAnsi="Times New Roman" w:cs="Times New Roman"/>
          <w:sz w:val="28"/>
          <w:szCs w:val="28"/>
        </w:rPr>
        <w:t>Показатели естественного прироста населения Томской области, Сибирского федерального округа, Российской Федерации в период с 2006 по 2010 год на 1000 населения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F8484A" w:rsidRPr="00F8484A">
        <w:rPr>
          <w:rFonts w:ascii="Times New Roman" w:hAnsi="Times New Roman" w:cs="Times New Roman"/>
          <w:sz w:val="28"/>
          <w:szCs w:val="28"/>
        </w:rPr>
        <w:t>[</w:t>
      </w:r>
    </w:p>
    <w:tbl>
      <w:tblPr>
        <w:tblStyle w:val="a9"/>
        <w:tblW w:w="0" w:type="auto"/>
        <w:tblLook w:val="04A0"/>
      </w:tblPr>
      <w:tblGrid>
        <w:gridCol w:w="4077"/>
        <w:gridCol w:w="1134"/>
        <w:gridCol w:w="993"/>
        <w:gridCol w:w="1134"/>
        <w:gridCol w:w="1134"/>
        <w:gridCol w:w="1099"/>
      </w:tblGrid>
      <w:tr w:rsidR="00D320D2" w:rsidTr="00370132">
        <w:tc>
          <w:tcPr>
            <w:tcW w:w="4077" w:type="dxa"/>
            <w:vMerge w:val="restart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Территория</w:t>
            </w:r>
          </w:p>
        </w:tc>
        <w:tc>
          <w:tcPr>
            <w:tcW w:w="5494" w:type="dxa"/>
            <w:gridSpan w:val="5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D320D2" w:rsidTr="00370132">
        <w:tc>
          <w:tcPr>
            <w:tcW w:w="4077" w:type="dxa"/>
            <w:vMerge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  <w:tc>
          <w:tcPr>
            <w:tcW w:w="993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2009</w:t>
            </w:r>
          </w:p>
        </w:tc>
        <w:tc>
          <w:tcPr>
            <w:tcW w:w="1099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</w:tr>
      <w:tr w:rsidR="00D320D2" w:rsidTr="00370132">
        <w:tc>
          <w:tcPr>
            <w:tcW w:w="4077" w:type="dxa"/>
          </w:tcPr>
          <w:p w:rsidR="00D320D2" w:rsidRDefault="00D320D2" w:rsidP="003701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-4,8</w:t>
            </w:r>
          </w:p>
        </w:tc>
        <w:tc>
          <w:tcPr>
            <w:tcW w:w="993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-3,3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-2,5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-1,8</w:t>
            </w:r>
          </w:p>
        </w:tc>
        <w:tc>
          <w:tcPr>
            <w:tcW w:w="1099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-1,7</w:t>
            </w:r>
          </w:p>
        </w:tc>
      </w:tr>
      <w:tr w:rsidR="00D320D2" w:rsidTr="00370132">
        <w:tc>
          <w:tcPr>
            <w:tcW w:w="4077" w:type="dxa"/>
          </w:tcPr>
          <w:p w:rsidR="00D320D2" w:rsidRDefault="00D320D2" w:rsidP="003701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Сибирский Федеральный округ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-3,5</w:t>
            </w:r>
          </w:p>
        </w:tc>
        <w:tc>
          <w:tcPr>
            <w:tcW w:w="993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-1,7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-0,7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099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-0,1</w:t>
            </w:r>
          </w:p>
        </w:tc>
      </w:tr>
      <w:tr w:rsidR="00D320D2" w:rsidTr="00370132">
        <w:tc>
          <w:tcPr>
            <w:tcW w:w="4077" w:type="dxa"/>
          </w:tcPr>
          <w:p w:rsidR="00D320D2" w:rsidRDefault="00D320D2" w:rsidP="003701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Томская область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-2,4</w:t>
            </w:r>
          </w:p>
        </w:tc>
        <w:tc>
          <w:tcPr>
            <w:tcW w:w="993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-0,8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-0,1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099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</w:tbl>
    <w:p w:rsidR="001C3B09" w:rsidRDefault="001C3B09" w:rsidP="001C3B0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20D2" w:rsidRPr="002209B1" w:rsidRDefault="00D320D2" w:rsidP="001C3B0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06917">
        <w:rPr>
          <w:rFonts w:ascii="Times New Roman" w:hAnsi="Times New Roman" w:cs="Times New Roman"/>
          <w:sz w:val="28"/>
          <w:szCs w:val="28"/>
        </w:rPr>
        <w:t xml:space="preserve">Итоговые показатели естественного прироста населения определяются разностью между числом рождений и смертей за определенный период. Оценка динамики общих коэффициентов рождаемости и смертности показала, что Томская область характеризуется устойчивым повышением общего коэффициента рождаемости и снижением общего коэффициента смертности. Так общий коэффициент рождаемости за период с 2006 по 2010 год в Томской области увеличился с 11,1 до 13,1 на 1000 населения (РФ — с 10,4 до 12,5; СФО — с 11,6 до 14,1). Общий коэффициент смертности снизился с 13,5 до 12,6 на 1000 населения (РФ — с 15,2 до 14,2; СФО — с 15,1 до 14,2). Известно, что на величину общих коэффициентов может оказывать существенное влияние возрастная структура населения. Свободный от влияния возрастной структуры суммарный коэффициент рождаемости (СКР) за анализируемый период заметно вырос как в среднем по РФ и СФО, так и в Томской области. Однако за весь анализируемый период в Томской области СКР был существенно ниже среднероссийского и среднего по СФО. В 2009 году СКР составил в РФ и СФО 1,537 и 1,638 соответственно, а в Томской области 1,408, что явилось самым </w:t>
      </w:r>
      <w:r w:rsidRPr="00106917">
        <w:rPr>
          <w:rFonts w:ascii="Times New Roman" w:hAnsi="Times New Roman" w:cs="Times New Roman"/>
          <w:sz w:val="28"/>
          <w:szCs w:val="28"/>
        </w:rPr>
        <w:lastRenderedPageBreak/>
        <w:t>низким показателем по СФО. Сравнительная оценка показателя ожидаемой продолжительности жизни при рождении (ОПЖР) показала также одинаковую положительную динамику для обоих полов. В 2009 году ОПЖР в среднем по РФ составила для женщин 74,7 года, для мужчин — 62,8 года; в СФО для женщин — 73,2 года, для мужчин — 61 год; в Томской области для женщин — 74,2 года и для мужчин — 62,2 года. Таким образом, несмотря на низкий общий коэффициент смертности, по показателю ОПЖР Томская область несколько отстает от среднероссийского уровня.</w:t>
      </w:r>
      <w:r w:rsidR="002209B1">
        <w:rPr>
          <w:rFonts w:ascii="Times New Roman" w:hAnsi="Times New Roman" w:cs="Times New Roman"/>
          <w:sz w:val="28"/>
          <w:szCs w:val="28"/>
          <w:lang w:val="en-US"/>
        </w:rPr>
        <w:t>[5]</w:t>
      </w:r>
    </w:p>
    <w:p w:rsidR="00D320D2" w:rsidRPr="00106917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6917">
        <w:rPr>
          <w:rFonts w:ascii="Times New Roman" w:hAnsi="Times New Roman" w:cs="Times New Roman"/>
          <w:sz w:val="28"/>
          <w:szCs w:val="28"/>
        </w:rPr>
        <w:t>Сравнительный анализ структурных характеристик населения Томской области, СФО и РФ показал (табл. 3), что в анализируемый период доля городского населения в среднем по России была довольно стабильна и составила 73 %, степень урбанизации СФО несколько ниже — 70,73 % в 2006 году и 70,86 % в 2010 году. В Томской области этот показатель еще ниже, однако, темпы увеличения доли городского населения заметно превышают как средние показатели по СФО, так и средние по РФ.</w:t>
      </w:r>
    </w:p>
    <w:p w:rsidR="00D320D2" w:rsidRPr="00F8484A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6917">
        <w:rPr>
          <w:rFonts w:ascii="Times New Roman" w:hAnsi="Times New Roman" w:cs="Times New Roman"/>
          <w:sz w:val="28"/>
          <w:szCs w:val="28"/>
        </w:rPr>
        <w:t xml:space="preserve">Анализ возрастной структуры населения показал, что в России за последние пять лет наблюдается устойчивое увеличение доли старших возрастных групп в общей численности населения с 17,0 до 17,7 %. Согласно шкале демографического старения Ж. Боже-Гарнье — Э. Россета, пороговым значением, характеризующим население как старое, является доля лиц в возрасте 60 лет и старше в размере 12 % и более. В соответствии с указанной шкалой, РФ характеризуется как страна с высоким уровнем демографической старости. Доля лиц старше 60 лет в СФО в целом ниже, чем в среднем по РФ, однако неуклонно увеличивается за анализируемый период с 14,86 до 15,65 %. Томская область характеризуется более молодым составом населения, но и для этой территории характерно нарастание доли лиц старших возрастных групп с 13,88 до 14,84 %. Указанные различия определяют меньший коэффициент демографической нагрузки в Томской области, но необходимо отметить, что все территории характеризуются одинаковой динамикой структурных коэффициентов — увеличением доли </w:t>
      </w:r>
      <w:r w:rsidRPr="00106917">
        <w:rPr>
          <w:rFonts w:ascii="Times New Roman" w:hAnsi="Times New Roman" w:cs="Times New Roman"/>
          <w:sz w:val="28"/>
          <w:szCs w:val="28"/>
        </w:rPr>
        <w:lastRenderedPageBreak/>
        <w:t>старших возрастных групп, доли женского населения и демографической нагрузки. Одним из показателей, в определенной степени отражающих уровень здоровья населения и развития системы здравоохранения, является младенческая смертность, которая за анализируемый период в Томской области превышала как средние показатели по СФО, так и по РФ в целом, за исключением 2010 года, когда показатель младенческой смертности в Томской области был существенно ниже среднего по РФ и СФО и составил 6,5 на 1000 родившихся живыми</w:t>
      </w:r>
      <w:r w:rsidR="00F8484A">
        <w:rPr>
          <w:rFonts w:ascii="Times New Roman" w:hAnsi="Times New Roman" w:cs="Times New Roman"/>
          <w:sz w:val="28"/>
          <w:szCs w:val="28"/>
        </w:rPr>
        <w:t xml:space="preserve"> (РФ — 7,5; СФО — 8,4)</w:t>
      </w:r>
      <w:r w:rsidR="00F8484A" w:rsidRPr="00F8484A">
        <w:rPr>
          <w:rFonts w:ascii="Times New Roman" w:hAnsi="Times New Roman" w:cs="Times New Roman"/>
          <w:sz w:val="28"/>
          <w:szCs w:val="28"/>
        </w:rPr>
        <w:t>.</w:t>
      </w:r>
    </w:p>
    <w:p w:rsidR="00D320D2" w:rsidRDefault="00D320D2" w:rsidP="00D320D2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106917">
        <w:rPr>
          <w:rFonts w:ascii="Times New Roman" w:hAnsi="Times New Roman" w:cs="Times New Roman"/>
          <w:sz w:val="28"/>
          <w:szCs w:val="28"/>
        </w:rPr>
        <w:t>Табл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06917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20D2" w:rsidRDefault="00D320D2" w:rsidP="001C3B0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6917">
        <w:rPr>
          <w:rFonts w:ascii="Times New Roman" w:hAnsi="Times New Roman" w:cs="Times New Roman"/>
          <w:sz w:val="28"/>
          <w:szCs w:val="28"/>
        </w:rPr>
        <w:t>Структурные характеристики населения Томской области, Сибирского федерального округа, Российской Федерации в период с 2006 по 2010 год</w:t>
      </w:r>
      <w:r>
        <w:rPr>
          <w:rFonts w:ascii="Times New Roman" w:hAnsi="Times New Roman" w:cs="Times New Roman"/>
          <w:sz w:val="28"/>
          <w:szCs w:val="28"/>
        </w:rPr>
        <w:t>, %.</w:t>
      </w:r>
    </w:p>
    <w:tbl>
      <w:tblPr>
        <w:tblStyle w:val="a9"/>
        <w:tblW w:w="9571" w:type="dxa"/>
        <w:tblLook w:val="04A0"/>
      </w:tblPr>
      <w:tblGrid>
        <w:gridCol w:w="3794"/>
        <w:gridCol w:w="1276"/>
        <w:gridCol w:w="1134"/>
        <w:gridCol w:w="1134"/>
        <w:gridCol w:w="1134"/>
        <w:gridCol w:w="1099"/>
      </w:tblGrid>
      <w:tr w:rsidR="00D320D2" w:rsidTr="00370132">
        <w:tc>
          <w:tcPr>
            <w:tcW w:w="3794" w:type="dxa"/>
            <w:vMerge w:val="restart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5777" w:type="dxa"/>
            <w:gridSpan w:val="5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D320D2" w:rsidTr="00370132">
        <w:tc>
          <w:tcPr>
            <w:tcW w:w="3794" w:type="dxa"/>
            <w:vMerge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2009</w:t>
            </w:r>
          </w:p>
        </w:tc>
        <w:tc>
          <w:tcPr>
            <w:tcW w:w="1099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</w:tr>
      <w:tr w:rsidR="00D320D2" w:rsidTr="00370132">
        <w:tc>
          <w:tcPr>
            <w:tcW w:w="9571" w:type="dxa"/>
            <w:gridSpan w:val="6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4760ED" w:rsidRDefault="004760ED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20D2" w:rsidTr="00370132">
        <w:tc>
          <w:tcPr>
            <w:tcW w:w="3794" w:type="dxa"/>
          </w:tcPr>
          <w:p w:rsidR="00D320D2" w:rsidRDefault="00D320D2" w:rsidP="003701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лиц в возрасте 60 лет и старше, %</w:t>
            </w:r>
          </w:p>
        </w:tc>
        <w:tc>
          <w:tcPr>
            <w:tcW w:w="1276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17,01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17,08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17,24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17,39</w:t>
            </w:r>
          </w:p>
        </w:tc>
        <w:tc>
          <w:tcPr>
            <w:tcW w:w="1099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17,75</w:t>
            </w:r>
          </w:p>
        </w:tc>
      </w:tr>
      <w:tr w:rsidR="00D320D2" w:rsidTr="00370132">
        <w:tc>
          <w:tcPr>
            <w:tcW w:w="3794" w:type="dxa"/>
          </w:tcPr>
          <w:p w:rsidR="00D320D2" w:rsidRDefault="00D320D2" w:rsidP="003701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Степень урбанизации, %</w:t>
            </w:r>
          </w:p>
        </w:tc>
        <w:tc>
          <w:tcPr>
            <w:tcW w:w="1276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72,93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72,97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73,08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73,07</w:t>
            </w:r>
          </w:p>
        </w:tc>
        <w:tc>
          <w:tcPr>
            <w:tcW w:w="1099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73,08</w:t>
            </w:r>
          </w:p>
        </w:tc>
      </w:tr>
      <w:tr w:rsidR="00D320D2" w:rsidTr="00370132">
        <w:tc>
          <w:tcPr>
            <w:tcW w:w="3794" w:type="dxa"/>
          </w:tcPr>
          <w:p w:rsidR="00D320D2" w:rsidRDefault="00D320D2" w:rsidP="003701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женского населения, %</w:t>
            </w:r>
          </w:p>
        </w:tc>
        <w:tc>
          <w:tcPr>
            <w:tcW w:w="1276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53,65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53,70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53,72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53,74</w:t>
            </w:r>
          </w:p>
        </w:tc>
        <w:tc>
          <w:tcPr>
            <w:tcW w:w="1099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53,75</w:t>
            </w:r>
          </w:p>
        </w:tc>
      </w:tr>
      <w:tr w:rsidR="00D320D2" w:rsidTr="00370132">
        <w:tc>
          <w:tcPr>
            <w:tcW w:w="3794" w:type="dxa"/>
          </w:tcPr>
          <w:p w:rsidR="00D320D2" w:rsidRDefault="00D320D2" w:rsidP="003701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демографической нагрузки (нетрудоспособных на 1000 трудоспособных)</w:t>
            </w:r>
          </w:p>
        </w:tc>
        <w:tc>
          <w:tcPr>
            <w:tcW w:w="1276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580,3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577,6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582,2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589,7</w:t>
            </w:r>
          </w:p>
        </w:tc>
        <w:tc>
          <w:tcPr>
            <w:tcW w:w="1099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606,1</w:t>
            </w:r>
          </w:p>
        </w:tc>
      </w:tr>
      <w:tr w:rsidR="00D320D2" w:rsidTr="00370132">
        <w:tc>
          <w:tcPr>
            <w:tcW w:w="9571" w:type="dxa"/>
            <w:gridSpan w:val="6"/>
          </w:tcPr>
          <w:p w:rsidR="004760ED" w:rsidRDefault="00D320D2" w:rsidP="004760E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Сибирский Федеральный округ</w:t>
            </w:r>
          </w:p>
          <w:p w:rsidR="004760ED" w:rsidRDefault="004760ED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20D2" w:rsidTr="00370132">
        <w:tc>
          <w:tcPr>
            <w:tcW w:w="3794" w:type="dxa"/>
          </w:tcPr>
          <w:p w:rsidR="00D320D2" w:rsidRDefault="00D320D2" w:rsidP="003701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лиц в возрасте 60 лет и старше, %</w:t>
            </w:r>
          </w:p>
        </w:tc>
        <w:tc>
          <w:tcPr>
            <w:tcW w:w="1276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14,86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14,90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15,09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15,28</w:t>
            </w:r>
          </w:p>
        </w:tc>
        <w:tc>
          <w:tcPr>
            <w:tcW w:w="1099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15,65</w:t>
            </w:r>
          </w:p>
        </w:tc>
      </w:tr>
      <w:tr w:rsidR="00D320D2" w:rsidTr="00370132">
        <w:tc>
          <w:tcPr>
            <w:tcW w:w="3794" w:type="dxa"/>
          </w:tcPr>
          <w:p w:rsidR="00D320D2" w:rsidRDefault="00D320D2" w:rsidP="003701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Степень урбанизации, %</w:t>
            </w:r>
          </w:p>
        </w:tc>
        <w:tc>
          <w:tcPr>
            <w:tcW w:w="1276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70,73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70,71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70,81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70,82</w:t>
            </w:r>
          </w:p>
        </w:tc>
        <w:tc>
          <w:tcPr>
            <w:tcW w:w="1099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70,86</w:t>
            </w:r>
          </w:p>
        </w:tc>
      </w:tr>
      <w:tr w:rsidR="00D320D2" w:rsidTr="00370132">
        <w:tc>
          <w:tcPr>
            <w:tcW w:w="3794" w:type="dxa"/>
          </w:tcPr>
          <w:p w:rsidR="00D320D2" w:rsidRDefault="00D320D2" w:rsidP="003701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женского населения, %</w:t>
            </w:r>
          </w:p>
        </w:tc>
        <w:tc>
          <w:tcPr>
            <w:tcW w:w="1276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53,45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53,52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53,54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53,56</w:t>
            </w:r>
          </w:p>
        </w:tc>
        <w:tc>
          <w:tcPr>
            <w:tcW w:w="1099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53,57</w:t>
            </w:r>
          </w:p>
        </w:tc>
      </w:tr>
      <w:tr w:rsidR="004760ED" w:rsidTr="006346D8">
        <w:tc>
          <w:tcPr>
            <w:tcW w:w="3794" w:type="dxa"/>
            <w:vMerge w:val="restart"/>
          </w:tcPr>
          <w:p w:rsidR="004760ED" w:rsidRDefault="004760ED" w:rsidP="004760E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Показатель</w:t>
            </w:r>
          </w:p>
        </w:tc>
        <w:tc>
          <w:tcPr>
            <w:tcW w:w="5777" w:type="dxa"/>
            <w:gridSpan w:val="5"/>
          </w:tcPr>
          <w:p w:rsidR="004760ED" w:rsidRDefault="004760ED" w:rsidP="004760E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4760ED" w:rsidTr="00370132">
        <w:tc>
          <w:tcPr>
            <w:tcW w:w="3794" w:type="dxa"/>
            <w:vMerge/>
          </w:tcPr>
          <w:p w:rsidR="004760ED" w:rsidRDefault="004760ED" w:rsidP="003701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760ED" w:rsidRDefault="004760ED" w:rsidP="004760E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  <w:tc>
          <w:tcPr>
            <w:tcW w:w="1134" w:type="dxa"/>
          </w:tcPr>
          <w:p w:rsidR="004760ED" w:rsidRDefault="004760ED" w:rsidP="004760E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  <w:tc>
          <w:tcPr>
            <w:tcW w:w="1134" w:type="dxa"/>
          </w:tcPr>
          <w:p w:rsidR="004760ED" w:rsidRDefault="004760ED" w:rsidP="004760E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1134" w:type="dxa"/>
          </w:tcPr>
          <w:p w:rsidR="004760ED" w:rsidRDefault="004760ED" w:rsidP="004760E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2009</w:t>
            </w:r>
          </w:p>
        </w:tc>
        <w:tc>
          <w:tcPr>
            <w:tcW w:w="1099" w:type="dxa"/>
          </w:tcPr>
          <w:p w:rsidR="004760ED" w:rsidRDefault="004760ED" w:rsidP="004760E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2009</w:t>
            </w:r>
          </w:p>
        </w:tc>
      </w:tr>
      <w:tr w:rsidR="00D320D2" w:rsidTr="00370132">
        <w:tc>
          <w:tcPr>
            <w:tcW w:w="3794" w:type="dxa"/>
          </w:tcPr>
          <w:p w:rsidR="00D320D2" w:rsidRDefault="00D320D2" w:rsidP="003701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демографической нагрузки (нетрудоспособных на 1000 трудоспособных)</w:t>
            </w:r>
          </w:p>
        </w:tc>
        <w:tc>
          <w:tcPr>
            <w:tcW w:w="1276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560,14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553,82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559,25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569,52</w:t>
            </w:r>
          </w:p>
        </w:tc>
        <w:tc>
          <w:tcPr>
            <w:tcW w:w="1099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588,06</w:t>
            </w:r>
          </w:p>
        </w:tc>
      </w:tr>
      <w:tr w:rsidR="00D320D2" w:rsidTr="00370132">
        <w:tc>
          <w:tcPr>
            <w:tcW w:w="9571" w:type="dxa"/>
            <w:gridSpan w:val="6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Томская область</w:t>
            </w:r>
          </w:p>
          <w:p w:rsidR="004760ED" w:rsidRDefault="004760ED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20D2" w:rsidTr="00370132">
        <w:tc>
          <w:tcPr>
            <w:tcW w:w="3794" w:type="dxa"/>
          </w:tcPr>
          <w:p w:rsidR="00D320D2" w:rsidRDefault="00D320D2" w:rsidP="003701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лиц в возрасте 60 лет и старше, %</w:t>
            </w:r>
          </w:p>
        </w:tc>
        <w:tc>
          <w:tcPr>
            <w:tcW w:w="1276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13,88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13,96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14,20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14,47</w:t>
            </w:r>
          </w:p>
        </w:tc>
        <w:tc>
          <w:tcPr>
            <w:tcW w:w="1099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14,84</w:t>
            </w:r>
          </w:p>
        </w:tc>
      </w:tr>
      <w:tr w:rsidR="00D320D2" w:rsidTr="00370132">
        <w:tc>
          <w:tcPr>
            <w:tcW w:w="3794" w:type="dxa"/>
          </w:tcPr>
          <w:p w:rsidR="00D320D2" w:rsidRDefault="00D320D2" w:rsidP="003701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Степень урбанизации, %</w:t>
            </w:r>
          </w:p>
        </w:tc>
        <w:tc>
          <w:tcPr>
            <w:tcW w:w="1276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68,36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68,61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68,80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69,05</w:t>
            </w:r>
          </w:p>
        </w:tc>
        <w:tc>
          <w:tcPr>
            <w:tcW w:w="1099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69,30</w:t>
            </w:r>
          </w:p>
        </w:tc>
      </w:tr>
      <w:tr w:rsidR="00D320D2" w:rsidTr="00370132">
        <w:tc>
          <w:tcPr>
            <w:tcW w:w="3794" w:type="dxa"/>
          </w:tcPr>
          <w:p w:rsidR="00D320D2" w:rsidRDefault="00D320D2" w:rsidP="003701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женского населения, %</w:t>
            </w:r>
          </w:p>
        </w:tc>
        <w:tc>
          <w:tcPr>
            <w:tcW w:w="1276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53,12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53,20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53,24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53,28</w:t>
            </w:r>
          </w:p>
        </w:tc>
        <w:tc>
          <w:tcPr>
            <w:tcW w:w="1099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53,32</w:t>
            </w:r>
          </w:p>
        </w:tc>
      </w:tr>
      <w:tr w:rsidR="00D320D2" w:rsidTr="00370132">
        <w:tc>
          <w:tcPr>
            <w:tcW w:w="3794" w:type="dxa"/>
          </w:tcPr>
          <w:p w:rsidR="00D320D2" w:rsidRDefault="00D320D2" w:rsidP="003701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демографической нагрузки (нетрудоспособных на 1000 трудоспособных)</w:t>
            </w:r>
          </w:p>
        </w:tc>
        <w:tc>
          <w:tcPr>
            <w:tcW w:w="1276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498,06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499,19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506,21</w:t>
            </w:r>
          </w:p>
        </w:tc>
        <w:tc>
          <w:tcPr>
            <w:tcW w:w="1134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516,65</w:t>
            </w:r>
          </w:p>
        </w:tc>
        <w:tc>
          <w:tcPr>
            <w:tcW w:w="1099" w:type="dxa"/>
          </w:tcPr>
          <w:p w:rsidR="00D320D2" w:rsidRDefault="00D320D2" w:rsidP="003701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533,50</w:t>
            </w:r>
          </w:p>
        </w:tc>
      </w:tr>
    </w:tbl>
    <w:p w:rsidR="00D320D2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20D2" w:rsidRPr="00106917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6917">
        <w:rPr>
          <w:rFonts w:ascii="Times New Roman" w:hAnsi="Times New Roman" w:cs="Times New Roman"/>
          <w:sz w:val="28"/>
          <w:szCs w:val="28"/>
        </w:rPr>
        <w:t>Структура младенческой смертности в Томской области, СФО и РФ принципиально не отличалась и не подвергалась за анализируемый период принципиальным изменениям. Так, в 2010 году 46,1 % смертей детей первого года жизни было связано с состояниями, возникшими в перинатальном периоде (РФ — 45,9 %; СФО — 36,9 %). На втором месте — врожденные аномалии развития, на долю которых в Томской области пришлось 18,0 % (СФО — 10,6; РФ — 24,2 %).</w:t>
      </w:r>
    </w:p>
    <w:p w:rsidR="00D320D2" w:rsidRPr="00553E5F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6917">
        <w:rPr>
          <w:rFonts w:ascii="Times New Roman" w:hAnsi="Times New Roman" w:cs="Times New Roman"/>
          <w:sz w:val="28"/>
          <w:szCs w:val="28"/>
        </w:rPr>
        <w:t xml:space="preserve">Анализ динамики показателей заболеваемости населения показал, что в 2006 году общая заболеваемость в Томской области составила 1637,7 на 1000 населения, что превысило средние показатели по СФО и РФ на 1,2 и 7,9 % соответственно. В последующие годы наметилась тенденция к снижению показателя общей заболеваемости в Томской области, но увеличению в СФО и РФ, которая составила в 2009 году 1562,5; 1692,1 </w:t>
      </w:r>
      <w:r w:rsidRPr="00106917">
        <w:rPr>
          <w:rFonts w:ascii="Times New Roman" w:hAnsi="Times New Roman" w:cs="Times New Roman"/>
          <w:sz w:val="28"/>
          <w:szCs w:val="28"/>
        </w:rPr>
        <w:lastRenderedPageBreak/>
        <w:t>и 1607,2 на 1000 населения соответственно. В структуре общей заболеваемости стабильно занимают первое место болезни органов дыхания, доля которых в 2009 году составила 26,6 %, на втором месте — заболевания системы кровообращения (11,6 %), на третьем — болезни костно-мышечной системы (9,0 %). Уровень впервые выявленной заболеваемости в Томской области за анализируемый период увеличился на 19,9 % и составил в 2010 году 942,9 на 1000 человек. В структуре первичной заболеваемости лидируют болезни органов дыхания— 40,8 %, на втором месте — травмы, отравления и другие последствия внешних причин (8,4 %), на третьем месте — болезни мочеполовой системы (6,8 %). Наибольшие темпы роста первичной заболеваемости отмечены для болезней эндокринной системы и нарушений обмена веществ (с 9,2 до 18,9 на 1000 населения). Значительное увеличение первичной заболеваемости отмечено также для врожденных аномалий, болезней системы кровообращения, болезней костно-мышечной системы.</w:t>
      </w:r>
    </w:p>
    <w:p w:rsidR="00D320D2" w:rsidRPr="00553E5F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20D2" w:rsidRPr="00553E5F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20D2" w:rsidRPr="00553E5F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20D2" w:rsidRPr="00553E5F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20D2" w:rsidRPr="00553E5F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20D2" w:rsidRPr="00553E5F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20D2" w:rsidRDefault="00D320D2" w:rsidP="00D320D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C3B09" w:rsidRPr="00553E5F" w:rsidRDefault="001C3B09" w:rsidP="00D320D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20D2" w:rsidRDefault="00D320D2" w:rsidP="00D320D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20D2" w:rsidRDefault="00D320D2" w:rsidP="00D320D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20D2" w:rsidRDefault="00D320D2" w:rsidP="00D320D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20D2" w:rsidRPr="00553E5F" w:rsidRDefault="00D320D2" w:rsidP="0003576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20D2" w:rsidRPr="004E7E1C" w:rsidRDefault="00D320D2" w:rsidP="00D320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20D2" w:rsidRPr="006565E5" w:rsidRDefault="00D320D2" w:rsidP="00D320D2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6565E5">
        <w:rPr>
          <w:rFonts w:ascii="Times New Roman" w:hAnsi="Times New Roman" w:cs="Times New Roman"/>
          <w:sz w:val="28"/>
          <w:szCs w:val="28"/>
        </w:rPr>
        <w:t>Медико-демографические показатели здоровья населе</w:t>
      </w:r>
      <w:r>
        <w:rPr>
          <w:rFonts w:ascii="Times New Roman" w:hAnsi="Times New Roman" w:cs="Times New Roman"/>
          <w:sz w:val="28"/>
          <w:szCs w:val="28"/>
        </w:rPr>
        <w:t>ния Томской области в 2013 году</w:t>
      </w:r>
    </w:p>
    <w:p w:rsidR="00D320D2" w:rsidRPr="006565E5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65E5">
        <w:rPr>
          <w:rFonts w:ascii="Times New Roman" w:hAnsi="Times New Roman" w:cs="Times New Roman"/>
          <w:sz w:val="28"/>
          <w:szCs w:val="28"/>
        </w:rPr>
        <w:t>Численность населения Томской области по состоянию на 1 января 2013 года составила 1 064 245 человек (на 01.01.2012 года – 1 057 748 человек), и за год увеличилась на 6 497 человек, или на 0,6%.</w:t>
      </w:r>
    </w:p>
    <w:p w:rsidR="00D320D2" w:rsidRPr="00C41F34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65E5">
        <w:rPr>
          <w:rFonts w:ascii="Times New Roman" w:hAnsi="Times New Roman" w:cs="Times New Roman"/>
          <w:sz w:val="28"/>
          <w:szCs w:val="28"/>
        </w:rPr>
        <w:t>В общей численности населения Томской области, по состоянию на 1 января 2013 года, доля лиц женского пола составила 53,0%, или 564,4 тыс. человек, численность лиц мужского пола составила 499,9 тыс. человек (47,0%). На 1000 мужчин населения области приходится 1129 женщин, что, связано с высокой преждевременной смертностью мужского населения.</w:t>
      </w:r>
      <w:r w:rsidR="00C41F34" w:rsidRPr="00C41F34">
        <w:rPr>
          <w:rFonts w:ascii="Times New Roman" w:hAnsi="Times New Roman" w:cs="Times New Roman"/>
          <w:sz w:val="28"/>
          <w:szCs w:val="28"/>
        </w:rPr>
        <w:t>[6]</w:t>
      </w:r>
    </w:p>
    <w:p w:rsidR="00D320D2" w:rsidRPr="006565E5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65E5">
        <w:rPr>
          <w:rFonts w:ascii="Times New Roman" w:hAnsi="Times New Roman" w:cs="Times New Roman"/>
          <w:sz w:val="28"/>
          <w:szCs w:val="28"/>
        </w:rPr>
        <w:t>Численность сельских жителей Томской области в 2013 году составила 306,6 тыс. человек и снизилась по сравнению с 2012 годом (308,1 тыс. человек) на 0,5%; по сравнению с 2009 годом (321,4 тыс. человек) – на 4,6%.</w:t>
      </w:r>
    </w:p>
    <w:p w:rsidR="00D320D2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65E5">
        <w:rPr>
          <w:rFonts w:ascii="Times New Roman" w:hAnsi="Times New Roman" w:cs="Times New Roman"/>
          <w:sz w:val="28"/>
          <w:szCs w:val="28"/>
        </w:rPr>
        <w:t>Численность городского населения Томской области по состоянию на 1 января 2013 года составила 757,6 тыс. человек и выросла по отношению к 2012 (749,6 тыс. человек) и 2009 (717,1 тыс. человек) годам на 1,1% и 5,6% соответственно.</w:t>
      </w:r>
    </w:p>
    <w:p w:rsidR="00D320D2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81700" cy="3028950"/>
            <wp:effectExtent l="19050" t="0" r="1905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D320D2" w:rsidRPr="006565E5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 .</w:t>
      </w:r>
      <w:r w:rsidR="001C3B0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Динамика численности населения Томской области, тыс. человек</w:t>
      </w:r>
    </w:p>
    <w:p w:rsidR="00D320D2" w:rsidRPr="006565E5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65E5">
        <w:rPr>
          <w:rFonts w:ascii="Times New Roman" w:hAnsi="Times New Roman" w:cs="Times New Roman"/>
          <w:sz w:val="28"/>
          <w:szCs w:val="28"/>
        </w:rPr>
        <w:t>Таким образом, рост общей численности населения области происходит за счет роста численности городских жителей</w:t>
      </w:r>
      <w:r>
        <w:rPr>
          <w:rFonts w:ascii="Times New Roman" w:hAnsi="Times New Roman" w:cs="Times New Roman"/>
          <w:sz w:val="28"/>
          <w:szCs w:val="28"/>
        </w:rPr>
        <w:t xml:space="preserve"> ( </w:t>
      </w:r>
      <w:r w:rsidR="001C3B09">
        <w:rPr>
          <w:rFonts w:ascii="Times New Roman" w:hAnsi="Times New Roman" w:cs="Times New Roman"/>
          <w:sz w:val="28"/>
          <w:szCs w:val="28"/>
        </w:rPr>
        <w:t>Рис.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3B0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6565E5">
        <w:rPr>
          <w:rFonts w:ascii="Times New Roman" w:hAnsi="Times New Roman" w:cs="Times New Roman"/>
          <w:sz w:val="28"/>
          <w:szCs w:val="28"/>
        </w:rPr>
        <w:t>.</w:t>
      </w:r>
    </w:p>
    <w:p w:rsidR="00D320D2" w:rsidRPr="00D63488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65E5">
        <w:rPr>
          <w:rFonts w:ascii="Times New Roman" w:hAnsi="Times New Roman" w:cs="Times New Roman"/>
          <w:sz w:val="28"/>
          <w:szCs w:val="28"/>
        </w:rPr>
        <w:lastRenderedPageBreak/>
        <w:t>Рост численности населения Томской области в 2013 году был обусловлен превышением показателя рождаемости над смертностью населения области и, как следствие, естественным приростом населения региона. За 2013 год число родившихся превысило число умерших на 2 189 человек, коэффициент естественного прироста населения составил 2,0 на 1000 населения.</w:t>
      </w:r>
      <w:r w:rsidRPr="00D63488">
        <w:rPr>
          <w:rFonts w:ascii="Times New Roman" w:hAnsi="Times New Roman" w:cs="Times New Roman"/>
          <w:sz w:val="28"/>
          <w:szCs w:val="28"/>
        </w:rPr>
        <w:t>[6]</w:t>
      </w:r>
    </w:p>
    <w:p w:rsidR="00D320D2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65E5">
        <w:rPr>
          <w:rFonts w:ascii="Times New Roman" w:hAnsi="Times New Roman" w:cs="Times New Roman"/>
          <w:sz w:val="28"/>
          <w:szCs w:val="28"/>
        </w:rPr>
        <w:t>По предварительным данным территориального органа Федеральной службы государственной статистики по Томской области в 2013 году родилось 14 723 человека, умерло 12 534 человек, в том числе в возрасте до 1 года – 103 человека. Коэффициент рождаемости в 2013 году, по сравнению с 2012 годом, увеличился на 1,5% и составил 13,8 рождений на 1000 населения (2012 год – 13,6), что на 3,8% выше, чем по Российской Федерации в целом (13,3) и на 7,4% ниже, чем тот же показатель по Сибирскому Федеральному округу (14,9). Коэффициент смертности снизился на 0,8% и составил 11,8 случаев смерти на 1000 населения (2012 год – 11,9), что ниже, чем тот же показатель по РФ (13,1) и СФО (13,3) на 9,9% и 11,3% соответственно</w:t>
      </w:r>
      <w:r w:rsidR="00C41F34">
        <w:rPr>
          <w:rFonts w:ascii="Times New Roman" w:hAnsi="Times New Roman" w:cs="Times New Roman"/>
          <w:sz w:val="28"/>
          <w:szCs w:val="28"/>
        </w:rPr>
        <w:t>. Произведенный анализ изобразим на рисунке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20D2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24550" cy="3467100"/>
            <wp:effectExtent l="19050" t="0" r="1905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D320D2" w:rsidRPr="00493179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</w:t>
      </w:r>
      <w:r w:rsidR="001C3B0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Динамика рождаемости и смертности населения Томской области, %.</w:t>
      </w:r>
    </w:p>
    <w:p w:rsidR="00D320D2" w:rsidRPr="00B76157" w:rsidRDefault="003B33AF" w:rsidP="003B33A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Так в 2013 году в Томской области </w:t>
      </w:r>
      <w:r w:rsidR="00D320D2" w:rsidRPr="000153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1000 человек населения приходилось 13 новорожденных. </w:t>
      </w:r>
    </w:p>
    <w:p w:rsidR="00D320D2" w:rsidRPr="00015361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t xml:space="preserve">Наиболее высокий уровень рождаемости зарегистрирован в Парабельском районе (17,8 на 1000 населения). Наиболее низкий уровень </w:t>
      </w:r>
    </w:p>
    <w:p w:rsidR="00D320D2" w:rsidRPr="00C41F34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t>рождаемости отмечен в Томском районе (9,0 на 1000 населения). В 6 административных территориях рождаемость была ниже среднего уровня по области: Александровский, Бакчарский, Зырянский, Кривошеинский, Тегульдетский, Чаинский районы.</w:t>
      </w:r>
      <w:r w:rsidR="00C41F34" w:rsidRPr="00C41F34">
        <w:rPr>
          <w:rFonts w:ascii="Times New Roman" w:hAnsi="Times New Roman" w:cs="Times New Roman"/>
          <w:sz w:val="28"/>
          <w:szCs w:val="28"/>
        </w:rPr>
        <w:t>[7]</w:t>
      </w:r>
    </w:p>
    <w:p w:rsidR="00D320D2" w:rsidRPr="00015361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t>Смертность населения Томской области составила 12,7 на 1000 населения. Наиболее высокие уровни общей смертности зарегистрированы в Молчановском (20,6 на 1000 населения) и Шегарском (21,9 на 1000 населения) районах.</w:t>
      </w:r>
    </w:p>
    <w:p w:rsidR="00D320D2" w:rsidRPr="00015361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t xml:space="preserve">Показатель младенческой смертности по Томской области в 2010 г. находился на уровне 6,5 на 1000 родившихся живыми, что ниже </w:t>
      </w:r>
    </w:p>
    <w:p w:rsidR="00D320D2" w:rsidRPr="00015361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t xml:space="preserve">показателя 2009 г. на 3,8%. Максимально высокий уровень младенческой смертности зарегистрирован в Зырянском районе (22,6) и г.Кедровом (18,5). Высокие значения данного показателя отмечены в административных территориях: Александровский (14,7), Асиновский (12,5), Верхнекетский (12,8), Бакчарский (16,0), Каргасокский (12,3), Кривошеинский (13,04), Первомайский(17,4), Шегарский(12,5) районы. </w:t>
      </w:r>
    </w:p>
    <w:p w:rsidR="00D320D2" w:rsidRPr="00015361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t xml:space="preserve">Смертность населения от злокачественных новообразований по Томской области составила 1,9 на 1000 населения. Данный показатель был наиболее высоким в Зырянском (3,01 на 1000 населения) и Молчановском (2,7 на 1000 населения) районах . Смертность населения от злокачественных новообразований желудка регистрировалась на высоком (относительно других территорий) уровне в Александровском (0,6), Бакчарском (0,4) районах. Наиболее высокие уровни смертности от злокачественных новообразований трахеи, бронхов, легкого отмечены в Зырянском (0,9), Чаинском (1,0) районах и г.Кедровом (0,8). Высокие уровни смертности от </w:t>
      </w:r>
      <w:r w:rsidRPr="00015361">
        <w:rPr>
          <w:rFonts w:ascii="Times New Roman" w:hAnsi="Times New Roman" w:cs="Times New Roman"/>
          <w:sz w:val="28"/>
          <w:szCs w:val="28"/>
        </w:rPr>
        <w:lastRenderedPageBreak/>
        <w:t xml:space="preserve">злокачественных новообразований кожи отмечены в Молчановском районе (0,14), г.Кедровом(0,21) и лейкемий зарегистрированы в </w:t>
      </w:r>
    </w:p>
    <w:p w:rsidR="00D320D2" w:rsidRPr="00015361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t>Шегарском районе (0,09) .</w:t>
      </w:r>
    </w:p>
    <w:p w:rsidR="00D320D2" w:rsidRPr="00015361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t xml:space="preserve">Заболеваемость детей первого года является важным показателем, характеризующим состояние здоровья населения территории. К </w:t>
      </w:r>
    </w:p>
    <w:p w:rsidR="00D320D2" w:rsidRPr="00015361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t xml:space="preserve">приоритетным нозологическим группам заболеваний детей данной возрастной группы относятся болезни перинатального периода, </w:t>
      </w:r>
    </w:p>
    <w:p w:rsidR="00D320D2" w:rsidRPr="00015361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t xml:space="preserve">врожденные аномалии, болезни органов дыхания и др. В 2010 г. высокий уровень заболеваемости детей первого года жизни болезнями </w:t>
      </w:r>
    </w:p>
    <w:p w:rsidR="00D320D2" w:rsidRPr="00015361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t xml:space="preserve">перинатального периода зарегистрирован в Асиновском (665,99 на 1000 детей в возрасте до года) районе (рис.9); болезнями органов </w:t>
      </w:r>
    </w:p>
    <w:p w:rsidR="00D320D2" w:rsidRPr="00C41F34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15361">
        <w:rPr>
          <w:rFonts w:ascii="Times New Roman" w:hAnsi="Times New Roman" w:cs="Times New Roman"/>
          <w:sz w:val="28"/>
          <w:szCs w:val="28"/>
        </w:rPr>
        <w:t xml:space="preserve">дыхания - в Верхнекетском (1782,05 на 1000 детей в возрасте до года), Томском (1882,45), Первомайском (1551,2) районах. </w:t>
      </w:r>
      <w:r w:rsidR="00C41F34">
        <w:rPr>
          <w:rFonts w:ascii="Times New Roman" w:hAnsi="Times New Roman" w:cs="Times New Roman"/>
          <w:sz w:val="28"/>
          <w:szCs w:val="28"/>
          <w:lang w:val="en-US"/>
        </w:rPr>
        <w:t>[7]</w:t>
      </w:r>
    </w:p>
    <w:p w:rsidR="00D320D2" w:rsidRPr="00015361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t xml:space="preserve">Высокий уровень заболеваемости детей первого года жизни анемиями отмечен в Бакчарском (226,99 на 1000 детей в возрасте до года), Зырянском </w:t>
      </w:r>
    </w:p>
    <w:p w:rsidR="00D320D2" w:rsidRPr="00015361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t>(301,2), Кожевниковском (223,4), Томском (254,9) районах. По уровням заболеваемости детей первого года жизни болезнями органов пищеварения лидирующие значения имели административные территории: г. Кедровый (428,6) и Верхнекетский район (341,8).</w:t>
      </w:r>
    </w:p>
    <w:p w:rsidR="00D320D2" w:rsidRPr="00015361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t xml:space="preserve">Удельный вес новорожденных детей с низкой массой тела в Томской области составил 6,0%. Максимальное значение данного </w:t>
      </w:r>
    </w:p>
    <w:p w:rsidR="00D320D2" w:rsidRPr="00015361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t xml:space="preserve">показателя зарегистрировано в Асиновском (6,6%), Бакчарском (6,9%) районах и г.Томске (7,8).  </w:t>
      </w:r>
    </w:p>
    <w:p w:rsidR="00D320D2" w:rsidRPr="00015361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t xml:space="preserve">К территориям риска (высокий уровень) по заболеваемости детского населения отнесен Томский (3089,4 на 1000 детей данной возрастной группы) район; по заболеваемости подростков - Бакчарский (2064,8 на 1000 подростков), Томский (2169,8 на 1000 подростков) и Тегульдетский (2211,9 на 1000 подростков) районы; по заболеваемости взрослого населения Каргасокский (693,3 на 1000 взрослого населения) район. </w:t>
      </w:r>
    </w:p>
    <w:p w:rsidR="00D320D2" w:rsidRPr="00015361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lastRenderedPageBreak/>
        <w:t xml:space="preserve">Заболеваемость детского населения гастритами и дуоденитами была выше среднего уровня по административным территориям в </w:t>
      </w:r>
    </w:p>
    <w:p w:rsidR="00D320D2" w:rsidRPr="00015361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t xml:space="preserve">Бакчарском (27,6 на 1000 детей), Шегарском (27,9) и Молчановском (33,4) районах . По уровням заболеваемости подростков </w:t>
      </w:r>
    </w:p>
    <w:p w:rsidR="00D320D2" w:rsidRPr="00015361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t xml:space="preserve">гастритами и дуоденитами лидировал Молчановский район (51,8 на 1000 подростков). </w:t>
      </w:r>
    </w:p>
    <w:p w:rsidR="00D320D2" w:rsidRPr="00015361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t xml:space="preserve">В результате ранжирования административных территорий по уровню заболеваемости взрослого населения определены «территории </w:t>
      </w:r>
    </w:p>
    <w:p w:rsidR="00D320D2" w:rsidRPr="00015361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t xml:space="preserve">риска (высокий уровень заболеваемости)» по следующим нозологическим группам: </w:t>
      </w:r>
    </w:p>
    <w:p w:rsidR="00D320D2" w:rsidRPr="00015361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t xml:space="preserve">-гастриты и дуодениты – Тегульдетский (7,9 на 1000 взрослых или 7,9%0), Шегарский (9,2%0), Кривошеинский (8,03%0) районы ; </w:t>
      </w:r>
    </w:p>
    <w:p w:rsidR="00D320D2" w:rsidRPr="00015361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t xml:space="preserve">-ожирение – Томский (3,6%0), Кривошеинский (4,3%0) районы (рис.20); </w:t>
      </w:r>
    </w:p>
    <w:p w:rsidR="00D320D2" w:rsidRPr="00015361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t xml:space="preserve">-гипертония – Тегульдетский (24,3%0), Шегарский (15,6%0) районы (рис.22); </w:t>
      </w:r>
    </w:p>
    <w:p w:rsidR="00D320D2" w:rsidRPr="00015361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t xml:space="preserve">-мочекаменная болезнь – Парабельский (7,9%0), Первомайский (5,6%0) районы (рис.24); </w:t>
      </w:r>
    </w:p>
    <w:p w:rsidR="00D320D2" w:rsidRPr="00015361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t xml:space="preserve">-бронхит хронический – Тегульдетский (5,6%0), Томский (5,8%0), Шегарский (3,3%0), Кривошеинский (3,4%0) районы и г.Стрежевой </w:t>
      </w:r>
    </w:p>
    <w:p w:rsidR="00D320D2" w:rsidRPr="00015361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t xml:space="preserve">(2,9%0); </w:t>
      </w:r>
    </w:p>
    <w:p w:rsidR="00D320D2" w:rsidRPr="00015361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t xml:space="preserve">-астма, астматический статус – Кожевниковский (2,36%0), Шегарский (2,31%0), Томский (2,56%0) районы . </w:t>
      </w:r>
    </w:p>
    <w:p w:rsidR="00D320D2" w:rsidRPr="00015361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t xml:space="preserve">По результатам ранжирования административных территорий Томской области уровни заболеваемости населения злокачественными </w:t>
      </w:r>
    </w:p>
    <w:p w:rsidR="00D320D2" w:rsidRPr="00015361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t xml:space="preserve">новообразованиями были максимальными в Томском (412,7 на 100000 населения или 412,7%000), Колпашевском (511,6%000), </w:t>
      </w:r>
    </w:p>
    <w:p w:rsidR="00D320D2" w:rsidRPr="00C41F34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15361">
        <w:rPr>
          <w:rFonts w:ascii="Times New Roman" w:hAnsi="Times New Roman" w:cs="Times New Roman"/>
          <w:sz w:val="28"/>
          <w:szCs w:val="28"/>
        </w:rPr>
        <w:t xml:space="preserve">Александровском (357,8%000), Парабельском (378,6%000), Молчановском (363,3%000), Каргасокском (347,0%000) районах. </w:t>
      </w:r>
      <w:r w:rsidR="00C41F34">
        <w:rPr>
          <w:rFonts w:ascii="Times New Roman" w:hAnsi="Times New Roman" w:cs="Times New Roman"/>
          <w:sz w:val="28"/>
          <w:szCs w:val="28"/>
          <w:lang w:val="en-US"/>
        </w:rPr>
        <w:t>[7]</w:t>
      </w:r>
    </w:p>
    <w:p w:rsidR="00D320D2" w:rsidRPr="00015361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t xml:space="preserve">Высокие уровни заболеваемости населения злокачественными новообразованиями желудка зарегистрированы в Александровском (61,9%000), </w:t>
      </w:r>
    </w:p>
    <w:p w:rsidR="00D320D2" w:rsidRPr="00C41F34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15361">
        <w:rPr>
          <w:rFonts w:ascii="Times New Roman" w:hAnsi="Times New Roman" w:cs="Times New Roman"/>
          <w:sz w:val="28"/>
          <w:szCs w:val="28"/>
        </w:rPr>
        <w:lastRenderedPageBreak/>
        <w:t xml:space="preserve">Бакчарском (58,2%000), Парабельском (49,4%000) районах, (рис.26); злокачественными новообразованиями трахеи, бронхов, легкого – в Чаинском (78,8%000), Первомайском (75,3%000), Колпашевском (77,8%000) районах. Наиболее высокие уровни заболеваемости злокачественными новообразованиями кожи отмечены в Колпашевском (63,6%000), Зырянском (53,9%000) и Тегульдетском (51,4%000) районах; заболеваемости лейкемиями – в Колпашевском (16,5%000) и  Первомайском (20,1%000) районах. </w:t>
      </w:r>
      <w:r w:rsidR="00C41F34">
        <w:rPr>
          <w:rFonts w:ascii="Times New Roman" w:hAnsi="Times New Roman" w:cs="Times New Roman"/>
          <w:sz w:val="28"/>
          <w:szCs w:val="28"/>
          <w:lang w:val="en-US"/>
        </w:rPr>
        <w:t>[7]</w:t>
      </w:r>
    </w:p>
    <w:p w:rsidR="00D320D2" w:rsidRPr="00015361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t xml:space="preserve">Ранжирование административных территорий по уровням заболеваемости, связанной с микронутриентной недостаточностью, </w:t>
      </w:r>
    </w:p>
    <w:p w:rsidR="00D320D2" w:rsidRPr="00015361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t xml:space="preserve">выделило «территории риска» по следующим нозологиям: диффузный и многоузловой зоб – Парабельский район (3308,9 на 100000 населения или 3308,9%000) и г.Кедровый (2407,9 %000), (рис.30); субклинический гипотиреоз – Зырянский (364,4%000). </w:t>
      </w:r>
    </w:p>
    <w:p w:rsidR="00D320D2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t>Общая инвалидность детей и подростков Томской области в 2010г. по области, в целом, составила 1734,0 на 100000 населения соответствующего возраста. Наибольшие значения данного показателя зарегистрированы в Шегарском (2310,2%000), Бакчарском (2574,3%000), Зырянском (2243,2%000), Молчановском (5605,5%000), Томском (2546,9%000) районах.</w:t>
      </w:r>
    </w:p>
    <w:p w:rsidR="00D320D2" w:rsidRPr="00015361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t xml:space="preserve"> Высокие уровни общей инвалидности детей и подростков по отдельным причинам установлены в следующих административных территориях: </w:t>
      </w:r>
    </w:p>
    <w:p w:rsidR="00D320D2" w:rsidRPr="00015361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t>-эндокринные заболевания - Бакчарский (253,8%000), Тегульдетский (192,5%000) районы ;</w:t>
      </w:r>
    </w:p>
    <w:p w:rsidR="00D320D2" w:rsidRPr="00015361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t>-психические расстройства – Молчановский (3475,3%000), Бакчарский (1124,0%000), Томский (926,1%000) районы .</w:t>
      </w:r>
    </w:p>
    <w:p w:rsidR="00D320D2" w:rsidRPr="00015361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t>-болезни нервной системы - Александровский (908,6%000), Молчановский (1083,7%000), Асиновский (564,6%000), Парабельский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5361">
        <w:rPr>
          <w:rFonts w:ascii="Times New Roman" w:hAnsi="Times New Roman" w:cs="Times New Roman"/>
          <w:sz w:val="28"/>
          <w:szCs w:val="28"/>
        </w:rPr>
        <w:t xml:space="preserve">(630,1%000), Шегарский (660,1%000) районы; </w:t>
      </w:r>
    </w:p>
    <w:p w:rsidR="00D320D2" w:rsidRPr="00015361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t xml:space="preserve">-болезни глаза – Зырянский (175,2%000) район; </w:t>
      </w:r>
    </w:p>
    <w:p w:rsidR="00D320D2" w:rsidRPr="00015361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lastRenderedPageBreak/>
        <w:t xml:space="preserve">-врожденные аномалии – Молчановский (597,9%000), Зырянский (560,8%000) районы. </w:t>
      </w:r>
    </w:p>
    <w:p w:rsidR="00D320D2" w:rsidRPr="00015361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t xml:space="preserve">По данным результатов профилактических осмотров детского населения в 2010г. наибольший удельный вес детей с пониженным </w:t>
      </w:r>
    </w:p>
    <w:p w:rsidR="00D320D2" w:rsidRPr="00015361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t xml:space="preserve">зрением перед поступлением в школу зафиксирован в Молчановском (9,2%) и Чаинском (10,3%) районах. Удельный вес детей с пониженным зрением в возрасте до 15 лет был максимальным в Чаинском (55,0%), (рис.33). Наибольший процент детей до 17 лет с пониженным зрением отмечен в Молчановском (15,3%) и Чаинском (15,6%) районах. </w:t>
      </w:r>
    </w:p>
    <w:p w:rsidR="00D320D2" w:rsidRPr="00015361" w:rsidRDefault="00D320D2" w:rsidP="00D320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t xml:space="preserve">По результатам ранжирования административных территорий высокий удельный вес детей со сколиозом перед поступлением в </w:t>
      </w:r>
    </w:p>
    <w:p w:rsidR="00D320D2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361">
        <w:rPr>
          <w:rFonts w:ascii="Times New Roman" w:hAnsi="Times New Roman" w:cs="Times New Roman"/>
          <w:sz w:val="28"/>
          <w:szCs w:val="28"/>
        </w:rPr>
        <w:t>школу установлен в Колпашевском (3,0%), Молчановском (5,2%), Зырянском (2,9%) районах. В возрастной группе до 15 лет данный показатель был наивысшим в Молчановском (13,2%) районе. Процент детей со сколиозом в возрасте до 17 лет, также, был максимальным в Колпашевском (5,2) и Молчановском (6,8) районах.</w:t>
      </w:r>
      <w:r w:rsidRPr="00002361">
        <w:rPr>
          <w:rFonts w:ascii="Times New Roman" w:hAnsi="Times New Roman" w:cs="Times New Roman"/>
          <w:sz w:val="28"/>
          <w:szCs w:val="28"/>
        </w:rPr>
        <w:t>[7]</w:t>
      </w:r>
    </w:p>
    <w:p w:rsidR="00035766" w:rsidRDefault="00035766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5766" w:rsidRDefault="00035766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5766" w:rsidRDefault="00035766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5766" w:rsidRDefault="00035766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5766" w:rsidRDefault="00035766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5766" w:rsidRDefault="00035766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5766" w:rsidRDefault="00035766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5766" w:rsidRDefault="00035766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5766" w:rsidRDefault="00035766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5766" w:rsidRDefault="00035766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5766" w:rsidRDefault="00035766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5766" w:rsidRDefault="00035766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5766" w:rsidRDefault="00035766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5766" w:rsidRDefault="00035766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20D2" w:rsidRPr="002209B1" w:rsidRDefault="002209B1" w:rsidP="00D320D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Вывод </w:t>
      </w:r>
    </w:p>
    <w:p w:rsidR="00D320D2" w:rsidRPr="00553E5F" w:rsidRDefault="00D320D2" w:rsidP="00D320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917">
        <w:rPr>
          <w:rFonts w:ascii="Times New Roman" w:hAnsi="Times New Roman" w:cs="Times New Roman"/>
          <w:sz w:val="28"/>
          <w:szCs w:val="28"/>
        </w:rPr>
        <w:t>Таким образом, демографический статус Томской области характеризуется положительной динамикой естественного движения населения, некоторого снижения показателей общей заболеваемости и увеличения ожидаемой продолжительности жизни при рождении. Однако доминирование в структуре заболеваемости хронической патологии и изменение структуры населения в сторону старших возрастных групп предопределяют необходимость дальнейшего совершенствования системы медицинской и лекарственной помощи в соответствии с динамикой потребностей населения.</w:t>
      </w:r>
    </w:p>
    <w:p w:rsidR="00D320D2" w:rsidRDefault="00D320D2" w:rsidP="005656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5617" w:rsidRDefault="00565617" w:rsidP="005656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5617" w:rsidRDefault="00565617" w:rsidP="005656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5617" w:rsidRDefault="00565617" w:rsidP="005656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5617" w:rsidRDefault="00565617" w:rsidP="005656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5617" w:rsidRDefault="00565617" w:rsidP="005656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5617" w:rsidRDefault="00565617" w:rsidP="005656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5617" w:rsidRDefault="00565617" w:rsidP="005656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5617" w:rsidRDefault="00565617" w:rsidP="005656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5617" w:rsidRDefault="00565617" w:rsidP="005656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5617" w:rsidRDefault="00565617" w:rsidP="005656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5617" w:rsidRDefault="00565617" w:rsidP="005656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5617" w:rsidRDefault="00565617" w:rsidP="005656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5617" w:rsidRDefault="00565617" w:rsidP="005656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20D2" w:rsidRDefault="00D320D2" w:rsidP="00D320D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20D2" w:rsidRPr="004E7E1C" w:rsidRDefault="00D320D2" w:rsidP="00D320D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35766" w:rsidRDefault="00035766" w:rsidP="00D320D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0D2" w:rsidRPr="00106917" w:rsidRDefault="00D320D2" w:rsidP="00D320D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D320D2" w:rsidRPr="00106917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FF">
        <w:rPr>
          <w:rFonts w:ascii="Times New Roman" w:hAnsi="Times New Roman" w:cs="Times New Roman"/>
          <w:sz w:val="28"/>
          <w:szCs w:val="28"/>
        </w:rPr>
        <w:t xml:space="preserve">1. </w:t>
      </w:r>
      <w:r w:rsidRPr="00106917">
        <w:rPr>
          <w:rFonts w:ascii="Times New Roman" w:hAnsi="Times New Roman" w:cs="Times New Roman"/>
          <w:sz w:val="28"/>
          <w:szCs w:val="28"/>
        </w:rPr>
        <w:t>Демография и статистика населения : учебник / И. И. Елисеева [и др.] ; под ред. И. И. Елисеевой. — М. : Финансы и статистика, 2006. — 688 с.</w:t>
      </w:r>
    </w:p>
    <w:p w:rsidR="00D320D2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FF">
        <w:rPr>
          <w:rFonts w:ascii="Times New Roman" w:hAnsi="Times New Roman" w:cs="Times New Roman"/>
          <w:sz w:val="28"/>
          <w:szCs w:val="28"/>
        </w:rPr>
        <w:t xml:space="preserve">2. </w:t>
      </w:r>
      <w:r w:rsidRPr="00106917">
        <w:rPr>
          <w:rFonts w:ascii="Times New Roman" w:hAnsi="Times New Roman" w:cs="Times New Roman"/>
          <w:sz w:val="28"/>
          <w:szCs w:val="28"/>
        </w:rPr>
        <w:t>Демография</w:t>
      </w:r>
      <w:r>
        <w:rPr>
          <w:rFonts w:ascii="Times New Roman" w:hAnsi="Times New Roman" w:cs="Times New Roman"/>
          <w:sz w:val="28"/>
          <w:szCs w:val="28"/>
        </w:rPr>
        <w:t xml:space="preserve"> Томской области</w:t>
      </w:r>
      <w:r w:rsidR="00565AF2">
        <w:rPr>
          <w:rFonts w:ascii="Times New Roman" w:hAnsi="Times New Roman" w:cs="Times New Roman"/>
          <w:sz w:val="28"/>
          <w:szCs w:val="28"/>
        </w:rPr>
        <w:t xml:space="preserve"> </w:t>
      </w:r>
      <w:r w:rsidR="00565AF2" w:rsidRPr="00F300D9">
        <w:rPr>
          <w:rFonts w:ascii="Times New Roman" w:hAnsi="Times New Roman" w:cs="Times New Roman"/>
          <w:sz w:val="28"/>
          <w:szCs w:val="28"/>
        </w:rPr>
        <w:t>[</w:t>
      </w:r>
      <w:r w:rsidR="00565AF2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565AF2" w:rsidRPr="00F300D9">
        <w:rPr>
          <w:rFonts w:ascii="Times New Roman" w:hAnsi="Times New Roman" w:cs="Times New Roman"/>
          <w:sz w:val="28"/>
          <w:szCs w:val="28"/>
        </w:rPr>
        <w:t>]</w:t>
      </w:r>
      <w:r w:rsidR="00565A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// </w:t>
      </w:r>
      <w:r w:rsidRPr="00106917">
        <w:rPr>
          <w:rFonts w:ascii="Times New Roman" w:hAnsi="Times New Roman" w:cs="Times New Roman"/>
          <w:sz w:val="28"/>
          <w:szCs w:val="28"/>
        </w:rPr>
        <w:t>Центральная база статистических данных Федеральной службы государственной статистики.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5AF2" w:rsidRPr="00565AF2">
        <w:rPr>
          <w:rFonts w:ascii="Times New Roman" w:hAnsi="Times New Roman" w:cs="Times New Roman"/>
          <w:sz w:val="28"/>
          <w:szCs w:val="28"/>
        </w:rPr>
        <w:t>[</w:t>
      </w:r>
      <w:r w:rsidR="00565AF2">
        <w:rPr>
          <w:rFonts w:ascii="Times New Roman" w:hAnsi="Times New Roman" w:cs="Times New Roman"/>
          <w:sz w:val="28"/>
          <w:szCs w:val="28"/>
        </w:rPr>
        <w:t>Сайт</w:t>
      </w:r>
      <w:r w:rsidR="00565AF2" w:rsidRPr="00565AF2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>
        <w:rPr>
          <w:rFonts w:ascii="Times New Roman" w:hAnsi="Times New Roman" w:cs="Times New Roman"/>
          <w:sz w:val="28"/>
          <w:szCs w:val="28"/>
        </w:rPr>
        <w:t>:</w:t>
      </w:r>
      <w:hyperlink r:id="rId8" w:anchor="1" w:history="1">
        <w:r w:rsidRPr="00BC5252">
          <w:rPr>
            <w:rStyle w:val="a8"/>
            <w:rFonts w:ascii="Times New Roman" w:hAnsi="Times New Roman" w:cs="Times New Roman"/>
            <w:sz w:val="28"/>
            <w:szCs w:val="28"/>
          </w:rPr>
          <w:t>http://www.gks.ru/dbscripts/Cbsd/DBInet.cgi#1</w:t>
        </w:r>
      </w:hyperlink>
    </w:p>
    <w:p w:rsidR="00D320D2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(дата обращения:12.05.2014) </w:t>
      </w:r>
      <w:r w:rsidRPr="00106917">
        <w:rPr>
          <w:rFonts w:ascii="Times New Roman" w:hAnsi="Times New Roman" w:cs="Times New Roman"/>
          <w:sz w:val="28"/>
          <w:szCs w:val="28"/>
        </w:rPr>
        <w:t> </w:t>
      </w:r>
    </w:p>
    <w:p w:rsidR="00D320D2" w:rsidRPr="00106917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FF">
        <w:rPr>
          <w:rFonts w:ascii="Times New Roman" w:hAnsi="Times New Roman" w:cs="Times New Roman"/>
          <w:sz w:val="28"/>
          <w:szCs w:val="28"/>
        </w:rPr>
        <w:t xml:space="preserve"> 3. </w:t>
      </w:r>
      <w:r w:rsidRPr="00106917">
        <w:rPr>
          <w:rFonts w:ascii="Times New Roman" w:hAnsi="Times New Roman" w:cs="Times New Roman"/>
          <w:sz w:val="28"/>
          <w:szCs w:val="28"/>
        </w:rPr>
        <w:t>Медков В. М. Демография : учебник / В. М. Медков. — М. : ИНФРА-М, 2005. — 576 с.</w:t>
      </w:r>
    </w:p>
    <w:p w:rsidR="00D320D2" w:rsidRPr="00106917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623FF">
        <w:rPr>
          <w:rFonts w:ascii="Times New Roman" w:hAnsi="Times New Roman" w:cs="Times New Roman"/>
          <w:sz w:val="28"/>
          <w:szCs w:val="28"/>
        </w:rPr>
        <w:t xml:space="preserve">. </w:t>
      </w:r>
      <w:r w:rsidRPr="00106917">
        <w:rPr>
          <w:rFonts w:ascii="Times New Roman" w:hAnsi="Times New Roman" w:cs="Times New Roman"/>
          <w:sz w:val="28"/>
          <w:szCs w:val="28"/>
        </w:rPr>
        <w:t>Панфилова Е. В. О проблемах здравоохранения и потребности общества в здоровье / Е. В. Панфилова, Е. В. Каракулова, Л. Г. Ленская, М. В. Малаховская // Здравоохранение Российской Федерации. — 2006. — № 3. — С.42–45.</w:t>
      </w:r>
    </w:p>
    <w:p w:rsidR="00D320D2" w:rsidRPr="00106917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FF">
        <w:rPr>
          <w:rFonts w:ascii="Times New Roman" w:hAnsi="Times New Roman" w:cs="Times New Roman"/>
          <w:sz w:val="28"/>
          <w:szCs w:val="28"/>
        </w:rPr>
        <w:t xml:space="preserve">5. </w:t>
      </w:r>
      <w:r w:rsidRPr="00106917">
        <w:rPr>
          <w:rFonts w:ascii="Times New Roman" w:hAnsi="Times New Roman" w:cs="Times New Roman"/>
          <w:sz w:val="28"/>
          <w:szCs w:val="28"/>
        </w:rPr>
        <w:t>Томская область в цифрах, 2011 : краткий статистический сборник / Фед. служба гос. стат., Территориальный орган Фед. службы гос. стат. по Том. обл. — Томск [б.и.], 2011. — 254 с.</w:t>
      </w:r>
    </w:p>
    <w:p w:rsidR="00D320D2" w:rsidRDefault="00D320D2" w:rsidP="00D320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Здравоохранение Томской области </w:t>
      </w:r>
      <w:r w:rsidRPr="00D63488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D63488">
        <w:rPr>
          <w:rFonts w:ascii="Times New Roman" w:hAnsi="Times New Roman" w:cs="Times New Roman"/>
          <w:sz w:val="28"/>
          <w:szCs w:val="28"/>
        </w:rPr>
        <w:t>]</w:t>
      </w:r>
      <w:r w:rsidR="00565AF2" w:rsidRPr="00565AF2">
        <w:rPr>
          <w:rFonts w:ascii="Times New Roman" w:hAnsi="Times New Roman" w:cs="Times New Roman"/>
          <w:sz w:val="28"/>
          <w:szCs w:val="28"/>
        </w:rPr>
        <w:t xml:space="preserve"> // </w:t>
      </w:r>
      <w:r w:rsidR="00565AF2">
        <w:rPr>
          <w:rFonts w:ascii="Times New Roman" w:hAnsi="Times New Roman" w:cs="Times New Roman"/>
          <w:sz w:val="28"/>
          <w:szCs w:val="28"/>
        </w:rPr>
        <w:t xml:space="preserve">Департамент здравоохранения Томской области </w:t>
      </w:r>
      <w:r w:rsidR="00565AF2" w:rsidRPr="00565AF2">
        <w:rPr>
          <w:rFonts w:ascii="Times New Roman" w:hAnsi="Times New Roman" w:cs="Times New Roman"/>
          <w:sz w:val="28"/>
          <w:szCs w:val="28"/>
        </w:rPr>
        <w:t>[</w:t>
      </w:r>
      <w:r w:rsidR="0048712B">
        <w:rPr>
          <w:rFonts w:ascii="Times New Roman" w:hAnsi="Times New Roman" w:cs="Times New Roman"/>
          <w:sz w:val="28"/>
          <w:szCs w:val="28"/>
        </w:rPr>
        <w:t>О</w:t>
      </w:r>
      <w:r w:rsidR="00565AF2">
        <w:rPr>
          <w:rFonts w:ascii="Times New Roman" w:hAnsi="Times New Roman" w:cs="Times New Roman"/>
          <w:sz w:val="28"/>
          <w:szCs w:val="28"/>
        </w:rPr>
        <w:t>фициальный сайт</w:t>
      </w:r>
      <w:r w:rsidR="00565AF2" w:rsidRPr="00565AF2">
        <w:rPr>
          <w:rFonts w:ascii="Times New Roman" w:hAnsi="Times New Roman" w:cs="Times New Roman"/>
          <w:sz w:val="28"/>
          <w:szCs w:val="28"/>
        </w:rPr>
        <w:t>]</w:t>
      </w:r>
      <w:r w:rsidRPr="00D634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D63488">
        <w:rPr>
          <w:rFonts w:ascii="Times New Roman" w:hAnsi="Times New Roman" w:cs="Times New Roman"/>
          <w:sz w:val="28"/>
          <w:szCs w:val="28"/>
        </w:rPr>
        <w:t>:</w:t>
      </w:r>
      <w:r w:rsidRPr="001C1924">
        <w:t xml:space="preserve"> </w:t>
      </w:r>
      <w:hyperlink r:id="rId9" w:history="1">
        <w:r w:rsidRPr="00BC5252">
          <w:rPr>
            <w:rStyle w:val="a8"/>
            <w:rFonts w:ascii="Times New Roman" w:hAnsi="Times New Roman" w:cs="Times New Roman"/>
            <w:sz w:val="28"/>
            <w:szCs w:val="28"/>
          </w:rPr>
          <w:t>http://zdrav.tomsk.ru/Stat/demographics.htm</w:t>
        </w:r>
        <w:r w:rsidRPr="00BC5252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l</w:t>
        </w:r>
      </w:hyperlink>
      <w:r w:rsidRPr="001C19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(дата обращения 15.05.2014).</w:t>
      </w:r>
    </w:p>
    <w:p w:rsidR="00D320D2" w:rsidRDefault="00D320D2" w:rsidP="008832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48712B">
        <w:rPr>
          <w:rFonts w:ascii="Times New Roman" w:hAnsi="Times New Roman" w:cs="Times New Roman"/>
          <w:sz w:val="28"/>
          <w:szCs w:val="28"/>
        </w:rPr>
        <w:t xml:space="preserve">Медико-демографический мониторинг </w:t>
      </w:r>
      <w:r w:rsidR="0048712B" w:rsidRPr="0048712B">
        <w:rPr>
          <w:rFonts w:ascii="Times New Roman" w:hAnsi="Times New Roman" w:cs="Times New Roman"/>
          <w:sz w:val="28"/>
          <w:szCs w:val="28"/>
        </w:rPr>
        <w:t>[</w:t>
      </w:r>
      <w:r w:rsidR="0048712B">
        <w:rPr>
          <w:rFonts w:ascii="Times New Roman" w:hAnsi="Times New Roman" w:cs="Times New Roman"/>
          <w:sz w:val="28"/>
          <w:szCs w:val="28"/>
        </w:rPr>
        <w:t>Электронный ресурс //</w:t>
      </w:r>
      <w:r w:rsidR="0048712B" w:rsidRPr="0048712B">
        <w:rPr>
          <w:rFonts w:ascii="Times New Roman" w:hAnsi="Times New Roman" w:cs="Times New Roman"/>
          <w:sz w:val="28"/>
          <w:szCs w:val="28"/>
        </w:rPr>
        <w:t>]</w:t>
      </w:r>
      <w:r w:rsidRPr="00D63488">
        <w:rPr>
          <w:rFonts w:ascii="Times New Roman" w:hAnsi="Times New Roman" w:cs="Times New Roman"/>
          <w:sz w:val="28"/>
          <w:szCs w:val="28"/>
        </w:rPr>
        <w:t>Управление Федеральной службы по надзору в сф</w:t>
      </w:r>
      <w:r>
        <w:rPr>
          <w:rFonts w:ascii="Times New Roman" w:hAnsi="Times New Roman" w:cs="Times New Roman"/>
          <w:sz w:val="28"/>
          <w:szCs w:val="28"/>
        </w:rPr>
        <w:t xml:space="preserve">ере защиты прав потребителей и </w:t>
      </w:r>
      <w:r w:rsidRPr="00D63488">
        <w:rPr>
          <w:rFonts w:ascii="Times New Roman" w:hAnsi="Times New Roman" w:cs="Times New Roman"/>
          <w:sz w:val="28"/>
          <w:szCs w:val="28"/>
        </w:rPr>
        <w:t>благополучия человека по Томской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3488">
        <w:rPr>
          <w:rFonts w:ascii="Times New Roman" w:hAnsi="Times New Roman" w:cs="Times New Roman"/>
          <w:sz w:val="28"/>
          <w:szCs w:val="28"/>
        </w:rPr>
        <w:t>[</w:t>
      </w:r>
      <w:r w:rsidR="0048712B">
        <w:rPr>
          <w:rFonts w:ascii="Times New Roman" w:hAnsi="Times New Roman" w:cs="Times New Roman"/>
          <w:sz w:val="28"/>
          <w:szCs w:val="28"/>
        </w:rPr>
        <w:t>Сайт</w:t>
      </w:r>
      <w:r w:rsidRPr="00D63488">
        <w:rPr>
          <w:rFonts w:ascii="Times New Roman" w:hAnsi="Times New Roman" w:cs="Times New Roman"/>
          <w:sz w:val="28"/>
          <w:szCs w:val="28"/>
        </w:rPr>
        <w:t>]</w:t>
      </w:r>
      <w:hyperlink r:id="rId10" w:history="1">
        <w:r w:rsidRPr="00BC5252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URL</w:t>
        </w:r>
        <w:r w:rsidRPr="00BC5252">
          <w:rPr>
            <w:rStyle w:val="a8"/>
            <w:rFonts w:ascii="Times New Roman" w:hAnsi="Times New Roman" w:cs="Times New Roman"/>
            <w:sz w:val="28"/>
            <w:szCs w:val="28"/>
          </w:rPr>
          <w:t>:http://70.rospotrebnadzor.ru/s/70/files/documents/regional/sborniki/78494_478.pdf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(дата обращения 15.05.2014).</w:t>
      </w:r>
    </w:p>
    <w:p w:rsidR="008832F5" w:rsidRDefault="008832F5" w:rsidP="008832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Медико-демографическая характеристика населения Томской области </w:t>
      </w:r>
      <w:r w:rsidRPr="008832F5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8832F5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// Журнал «Медицина и образование в Сибири» </w:t>
      </w:r>
      <w:r w:rsidRPr="008832F5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Сайт</w:t>
      </w:r>
      <w:r w:rsidRPr="008832F5">
        <w:rPr>
          <w:rFonts w:ascii="Times New Roman" w:hAnsi="Times New Roman" w:cs="Times New Roman"/>
          <w:sz w:val="28"/>
          <w:szCs w:val="28"/>
        </w:rPr>
        <w:t>]</w:t>
      </w:r>
    </w:p>
    <w:p w:rsidR="008832F5" w:rsidRPr="008832F5" w:rsidRDefault="008832F5" w:rsidP="008832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8832F5">
        <w:rPr>
          <w:rFonts w:ascii="Times New Roman" w:hAnsi="Times New Roman" w:cs="Times New Roman"/>
          <w:sz w:val="28"/>
          <w:szCs w:val="28"/>
        </w:rPr>
        <w:t xml:space="preserve">: </w:t>
      </w:r>
      <w:hyperlink r:id="rId11" w:history="1">
        <w:r w:rsidRPr="00B452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8832F5">
          <w:rPr>
            <w:rStyle w:val="a8"/>
            <w:rFonts w:ascii="Times New Roman" w:hAnsi="Times New Roman" w:cs="Times New Roman"/>
            <w:sz w:val="28"/>
            <w:szCs w:val="28"/>
          </w:rPr>
          <w:t>://</w:t>
        </w:r>
        <w:r w:rsidRPr="00B452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8832F5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Pr="00B452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ngmu</w:t>
        </w:r>
        <w:r w:rsidRPr="008832F5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Pr="00B452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Pr="008832F5">
          <w:rPr>
            <w:rStyle w:val="a8"/>
            <w:rFonts w:ascii="Times New Roman" w:hAnsi="Times New Roman" w:cs="Times New Roman"/>
            <w:sz w:val="28"/>
            <w:szCs w:val="28"/>
          </w:rPr>
          <w:t>/</w:t>
        </w:r>
        <w:r w:rsidRPr="00B452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cozo</w:t>
        </w:r>
        <w:r w:rsidRPr="008832F5">
          <w:rPr>
            <w:rStyle w:val="a8"/>
            <w:rFonts w:ascii="Times New Roman" w:hAnsi="Times New Roman" w:cs="Times New Roman"/>
            <w:sz w:val="28"/>
            <w:szCs w:val="28"/>
          </w:rPr>
          <w:t>/</w:t>
        </w:r>
        <w:r w:rsidRPr="00B452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mos</w:t>
        </w:r>
        <w:r w:rsidRPr="008832F5">
          <w:rPr>
            <w:rStyle w:val="a8"/>
            <w:rFonts w:ascii="Times New Roman" w:hAnsi="Times New Roman" w:cs="Times New Roman"/>
            <w:sz w:val="28"/>
            <w:szCs w:val="28"/>
          </w:rPr>
          <w:t>/</w:t>
        </w:r>
        <w:r w:rsidRPr="00B452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article</w:t>
        </w:r>
        <w:r w:rsidRPr="008832F5">
          <w:rPr>
            <w:rStyle w:val="a8"/>
            <w:rFonts w:ascii="Times New Roman" w:hAnsi="Times New Roman" w:cs="Times New Roman"/>
            <w:sz w:val="28"/>
            <w:szCs w:val="28"/>
          </w:rPr>
          <w:t>/</w:t>
        </w:r>
        <w:r w:rsidRPr="00B452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text</w:t>
        </w:r>
        <w:r w:rsidRPr="008832F5">
          <w:rPr>
            <w:rStyle w:val="a8"/>
            <w:rFonts w:ascii="Times New Roman" w:hAnsi="Times New Roman" w:cs="Times New Roman"/>
            <w:sz w:val="28"/>
            <w:szCs w:val="28"/>
          </w:rPr>
          <w:t>_</w:t>
        </w:r>
        <w:r w:rsidRPr="00B452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full</w:t>
        </w:r>
        <w:r w:rsidRPr="008832F5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Pr="00B452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php</w:t>
        </w:r>
        <w:r w:rsidRPr="008832F5">
          <w:rPr>
            <w:rStyle w:val="a8"/>
            <w:rFonts w:ascii="Times New Roman" w:hAnsi="Times New Roman" w:cs="Times New Roman"/>
            <w:sz w:val="28"/>
            <w:szCs w:val="28"/>
          </w:rPr>
          <w:t>?</w:t>
        </w:r>
        <w:r w:rsidRPr="00B452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id</w:t>
        </w:r>
        <w:r w:rsidRPr="008832F5">
          <w:rPr>
            <w:rStyle w:val="a8"/>
            <w:rFonts w:ascii="Times New Roman" w:hAnsi="Times New Roman" w:cs="Times New Roman"/>
            <w:sz w:val="28"/>
            <w:szCs w:val="28"/>
          </w:rPr>
          <w:t>=619</w:t>
        </w:r>
      </w:hyperlink>
      <w:r w:rsidRPr="008832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(дата обращения 12.05.2014)</w:t>
      </w:r>
    </w:p>
    <w:sectPr w:rsidR="008832F5" w:rsidRPr="008832F5" w:rsidSect="00CC5809">
      <w:footerReference w:type="even" r:id="rId12"/>
      <w:footerReference w:type="default" r:id="rId13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7991" w:rsidRDefault="00BD7991" w:rsidP="00852B86">
      <w:pPr>
        <w:spacing w:after="0" w:line="240" w:lineRule="auto"/>
      </w:pPr>
      <w:r>
        <w:separator/>
      </w:r>
    </w:p>
  </w:endnote>
  <w:endnote w:type="continuationSeparator" w:id="1">
    <w:p w:rsidR="00BD7991" w:rsidRDefault="00BD7991" w:rsidP="00852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809" w:rsidRDefault="00553B6B" w:rsidP="00CC580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20C4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C5809" w:rsidRDefault="00BD7991" w:rsidP="00CC5809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809" w:rsidRDefault="00553B6B" w:rsidP="00CC580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20C4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484A">
      <w:rPr>
        <w:rStyle w:val="a7"/>
        <w:noProof/>
      </w:rPr>
      <w:t>8</w:t>
    </w:r>
    <w:r>
      <w:rPr>
        <w:rStyle w:val="a7"/>
      </w:rPr>
      <w:fldChar w:fldCharType="end"/>
    </w:r>
  </w:p>
  <w:p w:rsidR="00CC5809" w:rsidRDefault="00BD7991" w:rsidP="00CC580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7991" w:rsidRDefault="00BD7991" w:rsidP="00852B86">
      <w:pPr>
        <w:spacing w:after="0" w:line="240" w:lineRule="auto"/>
      </w:pPr>
      <w:r>
        <w:separator/>
      </w:r>
    </w:p>
  </w:footnote>
  <w:footnote w:type="continuationSeparator" w:id="1">
    <w:p w:rsidR="00BD7991" w:rsidRDefault="00BD7991" w:rsidP="00852B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320D2"/>
    <w:rsid w:val="00035766"/>
    <w:rsid w:val="001C3B09"/>
    <w:rsid w:val="002209B1"/>
    <w:rsid w:val="00320139"/>
    <w:rsid w:val="00382B8A"/>
    <w:rsid w:val="003B33AF"/>
    <w:rsid w:val="004760ED"/>
    <w:rsid w:val="0048712B"/>
    <w:rsid w:val="00553B6B"/>
    <w:rsid w:val="00565617"/>
    <w:rsid w:val="00565AF2"/>
    <w:rsid w:val="00590175"/>
    <w:rsid w:val="005B0710"/>
    <w:rsid w:val="0077366B"/>
    <w:rsid w:val="00841F55"/>
    <w:rsid w:val="00852B86"/>
    <w:rsid w:val="008832F5"/>
    <w:rsid w:val="00BD7991"/>
    <w:rsid w:val="00C41F34"/>
    <w:rsid w:val="00D20C43"/>
    <w:rsid w:val="00D320D2"/>
    <w:rsid w:val="00ED2E66"/>
    <w:rsid w:val="00F8484A"/>
    <w:rsid w:val="00FC1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B86"/>
  </w:style>
  <w:style w:type="paragraph" w:styleId="1">
    <w:name w:val="heading 1"/>
    <w:basedOn w:val="a"/>
    <w:link w:val="10"/>
    <w:uiPriority w:val="9"/>
    <w:qFormat/>
    <w:rsid w:val="008832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320D2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D320D2"/>
    <w:rPr>
      <w:rFonts w:ascii="Times New Roman" w:eastAsia="Calibri" w:hAnsi="Times New Roman" w:cs="Times New Roman"/>
      <w:sz w:val="24"/>
      <w:szCs w:val="24"/>
    </w:rPr>
  </w:style>
  <w:style w:type="paragraph" w:styleId="a5">
    <w:name w:val="footer"/>
    <w:basedOn w:val="a"/>
    <w:link w:val="a6"/>
    <w:rsid w:val="00D320D2"/>
    <w:pPr>
      <w:tabs>
        <w:tab w:val="center" w:pos="4677"/>
        <w:tab w:val="right" w:pos="9355"/>
      </w:tabs>
      <w:spacing w:after="0" w:line="240" w:lineRule="auto"/>
      <w:jc w:val="center"/>
    </w:pPr>
    <w:rPr>
      <w:rFonts w:ascii="Times New Roman" w:eastAsia="MS Mincho" w:hAnsi="Times New Roman" w:cs="Times New Roman"/>
      <w:sz w:val="28"/>
      <w:szCs w:val="28"/>
      <w:lang w:eastAsia="ja-JP"/>
    </w:rPr>
  </w:style>
  <w:style w:type="character" w:customStyle="1" w:styleId="a6">
    <w:name w:val="Нижний колонтитул Знак"/>
    <w:basedOn w:val="a0"/>
    <w:link w:val="a5"/>
    <w:rsid w:val="00D320D2"/>
    <w:rPr>
      <w:rFonts w:ascii="Times New Roman" w:eastAsia="MS Mincho" w:hAnsi="Times New Roman" w:cs="Times New Roman"/>
      <w:sz w:val="28"/>
      <w:szCs w:val="28"/>
      <w:lang w:eastAsia="ja-JP"/>
    </w:rPr>
  </w:style>
  <w:style w:type="character" w:styleId="a7">
    <w:name w:val="page number"/>
    <w:basedOn w:val="a0"/>
    <w:rsid w:val="00D320D2"/>
  </w:style>
  <w:style w:type="character" w:styleId="a8">
    <w:name w:val="Hyperlink"/>
    <w:basedOn w:val="a0"/>
    <w:uiPriority w:val="99"/>
    <w:unhideWhenUsed/>
    <w:rsid w:val="00D320D2"/>
    <w:rPr>
      <w:color w:val="0000FF"/>
      <w:u w:val="single"/>
    </w:rPr>
  </w:style>
  <w:style w:type="table" w:styleId="a9">
    <w:name w:val="Table Grid"/>
    <w:basedOn w:val="a1"/>
    <w:uiPriority w:val="59"/>
    <w:rsid w:val="00D320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D32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320D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832F5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4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ks.ru/dbscripts/Cbsd/DBInet.cgi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chart" Target="charts/chart2.xm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11" Type="http://schemas.openxmlformats.org/officeDocument/2006/relationships/hyperlink" Target="http://www.ngmu.ru/cozo/mos/article/text_full.php?id=619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URL:http://70.rospotrebnadzor.ru/s/70/files/documents/regional/sborniki/78494_478.pdf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drav.tomsk.ru/Stat/demographics.html" TargetMode="Externa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Общая численность населения</c:v>
                </c:pt>
              </c:strCache>
            </c:strRef>
          </c:tx>
          <c:cat>
            <c:numRef>
              <c:f>Лист1!$A$2:$A$6</c:f>
              <c:numCache>
                <c:formatCode>General</c:formatCode>
                <c:ptCount val="5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1038.5</c:v>
                </c:pt>
                <c:pt idx="1">
                  <c:v>1043.8</c:v>
                </c:pt>
                <c:pt idx="2">
                  <c:v>1048.5</c:v>
                </c:pt>
                <c:pt idx="3">
                  <c:v>1057.7</c:v>
                </c:pt>
                <c:pt idx="4">
                  <c:v>1064.2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Сельские жители</c:v>
                </c:pt>
              </c:strCache>
            </c:strRef>
          </c:tx>
          <c:cat>
            <c:numRef>
              <c:f>Лист1!$A$2:$A$6</c:f>
              <c:numCache>
                <c:formatCode>General</c:formatCode>
                <c:ptCount val="5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</c:numCache>
            </c:num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321.39999999999969</c:v>
                </c:pt>
                <c:pt idx="1">
                  <c:v>311.8</c:v>
                </c:pt>
                <c:pt idx="2">
                  <c:v>311.5</c:v>
                </c:pt>
                <c:pt idx="3">
                  <c:v>308.10000000000002</c:v>
                </c:pt>
                <c:pt idx="4">
                  <c:v>306.60000000000002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Городские жители</c:v>
                </c:pt>
              </c:strCache>
            </c:strRef>
          </c:tx>
          <c:cat>
            <c:numRef>
              <c:f>Лист1!$A$2:$A$6</c:f>
              <c:numCache>
                <c:formatCode>General</c:formatCode>
                <c:ptCount val="5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</c:numCache>
            </c:num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717.1</c:v>
                </c:pt>
                <c:pt idx="1">
                  <c:v>732</c:v>
                </c:pt>
                <c:pt idx="2">
                  <c:v>737</c:v>
                </c:pt>
                <c:pt idx="3">
                  <c:v>749.6</c:v>
                </c:pt>
                <c:pt idx="4">
                  <c:v>757.6</c:v>
                </c:pt>
              </c:numCache>
            </c:numRef>
          </c:val>
        </c:ser>
        <c:marker val="1"/>
        <c:axId val="89889024"/>
        <c:axId val="94386816"/>
      </c:lineChart>
      <c:catAx>
        <c:axId val="89889024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1400"/>
            </a:pPr>
            <a:endParaRPr lang="ru-RU"/>
          </a:p>
        </c:txPr>
        <c:crossAx val="94386816"/>
        <c:crosses val="autoZero"/>
        <c:auto val="1"/>
        <c:lblAlgn val="ctr"/>
        <c:lblOffset val="100"/>
      </c:catAx>
      <c:valAx>
        <c:axId val="94386816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 algn="just">
              <a:defRPr sz="1400"/>
            </a:pPr>
            <a:endParaRPr lang="ru-RU"/>
          </a:p>
        </c:txPr>
        <c:crossAx val="8988902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7635003427119622"/>
          <c:y val="0.50287063173707069"/>
          <c:w val="0.31455422371566727"/>
          <c:h val="0.49712936826293036"/>
        </c:manualLayout>
      </c:layout>
      <c:txPr>
        <a:bodyPr/>
        <a:lstStyle/>
        <a:p>
          <a:pPr>
            <a:defRPr sz="1400"/>
          </a:pPr>
          <a:endParaRPr lang="ru-RU"/>
        </a:p>
      </c:txPr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Рождаемость</c:v>
                </c:pt>
              </c:strCache>
            </c:strRef>
          </c:tx>
          <c:cat>
            <c:numRef>
              <c:f>Лист1!$A$2:$A$11</c:f>
              <c:numCache>
                <c:formatCode>General</c:formatCode>
                <c:ptCount val="10"/>
                <c:pt idx="0">
                  <c:v>2004</c:v>
                </c:pt>
                <c:pt idx="1">
                  <c:v>2005</c:v>
                </c:pt>
                <c:pt idx="2">
                  <c:v>2006</c:v>
                </c:pt>
                <c:pt idx="3">
                  <c:v>2007</c:v>
                </c:pt>
                <c:pt idx="4">
                  <c:v>2008</c:v>
                </c:pt>
                <c:pt idx="5">
                  <c:v>2009</c:v>
                </c:pt>
                <c:pt idx="6">
                  <c:v>2010</c:v>
                </c:pt>
                <c:pt idx="7">
                  <c:v>2011</c:v>
                </c:pt>
                <c:pt idx="8">
                  <c:v>2012</c:v>
                </c:pt>
                <c:pt idx="9">
                  <c:v>2013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11.2</c:v>
                </c:pt>
                <c:pt idx="1">
                  <c:v>10.7</c:v>
                </c:pt>
                <c:pt idx="2">
                  <c:v>11.1</c:v>
                </c:pt>
                <c:pt idx="3">
                  <c:v>12</c:v>
                </c:pt>
                <c:pt idx="4">
                  <c:v>12.8</c:v>
                </c:pt>
                <c:pt idx="5">
                  <c:v>13.2</c:v>
                </c:pt>
                <c:pt idx="6">
                  <c:v>13.1</c:v>
                </c:pt>
                <c:pt idx="7">
                  <c:v>13</c:v>
                </c:pt>
                <c:pt idx="8">
                  <c:v>13.6</c:v>
                </c:pt>
                <c:pt idx="9">
                  <c:v>13.8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Смертность</c:v>
                </c:pt>
              </c:strCache>
            </c:strRef>
          </c:tx>
          <c:cat>
            <c:numRef>
              <c:f>Лист1!$A$2:$A$11</c:f>
              <c:numCache>
                <c:formatCode>General</c:formatCode>
                <c:ptCount val="10"/>
                <c:pt idx="0">
                  <c:v>2004</c:v>
                </c:pt>
                <c:pt idx="1">
                  <c:v>2005</c:v>
                </c:pt>
                <c:pt idx="2">
                  <c:v>2006</c:v>
                </c:pt>
                <c:pt idx="3">
                  <c:v>2007</c:v>
                </c:pt>
                <c:pt idx="4">
                  <c:v>2008</c:v>
                </c:pt>
                <c:pt idx="5">
                  <c:v>2009</c:v>
                </c:pt>
                <c:pt idx="6">
                  <c:v>2010</c:v>
                </c:pt>
                <c:pt idx="7">
                  <c:v>2011</c:v>
                </c:pt>
                <c:pt idx="8">
                  <c:v>2012</c:v>
                </c:pt>
                <c:pt idx="9">
                  <c:v>2013</c:v>
                </c:pt>
              </c:numCache>
            </c:numRef>
          </c:cat>
          <c:val>
            <c:numRef>
              <c:f>Лист1!$C$2:$C$11</c:f>
              <c:numCache>
                <c:formatCode>General</c:formatCode>
                <c:ptCount val="10"/>
                <c:pt idx="0">
                  <c:v>14</c:v>
                </c:pt>
                <c:pt idx="1">
                  <c:v>14.5</c:v>
                </c:pt>
                <c:pt idx="2">
                  <c:v>13.5</c:v>
                </c:pt>
                <c:pt idx="3">
                  <c:v>12.8</c:v>
                </c:pt>
                <c:pt idx="4">
                  <c:v>12.9</c:v>
                </c:pt>
                <c:pt idx="5">
                  <c:v>12.9</c:v>
                </c:pt>
                <c:pt idx="6">
                  <c:v>12.6</c:v>
                </c:pt>
                <c:pt idx="7">
                  <c:v>12.2</c:v>
                </c:pt>
                <c:pt idx="8">
                  <c:v>11.9</c:v>
                </c:pt>
                <c:pt idx="9">
                  <c:v>11.8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numRef>
              <c:f>Лист1!$A$2:$A$11</c:f>
              <c:numCache>
                <c:formatCode>General</c:formatCode>
                <c:ptCount val="10"/>
                <c:pt idx="0">
                  <c:v>2004</c:v>
                </c:pt>
                <c:pt idx="1">
                  <c:v>2005</c:v>
                </c:pt>
                <c:pt idx="2">
                  <c:v>2006</c:v>
                </c:pt>
                <c:pt idx="3">
                  <c:v>2007</c:v>
                </c:pt>
                <c:pt idx="4">
                  <c:v>2008</c:v>
                </c:pt>
                <c:pt idx="5">
                  <c:v>2009</c:v>
                </c:pt>
                <c:pt idx="6">
                  <c:v>2010</c:v>
                </c:pt>
                <c:pt idx="7">
                  <c:v>2011</c:v>
                </c:pt>
                <c:pt idx="8">
                  <c:v>2012</c:v>
                </c:pt>
                <c:pt idx="9">
                  <c:v>2013</c:v>
                </c:pt>
              </c:numCache>
            </c:numRef>
          </c:cat>
          <c:val>
            <c:numRef>
              <c:f>Лист1!$D$2:$D$11</c:f>
            </c:numRef>
          </c:val>
        </c:ser>
        <c:marker val="1"/>
        <c:axId val="95966336"/>
        <c:axId val="95968256"/>
      </c:lineChart>
      <c:catAx>
        <c:axId val="95966336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/>
          <a:lstStyle/>
          <a:p>
            <a:pPr>
              <a:defRPr sz="1400"/>
            </a:pPr>
            <a:endParaRPr lang="ru-RU"/>
          </a:p>
        </c:txPr>
        <c:crossAx val="95968256"/>
        <c:crosses val="autoZero"/>
        <c:auto val="1"/>
        <c:lblAlgn val="ctr"/>
        <c:lblOffset val="100"/>
      </c:catAx>
      <c:valAx>
        <c:axId val="95968256"/>
        <c:scaling>
          <c:orientation val="minMax"/>
          <c:max val="15"/>
          <c:min val="10"/>
        </c:scaling>
        <c:axPos val="l"/>
        <c:majorGridlines/>
        <c:numFmt formatCode="General" sourceLinked="1"/>
        <c:majorTickMark val="none"/>
        <c:tickLblPos val="nextTo"/>
        <c:spPr>
          <a:ln w="9525">
            <a:noFill/>
          </a:ln>
        </c:spPr>
        <c:txPr>
          <a:bodyPr/>
          <a:lstStyle/>
          <a:p>
            <a:pPr>
              <a:defRPr sz="1400"/>
            </a:pPr>
            <a:endParaRPr lang="ru-RU"/>
          </a:p>
        </c:txPr>
        <c:crossAx val="95966336"/>
        <c:crosses val="autoZero"/>
        <c:crossBetween val="between"/>
      </c:valAx>
    </c:plotArea>
    <c:legend>
      <c:legendPos val="b"/>
      <c:txPr>
        <a:bodyPr/>
        <a:lstStyle/>
        <a:p>
          <a:pPr>
            <a:defRPr sz="1400"/>
          </a:pPr>
          <a:endParaRPr lang="ru-RU"/>
        </a:p>
      </c:txPr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AEAE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19</Pages>
  <Words>3767</Words>
  <Characters>21476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dcterms:created xsi:type="dcterms:W3CDTF">2014-06-06T14:31:00Z</dcterms:created>
  <dcterms:modified xsi:type="dcterms:W3CDTF">2014-06-07T02:25:00Z</dcterms:modified>
</cp:coreProperties>
</file>