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259" w:rsidRDefault="001D2259" w:rsidP="001D2259">
      <w:pPr>
        <w:jc w:val="center"/>
        <w:rPr>
          <w:b/>
          <w:sz w:val="32"/>
          <w:szCs w:val="32"/>
        </w:rPr>
      </w:pPr>
      <w:r w:rsidRPr="0048685C">
        <w:rPr>
          <w:b/>
          <w:sz w:val="32"/>
          <w:szCs w:val="32"/>
        </w:rPr>
        <w:t>Содержание</w:t>
      </w:r>
      <w:r>
        <w:rPr>
          <w:b/>
          <w:sz w:val="32"/>
          <w:szCs w:val="32"/>
        </w:rPr>
        <w:t>.</w:t>
      </w:r>
    </w:p>
    <w:p w:rsidR="001D2259" w:rsidRDefault="001D2259" w:rsidP="001D2259">
      <w:pPr>
        <w:spacing w:line="360" w:lineRule="auto"/>
        <w:ind w:firstLine="709"/>
        <w:contextualSpacing/>
        <w:jc w:val="both"/>
        <w:rPr>
          <w:sz w:val="28"/>
          <w:szCs w:val="28"/>
        </w:rPr>
      </w:pPr>
    </w:p>
    <w:p w:rsidR="001D2259" w:rsidRDefault="001D2259" w:rsidP="001D2259">
      <w:pPr>
        <w:spacing w:line="360" w:lineRule="auto"/>
        <w:ind w:firstLine="709"/>
        <w:contextualSpacing/>
        <w:jc w:val="both"/>
        <w:rPr>
          <w:sz w:val="28"/>
          <w:szCs w:val="28"/>
        </w:rPr>
      </w:pPr>
      <w:r>
        <w:rPr>
          <w:sz w:val="28"/>
          <w:szCs w:val="28"/>
        </w:rPr>
        <w:t>Введение…………………………………………………………………….3</w:t>
      </w:r>
    </w:p>
    <w:p w:rsidR="001D2259" w:rsidRDefault="00B02813" w:rsidP="001D2259">
      <w:pPr>
        <w:spacing w:line="360" w:lineRule="auto"/>
        <w:ind w:firstLine="709"/>
        <w:contextualSpacing/>
        <w:jc w:val="both"/>
        <w:rPr>
          <w:sz w:val="28"/>
          <w:szCs w:val="28"/>
        </w:rPr>
      </w:pPr>
      <w:r>
        <w:rPr>
          <w:sz w:val="28"/>
          <w:szCs w:val="28"/>
        </w:rPr>
        <w:t>Глава 1. Общие сведения о деятельности ЕБРР</w:t>
      </w:r>
    </w:p>
    <w:p w:rsidR="001D2259" w:rsidRDefault="00B02813" w:rsidP="001D2259">
      <w:pPr>
        <w:spacing w:line="360" w:lineRule="auto"/>
        <w:ind w:firstLine="709"/>
        <w:contextualSpacing/>
        <w:jc w:val="both"/>
        <w:rPr>
          <w:sz w:val="28"/>
          <w:szCs w:val="28"/>
        </w:rPr>
      </w:pPr>
      <w:r>
        <w:rPr>
          <w:sz w:val="28"/>
          <w:szCs w:val="28"/>
        </w:rPr>
        <w:t>1.1 Основные задачи и цели деятельности ЕБРР...................................5</w:t>
      </w:r>
    </w:p>
    <w:p w:rsidR="001D2259" w:rsidRDefault="001D2259" w:rsidP="001D2259">
      <w:pPr>
        <w:spacing w:line="360" w:lineRule="auto"/>
        <w:ind w:firstLine="709"/>
        <w:contextualSpacing/>
        <w:jc w:val="both"/>
        <w:rPr>
          <w:sz w:val="28"/>
          <w:szCs w:val="28"/>
        </w:rPr>
      </w:pPr>
      <w:r>
        <w:rPr>
          <w:sz w:val="28"/>
          <w:szCs w:val="28"/>
        </w:rPr>
        <w:t xml:space="preserve">1.2 </w:t>
      </w:r>
      <w:r w:rsidR="00B02813">
        <w:rPr>
          <w:sz w:val="28"/>
          <w:szCs w:val="28"/>
        </w:rPr>
        <w:t>Основные методы и</w:t>
      </w:r>
      <w:r>
        <w:rPr>
          <w:sz w:val="28"/>
          <w:szCs w:val="28"/>
        </w:rPr>
        <w:t xml:space="preserve"> инструменты политики </w:t>
      </w:r>
      <w:r w:rsidR="00B02813">
        <w:rPr>
          <w:sz w:val="28"/>
          <w:szCs w:val="28"/>
        </w:rPr>
        <w:t>ЕБРР……………..….8</w:t>
      </w:r>
    </w:p>
    <w:p w:rsidR="001D2259" w:rsidRDefault="001D2259" w:rsidP="001D2259">
      <w:pPr>
        <w:spacing w:line="360" w:lineRule="auto"/>
        <w:ind w:firstLine="709"/>
        <w:contextualSpacing/>
        <w:jc w:val="both"/>
        <w:rPr>
          <w:sz w:val="28"/>
          <w:szCs w:val="28"/>
        </w:rPr>
      </w:pPr>
      <w:r>
        <w:rPr>
          <w:sz w:val="28"/>
          <w:szCs w:val="28"/>
        </w:rPr>
        <w:t xml:space="preserve">Глава 2. Анализ </w:t>
      </w:r>
      <w:r w:rsidR="00B02813">
        <w:rPr>
          <w:sz w:val="28"/>
          <w:szCs w:val="28"/>
        </w:rPr>
        <w:t>деятельности ЕБРР в странах с переходной экономикой.</w:t>
      </w:r>
    </w:p>
    <w:p w:rsidR="001D2259" w:rsidRDefault="001D2259" w:rsidP="001D2259">
      <w:pPr>
        <w:spacing w:line="360" w:lineRule="auto"/>
        <w:ind w:firstLine="709"/>
        <w:contextualSpacing/>
        <w:jc w:val="both"/>
        <w:rPr>
          <w:sz w:val="28"/>
          <w:szCs w:val="28"/>
        </w:rPr>
      </w:pPr>
      <w:r>
        <w:rPr>
          <w:sz w:val="28"/>
          <w:szCs w:val="28"/>
        </w:rPr>
        <w:t xml:space="preserve">2.1 </w:t>
      </w:r>
      <w:r w:rsidR="00B02813">
        <w:rPr>
          <w:sz w:val="28"/>
          <w:szCs w:val="28"/>
        </w:rPr>
        <w:t xml:space="preserve">Результаты операционной деятельности ЕБРР за 2012-2013 </w:t>
      </w:r>
      <w:proofErr w:type="gramStart"/>
      <w:r w:rsidR="00B02813">
        <w:rPr>
          <w:sz w:val="28"/>
          <w:szCs w:val="28"/>
        </w:rPr>
        <w:t>гг</w:t>
      </w:r>
      <w:proofErr w:type="gramEnd"/>
      <w:r w:rsidR="00B02813">
        <w:rPr>
          <w:sz w:val="28"/>
          <w:szCs w:val="28"/>
        </w:rPr>
        <w:t>…18</w:t>
      </w:r>
    </w:p>
    <w:p w:rsidR="001D2259" w:rsidRDefault="001D2259" w:rsidP="001D2259">
      <w:pPr>
        <w:spacing w:line="360" w:lineRule="auto"/>
        <w:ind w:firstLine="709"/>
        <w:contextualSpacing/>
        <w:jc w:val="both"/>
        <w:rPr>
          <w:sz w:val="28"/>
          <w:szCs w:val="28"/>
        </w:rPr>
      </w:pPr>
      <w:r>
        <w:rPr>
          <w:sz w:val="28"/>
          <w:szCs w:val="28"/>
        </w:rPr>
        <w:t xml:space="preserve">2.2 </w:t>
      </w:r>
      <w:r w:rsidR="00B02813">
        <w:rPr>
          <w:sz w:val="28"/>
          <w:szCs w:val="28"/>
        </w:rPr>
        <w:t>политика ЕБРР в России …………………………………..…….…22</w:t>
      </w:r>
    </w:p>
    <w:p w:rsidR="001D2259" w:rsidRDefault="001D2259" w:rsidP="001D2259">
      <w:pPr>
        <w:spacing w:line="360" w:lineRule="auto"/>
        <w:ind w:firstLine="709"/>
        <w:contextualSpacing/>
        <w:jc w:val="both"/>
        <w:rPr>
          <w:sz w:val="28"/>
          <w:szCs w:val="28"/>
        </w:rPr>
      </w:pPr>
      <w:r>
        <w:rPr>
          <w:sz w:val="28"/>
          <w:szCs w:val="28"/>
        </w:rPr>
        <w:t xml:space="preserve">Глава 3. </w:t>
      </w:r>
      <w:r w:rsidR="00B02813">
        <w:rPr>
          <w:sz w:val="28"/>
          <w:szCs w:val="28"/>
        </w:rPr>
        <w:t>Проблемы и п</w:t>
      </w:r>
      <w:r>
        <w:rPr>
          <w:sz w:val="28"/>
          <w:szCs w:val="28"/>
        </w:rPr>
        <w:t xml:space="preserve">ерспективы развития </w:t>
      </w:r>
      <w:r w:rsidR="00B02813">
        <w:rPr>
          <w:sz w:val="28"/>
          <w:szCs w:val="28"/>
        </w:rPr>
        <w:t>политики ЕБРР в России</w:t>
      </w:r>
      <w:r>
        <w:rPr>
          <w:sz w:val="28"/>
          <w:szCs w:val="28"/>
        </w:rPr>
        <w:t xml:space="preserve"> </w:t>
      </w:r>
    </w:p>
    <w:p w:rsidR="001D2259" w:rsidRDefault="001D2259" w:rsidP="001D2259">
      <w:pPr>
        <w:spacing w:line="360" w:lineRule="auto"/>
        <w:ind w:firstLine="709"/>
        <w:contextualSpacing/>
        <w:jc w:val="both"/>
        <w:rPr>
          <w:sz w:val="28"/>
          <w:szCs w:val="28"/>
        </w:rPr>
      </w:pPr>
      <w:r>
        <w:rPr>
          <w:sz w:val="28"/>
          <w:szCs w:val="28"/>
        </w:rPr>
        <w:t xml:space="preserve">3.1 </w:t>
      </w:r>
      <w:r w:rsidR="00B02813">
        <w:rPr>
          <w:sz w:val="28"/>
          <w:szCs w:val="28"/>
        </w:rPr>
        <w:t>Проблемы политики, осуществляемой ЕБРР</w:t>
      </w:r>
      <w:r>
        <w:rPr>
          <w:sz w:val="28"/>
          <w:szCs w:val="28"/>
        </w:rPr>
        <w:t xml:space="preserve"> в России…</w:t>
      </w:r>
      <w:r w:rsidR="00B02813">
        <w:rPr>
          <w:sz w:val="28"/>
          <w:szCs w:val="28"/>
        </w:rPr>
        <w:t>….…….27</w:t>
      </w:r>
    </w:p>
    <w:p w:rsidR="001D2259" w:rsidRDefault="001D2259" w:rsidP="001D2259">
      <w:pPr>
        <w:spacing w:line="360" w:lineRule="auto"/>
        <w:ind w:firstLine="709"/>
        <w:contextualSpacing/>
        <w:jc w:val="both"/>
        <w:rPr>
          <w:sz w:val="28"/>
          <w:szCs w:val="28"/>
        </w:rPr>
      </w:pPr>
      <w:r>
        <w:rPr>
          <w:sz w:val="28"/>
          <w:szCs w:val="28"/>
        </w:rPr>
        <w:t xml:space="preserve">3.2 </w:t>
      </w:r>
      <w:r w:rsidR="00B02813">
        <w:rPr>
          <w:sz w:val="28"/>
          <w:szCs w:val="28"/>
        </w:rPr>
        <w:t>Приоритетные направления деятельности ЕБРР</w:t>
      </w:r>
      <w:r>
        <w:rPr>
          <w:sz w:val="28"/>
          <w:szCs w:val="28"/>
        </w:rPr>
        <w:t>……</w:t>
      </w:r>
      <w:r w:rsidR="00B02813">
        <w:rPr>
          <w:sz w:val="28"/>
          <w:szCs w:val="28"/>
        </w:rPr>
        <w:t>………..…..31</w:t>
      </w:r>
    </w:p>
    <w:p w:rsidR="001D2259" w:rsidRDefault="001D2259" w:rsidP="001D2259">
      <w:pPr>
        <w:spacing w:line="360" w:lineRule="auto"/>
        <w:ind w:firstLine="709"/>
        <w:contextualSpacing/>
        <w:jc w:val="both"/>
        <w:rPr>
          <w:sz w:val="28"/>
          <w:szCs w:val="28"/>
        </w:rPr>
      </w:pPr>
      <w:r>
        <w:rPr>
          <w:sz w:val="28"/>
          <w:szCs w:val="28"/>
        </w:rPr>
        <w:t>Заклю</w:t>
      </w:r>
      <w:r w:rsidR="00B02813">
        <w:rPr>
          <w:sz w:val="28"/>
          <w:szCs w:val="28"/>
        </w:rPr>
        <w:t>чение……………………………………………………………….35</w:t>
      </w:r>
    </w:p>
    <w:p w:rsidR="001D2259" w:rsidRPr="0048685C" w:rsidRDefault="001D2259" w:rsidP="001D2259">
      <w:pPr>
        <w:spacing w:line="360" w:lineRule="auto"/>
        <w:ind w:firstLine="709"/>
        <w:contextualSpacing/>
        <w:jc w:val="both"/>
        <w:rPr>
          <w:sz w:val="28"/>
          <w:szCs w:val="28"/>
        </w:rPr>
      </w:pPr>
      <w:r>
        <w:rPr>
          <w:sz w:val="28"/>
          <w:szCs w:val="28"/>
        </w:rPr>
        <w:t>Список использованных источников………………………………</w:t>
      </w:r>
      <w:r w:rsidR="00B02813">
        <w:rPr>
          <w:sz w:val="28"/>
          <w:szCs w:val="28"/>
        </w:rPr>
        <w:t>……37</w:t>
      </w:r>
    </w:p>
    <w:p w:rsidR="001D2259" w:rsidRDefault="001D2259" w:rsidP="001D2259">
      <w:pPr>
        <w:spacing w:after="200" w:line="276" w:lineRule="auto"/>
      </w:pPr>
      <w:r>
        <w:br w:type="page"/>
      </w:r>
    </w:p>
    <w:p w:rsidR="00331778" w:rsidRDefault="0082642D" w:rsidP="0082642D">
      <w:pPr>
        <w:jc w:val="center"/>
        <w:rPr>
          <w:b/>
          <w:sz w:val="32"/>
          <w:szCs w:val="32"/>
        </w:rPr>
      </w:pPr>
      <w:r>
        <w:rPr>
          <w:b/>
          <w:sz w:val="32"/>
          <w:szCs w:val="32"/>
        </w:rPr>
        <w:lastRenderedPageBreak/>
        <w:t>ВВЕДЕНИЕ</w:t>
      </w:r>
    </w:p>
    <w:p w:rsidR="0082642D" w:rsidRDefault="0082642D" w:rsidP="0082642D">
      <w:pPr>
        <w:jc w:val="center"/>
        <w:rPr>
          <w:b/>
          <w:sz w:val="32"/>
          <w:szCs w:val="32"/>
        </w:rPr>
      </w:pPr>
    </w:p>
    <w:p w:rsidR="0082642D" w:rsidRDefault="0082642D" w:rsidP="0082642D">
      <w:pPr>
        <w:jc w:val="center"/>
        <w:rPr>
          <w:b/>
          <w:sz w:val="32"/>
          <w:szCs w:val="32"/>
        </w:rPr>
      </w:pPr>
    </w:p>
    <w:p w:rsidR="0082642D" w:rsidRDefault="0082642D" w:rsidP="0082642D">
      <w:pPr>
        <w:spacing w:line="360" w:lineRule="auto"/>
        <w:ind w:firstLine="709"/>
        <w:contextualSpacing/>
        <w:jc w:val="both"/>
        <w:rPr>
          <w:color w:val="000000"/>
          <w:sz w:val="28"/>
          <w:szCs w:val="28"/>
        </w:rPr>
      </w:pPr>
      <w:r w:rsidRPr="0082642D">
        <w:rPr>
          <w:color w:val="000000"/>
          <w:sz w:val="28"/>
          <w:szCs w:val="28"/>
        </w:rPr>
        <w:t>Европейский</w:t>
      </w:r>
      <w:r>
        <w:rPr>
          <w:color w:val="000000"/>
          <w:sz w:val="28"/>
          <w:szCs w:val="28"/>
        </w:rPr>
        <w:t xml:space="preserve"> банк реконструкции и развития </w:t>
      </w:r>
      <w:r w:rsidRPr="0082642D">
        <w:rPr>
          <w:color w:val="000000"/>
          <w:sz w:val="28"/>
          <w:szCs w:val="28"/>
        </w:rPr>
        <w:t xml:space="preserve">создан в 1991 году с целью оказания поддержки странам Средней и Восточной Европы при переходе от централизованного планового </w:t>
      </w:r>
      <w:r>
        <w:rPr>
          <w:color w:val="000000"/>
          <w:sz w:val="28"/>
          <w:szCs w:val="28"/>
        </w:rPr>
        <w:t>хозяйства к рыночной экономике.</w:t>
      </w:r>
    </w:p>
    <w:p w:rsidR="00201A26" w:rsidRDefault="0082642D" w:rsidP="0082642D">
      <w:pPr>
        <w:spacing w:line="360" w:lineRule="auto"/>
        <w:ind w:firstLine="709"/>
        <w:contextualSpacing/>
        <w:jc w:val="both"/>
        <w:rPr>
          <w:color w:val="000000"/>
          <w:sz w:val="28"/>
          <w:szCs w:val="28"/>
        </w:rPr>
      </w:pPr>
      <w:r w:rsidRPr="0082642D">
        <w:rPr>
          <w:color w:val="000000"/>
          <w:sz w:val="28"/>
          <w:szCs w:val="28"/>
        </w:rPr>
        <w:t>Штаб-квартира банка находится в Лондоне.</w:t>
      </w:r>
      <w:r>
        <w:rPr>
          <w:color w:val="000000"/>
          <w:sz w:val="28"/>
          <w:szCs w:val="28"/>
        </w:rPr>
        <w:t xml:space="preserve"> </w:t>
      </w:r>
      <w:r w:rsidRPr="0082642D">
        <w:rPr>
          <w:color w:val="000000"/>
          <w:sz w:val="28"/>
          <w:szCs w:val="28"/>
        </w:rPr>
        <w:t>Основной задачей ЕБРР является финансирование проектов, способствующих развитию эконо</w:t>
      </w:r>
      <w:r w:rsidR="00201A26">
        <w:rPr>
          <w:color w:val="000000"/>
          <w:sz w:val="28"/>
          <w:szCs w:val="28"/>
        </w:rPr>
        <w:t>мики, однако, несмотря на это, б</w:t>
      </w:r>
      <w:r w:rsidRPr="0082642D">
        <w:rPr>
          <w:color w:val="000000"/>
          <w:sz w:val="28"/>
          <w:szCs w:val="28"/>
        </w:rPr>
        <w:t xml:space="preserve">анк осуществляет свою деятельность, руководствуясь принципом самоокупаемости. Обладая </w:t>
      </w:r>
      <w:r w:rsidR="00201A26">
        <w:rPr>
          <w:color w:val="000000"/>
          <w:sz w:val="28"/>
          <w:szCs w:val="28"/>
        </w:rPr>
        <w:t>высшим кредитным рейтингом, б</w:t>
      </w:r>
      <w:r w:rsidRPr="0082642D">
        <w:rPr>
          <w:color w:val="000000"/>
          <w:sz w:val="28"/>
          <w:szCs w:val="28"/>
        </w:rPr>
        <w:t xml:space="preserve">анк может привлекать средства на международных рынках капиталов по самым выгодным ставкам. География деятельности: </w:t>
      </w:r>
      <w:proofErr w:type="gramStart"/>
      <w:r w:rsidRPr="0082642D">
        <w:rPr>
          <w:color w:val="000000"/>
          <w:sz w:val="28"/>
          <w:szCs w:val="28"/>
        </w:rPr>
        <w:t>Азербайджан, Албания, Армения, Беларусь, Болгария, Босния и Герцеговина, Македония, Венгрия, Грузия, Казахстан, Кыргызстан, Латвия, Литва, Молдова, Польша, Российская Федерация, Румыния, Словацкая Республика, Словения, Таджикистан, Туркменистан, Узбекистан, Украина, Хорватия, Чешская республика, Эстония.</w:t>
      </w:r>
      <w:proofErr w:type="gramEnd"/>
      <w:r w:rsidRPr="0082642D">
        <w:rPr>
          <w:color w:val="000000"/>
          <w:sz w:val="28"/>
          <w:szCs w:val="28"/>
        </w:rPr>
        <w:t xml:space="preserve"> У банка большой опыт работы на международных рынках.</w:t>
      </w:r>
    </w:p>
    <w:p w:rsidR="00201A26" w:rsidRDefault="0082642D" w:rsidP="0082642D">
      <w:pPr>
        <w:spacing w:line="360" w:lineRule="auto"/>
        <w:ind w:firstLine="709"/>
        <w:contextualSpacing/>
        <w:jc w:val="both"/>
        <w:rPr>
          <w:color w:val="000000"/>
          <w:sz w:val="28"/>
          <w:szCs w:val="28"/>
        </w:rPr>
      </w:pPr>
      <w:r w:rsidRPr="0082642D">
        <w:rPr>
          <w:color w:val="000000"/>
          <w:sz w:val="28"/>
          <w:szCs w:val="28"/>
        </w:rPr>
        <w:t>ЕБРР является крупнейшим инвестором в регионе, и помимо выделения своих сре</w:t>
      </w:r>
      <w:proofErr w:type="gramStart"/>
      <w:r w:rsidRPr="0082642D">
        <w:rPr>
          <w:color w:val="000000"/>
          <w:sz w:val="28"/>
          <w:szCs w:val="28"/>
        </w:rPr>
        <w:t>дств пр</w:t>
      </w:r>
      <w:proofErr w:type="gramEnd"/>
      <w:r w:rsidRPr="0082642D">
        <w:rPr>
          <w:color w:val="000000"/>
          <w:sz w:val="28"/>
          <w:szCs w:val="28"/>
        </w:rPr>
        <w:t>ивлекает значительные объемы прямых иностранных инвестиций. Его владельцами являются 61 страна и две международные организации. Однако, хотя его акционерами и являются представители государства, ЕБРР вкладывает капитал главным образом в частные предприятия, как правило, совместно со своими коммерческими партнерами.</w:t>
      </w:r>
    </w:p>
    <w:p w:rsidR="00201A26" w:rsidRDefault="0082642D" w:rsidP="0082642D">
      <w:pPr>
        <w:spacing w:line="360" w:lineRule="auto"/>
        <w:ind w:firstLine="709"/>
        <w:contextualSpacing/>
        <w:jc w:val="both"/>
        <w:rPr>
          <w:color w:val="000000"/>
          <w:sz w:val="28"/>
          <w:szCs w:val="28"/>
        </w:rPr>
      </w:pPr>
      <w:r w:rsidRPr="0082642D">
        <w:rPr>
          <w:color w:val="000000"/>
          <w:sz w:val="28"/>
          <w:szCs w:val="28"/>
        </w:rPr>
        <w:t xml:space="preserve">Он осуществляет проектное финансирование банков, предприятий и компаний, вкладывая средства, как в новые производства, так и в действующие фирмы. Он также работает с государственными компаниями в целях поддержки процессов приватизации и структурной реорганизации на них, а также совершенствования коммунального хозяйства. ЕБРР использует </w:t>
      </w:r>
      <w:r w:rsidRPr="0082642D">
        <w:rPr>
          <w:color w:val="000000"/>
          <w:sz w:val="28"/>
          <w:szCs w:val="28"/>
        </w:rPr>
        <w:lastRenderedPageBreak/>
        <w:t xml:space="preserve">установившиеся </w:t>
      </w:r>
      <w:proofErr w:type="gramStart"/>
      <w:r w:rsidRPr="0082642D">
        <w:rPr>
          <w:color w:val="000000"/>
          <w:sz w:val="28"/>
          <w:szCs w:val="28"/>
        </w:rPr>
        <w:t>у него тесные связи с правительствами стран региона в целях реализации курса на создание благоприятных условий для предпринимат</w:t>
      </w:r>
      <w:r w:rsidR="00201A26">
        <w:rPr>
          <w:color w:val="000000"/>
          <w:sz w:val="28"/>
          <w:szCs w:val="28"/>
        </w:rPr>
        <w:t>ельской деятельности</w:t>
      </w:r>
      <w:proofErr w:type="gramEnd"/>
      <w:r w:rsidR="00201A26">
        <w:rPr>
          <w:color w:val="000000"/>
          <w:sz w:val="28"/>
          <w:szCs w:val="28"/>
        </w:rPr>
        <w:t xml:space="preserve">. </w:t>
      </w:r>
      <w:r w:rsidRPr="0082642D">
        <w:rPr>
          <w:color w:val="000000"/>
          <w:sz w:val="28"/>
          <w:szCs w:val="28"/>
        </w:rPr>
        <w:t>Цель создания ЕБРР - кредитная поддержка стран Восточной и Центральной Европы при переходе к рыночной экономике.</w:t>
      </w:r>
    </w:p>
    <w:p w:rsidR="00811A1F" w:rsidRDefault="0082642D" w:rsidP="0082642D">
      <w:pPr>
        <w:spacing w:line="360" w:lineRule="auto"/>
        <w:ind w:firstLine="709"/>
        <w:contextualSpacing/>
        <w:jc w:val="both"/>
        <w:rPr>
          <w:color w:val="000000"/>
          <w:sz w:val="28"/>
          <w:szCs w:val="28"/>
        </w:rPr>
      </w:pPr>
      <w:r w:rsidRPr="0082642D">
        <w:rPr>
          <w:color w:val="000000"/>
          <w:sz w:val="28"/>
          <w:szCs w:val="28"/>
        </w:rPr>
        <w:t xml:space="preserve">Целью курсовой работы является рассмотрение деятельность Европейского </w:t>
      </w:r>
      <w:r w:rsidR="00811A1F">
        <w:rPr>
          <w:color w:val="000000"/>
          <w:sz w:val="28"/>
          <w:szCs w:val="28"/>
        </w:rPr>
        <w:t>банка реконструкции и развития.</w:t>
      </w:r>
    </w:p>
    <w:p w:rsidR="00811A1F" w:rsidRDefault="0082642D" w:rsidP="0082642D">
      <w:pPr>
        <w:spacing w:line="360" w:lineRule="auto"/>
        <w:ind w:firstLine="709"/>
        <w:contextualSpacing/>
        <w:jc w:val="both"/>
        <w:rPr>
          <w:color w:val="000000"/>
          <w:sz w:val="28"/>
          <w:szCs w:val="28"/>
        </w:rPr>
      </w:pPr>
      <w:r w:rsidRPr="0082642D">
        <w:rPr>
          <w:color w:val="000000"/>
          <w:sz w:val="28"/>
          <w:szCs w:val="28"/>
        </w:rPr>
        <w:t>Зад</w:t>
      </w:r>
      <w:r w:rsidR="00811A1F">
        <w:rPr>
          <w:color w:val="000000"/>
          <w:sz w:val="28"/>
          <w:szCs w:val="28"/>
        </w:rPr>
        <w:t>ачами курсовой работы является:</w:t>
      </w:r>
    </w:p>
    <w:p w:rsidR="00811A1F" w:rsidRDefault="0082642D" w:rsidP="0082642D">
      <w:pPr>
        <w:spacing w:line="360" w:lineRule="auto"/>
        <w:ind w:firstLine="709"/>
        <w:contextualSpacing/>
        <w:jc w:val="both"/>
        <w:rPr>
          <w:color w:val="000000"/>
          <w:sz w:val="28"/>
          <w:szCs w:val="28"/>
        </w:rPr>
      </w:pPr>
      <w:r w:rsidRPr="0082642D">
        <w:rPr>
          <w:color w:val="000000"/>
          <w:sz w:val="28"/>
          <w:szCs w:val="28"/>
        </w:rPr>
        <w:t>- рассмотрен</w:t>
      </w:r>
      <w:r w:rsidR="00811A1F">
        <w:rPr>
          <w:color w:val="000000"/>
          <w:sz w:val="28"/>
          <w:szCs w:val="28"/>
        </w:rPr>
        <w:t>ие основных дат в истории ЕБРР;</w:t>
      </w:r>
    </w:p>
    <w:p w:rsidR="00811A1F" w:rsidRDefault="00811A1F" w:rsidP="0082642D">
      <w:pPr>
        <w:spacing w:line="360" w:lineRule="auto"/>
        <w:ind w:firstLine="709"/>
        <w:contextualSpacing/>
        <w:jc w:val="both"/>
        <w:rPr>
          <w:color w:val="000000"/>
          <w:sz w:val="28"/>
          <w:szCs w:val="28"/>
        </w:rPr>
      </w:pPr>
      <w:r>
        <w:rPr>
          <w:color w:val="000000"/>
          <w:sz w:val="28"/>
          <w:szCs w:val="28"/>
        </w:rPr>
        <w:t>- изучение деятельности ЕБРР;</w:t>
      </w:r>
    </w:p>
    <w:p w:rsidR="0082642D" w:rsidRDefault="00811A1F" w:rsidP="0082642D">
      <w:pPr>
        <w:spacing w:line="360" w:lineRule="auto"/>
        <w:ind w:firstLine="709"/>
        <w:contextualSpacing/>
        <w:jc w:val="both"/>
        <w:rPr>
          <w:color w:val="000000"/>
          <w:sz w:val="28"/>
          <w:szCs w:val="28"/>
        </w:rPr>
      </w:pPr>
      <w:r>
        <w:rPr>
          <w:color w:val="000000"/>
          <w:sz w:val="28"/>
          <w:szCs w:val="28"/>
        </w:rPr>
        <w:t>- анализ проектов ЕБРР;</w:t>
      </w:r>
    </w:p>
    <w:p w:rsidR="00811A1F" w:rsidRDefault="00811A1F" w:rsidP="0082642D">
      <w:pPr>
        <w:spacing w:line="360" w:lineRule="auto"/>
        <w:ind w:firstLine="709"/>
        <w:contextualSpacing/>
        <w:jc w:val="both"/>
        <w:rPr>
          <w:color w:val="000000"/>
          <w:sz w:val="28"/>
          <w:szCs w:val="28"/>
        </w:rPr>
      </w:pPr>
      <w:r>
        <w:rPr>
          <w:color w:val="000000"/>
          <w:sz w:val="28"/>
          <w:szCs w:val="28"/>
        </w:rPr>
        <w:t>- выявление проблем и приоритетных направлений в деятельности ЕБРР в РФ.</w:t>
      </w:r>
    </w:p>
    <w:p w:rsidR="00811A1F" w:rsidRDefault="00811A1F" w:rsidP="0082642D">
      <w:pPr>
        <w:spacing w:line="360" w:lineRule="auto"/>
        <w:ind w:firstLine="709"/>
        <w:contextualSpacing/>
        <w:jc w:val="both"/>
        <w:rPr>
          <w:color w:val="000000"/>
          <w:sz w:val="28"/>
          <w:szCs w:val="28"/>
        </w:rPr>
      </w:pPr>
    </w:p>
    <w:p w:rsidR="00811A1F" w:rsidRDefault="00811A1F" w:rsidP="0082642D">
      <w:pPr>
        <w:spacing w:line="360" w:lineRule="auto"/>
        <w:ind w:firstLine="709"/>
        <w:contextualSpacing/>
        <w:jc w:val="both"/>
        <w:rPr>
          <w:color w:val="000000"/>
          <w:sz w:val="28"/>
          <w:szCs w:val="28"/>
        </w:rPr>
      </w:pPr>
    </w:p>
    <w:p w:rsidR="00201A26" w:rsidRDefault="00201A26" w:rsidP="0082642D">
      <w:pPr>
        <w:spacing w:line="360" w:lineRule="auto"/>
        <w:ind w:firstLine="709"/>
        <w:contextualSpacing/>
        <w:jc w:val="both"/>
        <w:rPr>
          <w:color w:val="000000"/>
          <w:sz w:val="28"/>
          <w:szCs w:val="28"/>
        </w:rPr>
      </w:pPr>
    </w:p>
    <w:p w:rsidR="00201A26" w:rsidRDefault="00201A26">
      <w:pPr>
        <w:spacing w:after="200" w:line="276" w:lineRule="auto"/>
        <w:rPr>
          <w:color w:val="000000"/>
          <w:sz w:val="28"/>
          <w:szCs w:val="28"/>
        </w:rPr>
      </w:pPr>
      <w:r>
        <w:rPr>
          <w:color w:val="000000"/>
          <w:sz w:val="28"/>
          <w:szCs w:val="28"/>
        </w:rPr>
        <w:br w:type="page"/>
      </w:r>
    </w:p>
    <w:p w:rsidR="00201A26" w:rsidRDefault="00201A26" w:rsidP="00201A26">
      <w:pPr>
        <w:spacing w:line="360" w:lineRule="auto"/>
        <w:ind w:firstLine="709"/>
        <w:contextualSpacing/>
        <w:jc w:val="center"/>
        <w:rPr>
          <w:b/>
          <w:sz w:val="32"/>
          <w:szCs w:val="32"/>
        </w:rPr>
      </w:pPr>
      <w:r w:rsidRPr="00201A26">
        <w:rPr>
          <w:b/>
          <w:sz w:val="32"/>
          <w:szCs w:val="32"/>
        </w:rPr>
        <w:lastRenderedPageBreak/>
        <w:t>Глава 1. Общ</w:t>
      </w:r>
      <w:r w:rsidR="001F666A">
        <w:rPr>
          <w:b/>
          <w:sz w:val="32"/>
          <w:szCs w:val="32"/>
        </w:rPr>
        <w:t>ие сведения о деятельности ЕБРР</w:t>
      </w:r>
    </w:p>
    <w:p w:rsidR="00201A26" w:rsidRDefault="00201A26" w:rsidP="00201A26">
      <w:pPr>
        <w:spacing w:line="360" w:lineRule="auto"/>
        <w:ind w:firstLine="709"/>
        <w:contextualSpacing/>
        <w:jc w:val="center"/>
        <w:rPr>
          <w:b/>
          <w:sz w:val="32"/>
          <w:szCs w:val="32"/>
        </w:rPr>
      </w:pPr>
    </w:p>
    <w:p w:rsidR="00201A26" w:rsidRPr="00385DE5" w:rsidRDefault="00385DE5" w:rsidP="00385DE5">
      <w:pPr>
        <w:pStyle w:val="a3"/>
        <w:numPr>
          <w:ilvl w:val="1"/>
          <w:numId w:val="1"/>
        </w:numPr>
        <w:spacing w:line="360" w:lineRule="auto"/>
        <w:jc w:val="center"/>
        <w:rPr>
          <w:b/>
          <w:sz w:val="28"/>
          <w:szCs w:val="28"/>
        </w:rPr>
      </w:pPr>
      <w:r w:rsidRPr="00385DE5">
        <w:rPr>
          <w:b/>
          <w:sz w:val="28"/>
          <w:szCs w:val="28"/>
        </w:rPr>
        <w:t xml:space="preserve">Основные </w:t>
      </w:r>
      <w:r w:rsidR="001F666A">
        <w:rPr>
          <w:b/>
          <w:sz w:val="28"/>
          <w:szCs w:val="28"/>
        </w:rPr>
        <w:t>задачи и цели деятельности ЕБРР</w:t>
      </w:r>
    </w:p>
    <w:p w:rsidR="00385DE5" w:rsidRDefault="00385DE5" w:rsidP="00385DE5">
      <w:pPr>
        <w:spacing w:line="360" w:lineRule="auto"/>
        <w:jc w:val="center"/>
        <w:rPr>
          <w:b/>
          <w:sz w:val="28"/>
          <w:szCs w:val="28"/>
        </w:rPr>
      </w:pPr>
    </w:p>
    <w:p w:rsidR="00385DE5" w:rsidRPr="00385DE5" w:rsidRDefault="00385DE5" w:rsidP="00385DE5">
      <w:pPr>
        <w:pStyle w:val="a4"/>
        <w:shd w:val="clear" w:color="auto" w:fill="FFFFFF"/>
        <w:spacing w:before="0" w:beforeAutospacing="0" w:after="0" w:afterAutospacing="0" w:line="360" w:lineRule="auto"/>
        <w:ind w:firstLine="709"/>
        <w:contextualSpacing/>
        <w:jc w:val="both"/>
        <w:rPr>
          <w:sz w:val="28"/>
          <w:szCs w:val="28"/>
        </w:rPr>
      </w:pPr>
      <w:r w:rsidRPr="00385DE5">
        <w:rPr>
          <w:sz w:val="28"/>
          <w:szCs w:val="28"/>
        </w:rPr>
        <w:t>Главная задача ЕБРР — содействовать переходу европейских постсоциалистичес</w:t>
      </w:r>
      <w:r w:rsidRPr="00385DE5">
        <w:rPr>
          <w:sz w:val="28"/>
          <w:szCs w:val="28"/>
        </w:rPr>
        <w:softHyphen/>
        <w:t>ких стран к открытой, ориентированной на рынок экономике, а также развитию частной и предпринимательской инициативы. В целях реализации основной задачи Банка — способствовать переходу стран Центральной и Восточной Европы к рыночной экономике — Уставом ЕБРР предусмотрены следующие функции:</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содействие развитию, образованию и расширению конкурен</w:t>
      </w:r>
      <w:r w:rsidRPr="00385DE5">
        <w:rPr>
          <w:sz w:val="28"/>
          <w:szCs w:val="28"/>
        </w:rPr>
        <w:softHyphen/>
        <w:t>тоспособного частного сектора, в первую очередь малого и сред</w:t>
      </w:r>
      <w:r w:rsidRPr="00385DE5">
        <w:rPr>
          <w:sz w:val="28"/>
          <w:szCs w:val="28"/>
        </w:rPr>
        <w:softHyphen/>
        <w:t>него предпринимательства;</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мобилизация иностранного и местного капиталов для вы</w:t>
      </w:r>
      <w:r w:rsidRPr="00385DE5">
        <w:rPr>
          <w:sz w:val="28"/>
          <w:szCs w:val="28"/>
        </w:rPr>
        <w:softHyphen/>
        <w:t>полнения вышеуказанной деятельности;</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осуществление инвестиций в производственную сферу, а так</w:t>
      </w:r>
      <w:r w:rsidRPr="00385DE5">
        <w:rPr>
          <w:sz w:val="28"/>
          <w:szCs w:val="28"/>
        </w:rPr>
        <w:softHyphen/>
        <w:t>же в финансовый сектор и сферу услуг, которые необходимы для поддержки частной инициативы;</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оказание технического содействия для подготовки и реализа</w:t>
      </w:r>
      <w:r w:rsidRPr="00385DE5">
        <w:rPr>
          <w:sz w:val="28"/>
          <w:szCs w:val="28"/>
        </w:rPr>
        <w:softHyphen/>
        <w:t>ции проектов;</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стимулирование развития национальных рынков капиталов;</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оказание поддержки экономически выгодным проектам, в ко</w:t>
      </w:r>
      <w:r w:rsidRPr="00385DE5">
        <w:rPr>
          <w:sz w:val="28"/>
          <w:szCs w:val="28"/>
        </w:rPr>
        <w:softHyphen/>
        <w:t>торых участвует несколько стран-бенефициаров;</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активное проведение операций в области экологии и устой</w:t>
      </w:r>
      <w:r w:rsidRPr="00385DE5">
        <w:rPr>
          <w:sz w:val="28"/>
          <w:szCs w:val="28"/>
        </w:rPr>
        <w:softHyphen/>
        <w:t>чивого развития;</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выполнение других функций, идущих в развитие вышеиз</w:t>
      </w:r>
      <w:r w:rsidRPr="00385DE5">
        <w:rPr>
          <w:sz w:val="28"/>
          <w:szCs w:val="28"/>
        </w:rPr>
        <w:softHyphen/>
        <w:t>ложенных положений.</w:t>
      </w:r>
    </w:p>
    <w:p w:rsidR="00385DE5" w:rsidRPr="00196EE6"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В отличие от других международных финансовых организаций Устав Банка содержит политический мандат, предус</w:t>
      </w:r>
      <w:r w:rsidRPr="00385DE5">
        <w:rPr>
          <w:sz w:val="28"/>
          <w:szCs w:val="28"/>
        </w:rPr>
        <w:softHyphen/>
        <w:t xml:space="preserve">матривающий, что страны, где </w:t>
      </w:r>
      <w:r w:rsidRPr="00385DE5">
        <w:rPr>
          <w:sz w:val="28"/>
          <w:szCs w:val="28"/>
        </w:rPr>
        <w:lastRenderedPageBreak/>
        <w:t>Банк осуществляет свои операции, должны быть привержены принципам многопартийной демокра</w:t>
      </w:r>
      <w:r w:rsidRPr="00385DE5">
        <w:rPr>
          <w:sz w:val="28"/>
          <w:szCs w:val="28"/>
        </w:rPr>
        <w:softHyphen/>
        <w:t>тии, плюрализма и рыночной экономики.</w:t>
      </w:r>
      <w:r w:rsidR="00196EE6" w:rsidRPr="00196EE6">
        <w:rPr>
          <w:sz w:val="28"/>
          <w:szCs w:val="28"/>
        </w:rPr>
        <w:t>[1]</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proofErr w:type="gramStart"/>
      <w:r w:rsidRPr="00385DE5">
        <w:rPr>
          <w:sz w:val="28"/>
          <w:szCs w:val="28"/>
        </w:rPr>
        <w:t>ЕБРР активно поощряет развитие частных коммерческих и промышленных предприятий и обязан не менее 60% своих ресурсов направлять в негосударственный сектор.</w:t>
      </w:r>
      <w:proofErr w:type="gramEnd"/>
      <w:r w:rsidRPr="00385DE5">
        <w:rPr>
          <w:sz w:val="28"/>
          <w:szCs w:val="28"/>
        </w:rPr>
        <w:t xml:space="preserve"> При этом пред</w:t>
      </w:r>
      <w:r w:rsidRPr="00385DE5">
        <w:rPr>
          <w:sz w:val="28"/>
          <w:szCs w:val="28"/>
        </w:rPr>
        <w:softHyphen/>
        <w:t>оставление государственных гарантий по таким проектам не тре</w:t>
      </w:r>
      <w:r w:rsidRPr="00385DE5">
        <w:rPr>
          <w:sz w:val="28"/>
          <w:szCs w:val="28"/>
        </w:rPr>
        <w:softHyphen/>
        <w:t>буется, и они осуществляются исключительно на основе расчетов окупаемости и с учетом степени риска. Другими словами, при реализации операций в частном секторе ЕБРР действует как ком</w:t>
      </w:r>
      <w:r w:rsidRPr="00385DE5">
        <w:rPr>
          <w:sz w:val="28"/>
          <w:szCs w:val="28"/>
        </w:rPr>
        <w:softHyphen/>
        <w:t>мерческий банк, готовый брать на себя высокий риск.</w:t>
      </w:r>
    </w:p>
    <w:p w:rsidR="00A02D3A"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Банк принимает к рассмотрению проекты, поступающие из любых источников. Важнейшим условием при рассмотрении по</w:t>
      </w:r>
      <w:r w:rsidRPr="00385DE5">
        <w:rPr>
          <w:sz w:val="28"/>
          <w:szCs w:val="28"/>
        </w:rPr>
        <w:softHyphen/>
        <w:t>ступающего обращения, которое определяет дальнейшую судьбу такого проекта, является качество предоставленных материалов и их соответствие мировым стандартам в области проектного финансирования. Основными объектами кредитования ЕБРР явля</w:t>
      </w:r>
      <w:r w:rsidRPr="00385DE5">
        <w:rPr>
          <w:sz w:val="28"/>
          <w:szCs w:val="28"/>
        </w:rPr>
        <w:softHyphen/>
        <w:t>ются частные фирмы или приватизируемые государственные пред</w:t>
      </w:r>
      <w:r w:rsidRPr="00385DE5">
        <w:rPr>
          <w:sz w:val="28"/>
          <w:szCs w:val="28"/>
        </w:rPr>
        <w:softHyphen/>
        <w:t>приятия, а также вновь создаваемые компании, включая совмест</w:t>
      </w:r>
      <w:r w:rsidRPr="00385DE5">
        <w:rPr>
          <w:sz w:val="28"/>
          <w:szCs w:val="28"/>
        </w:rPr>
        <w:softHyphen/>
        <w:t>ные предприятия</w:t>
      </w:r>
      <w:r w:rsidR="00A02D3A">
        <w:rPr>
          <w:sz w:val="28"/>
          <w:szCs w:val="28"/>
        </w:rPr>
        <w:t xml:space="preserve"> с международными инвестициями.</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Основная цель банка состоит в поощрении инвестиций в регионе. ЕБРР сотрудничает с другими инвесторами и кредиторами в предостав</w:t>
      </w:r>
      <w:r w:rsidRPr="00385DE5">
        <w:rPr>
          <w:sz w:val="28"/>
          <w:szCs w:val="28"/>
        </w:rPr>
        <w:softHyphen/>
        <w:t>лении кредитов и гарантий, а также инвестировании средств в ак</w:t>
      </w:r>
      <w:r w:rsidRPr="00385DE5">
        <w:rPr>
          <w:sz w:val="28"/>
          <w:szCs w:val="28"/>
        </w:rPr>
        <w:softHyphen/>
        <w:t>ционерные капиталы. Эта деятельность должна дополняться кре</w:t>
      </w:r>
      <w:r w:rsidRPr="00385DE5">
        <w:rPr>
          <w:sz w:val="28"/>
          <w:szCs w:val="28"/>
        </w:rPr>
        <w:softHyphen/>
        <w:t>дитованием инфраструктуры или других проектов в государствен</w:t>
      </w:r>
      <w:r w:rsidRPr="00385DE5">
        <w:rPr>
          <w:sz w:val="28"/>
          <w:szCs w:val="28"/>
        </w:rPr>
        <w:softHyphen/>
        <w:t>ном секторе, которые ориентированы на поддержку инициатив частного сектора. ЕБРР поощряет региональное сотрудничество, и поддерживаемые им проекты могут охватывать несколько стран.</w:t>
      </w:r>
    </w:p>
    <w:p w:rsidR="00385DE5" w:rsidRPr="00ED31DA"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С начала своей деятельности в апреле 1991 г. ЕБРР определил стоящие перед ним задачи. Наиболее важной из них стало содейст</w:t>
      </w:r>
      <w:r w:rsidRPr="00385DE5">
        <w:rPr>
          <w:sz w:val="28"/>
          <w:szCs w:val="28"/>
        </w:rPr>
        <w:softHyphen/>
        <w:t>вие в создании новых экономических условий в странах, где дей</w:t>
      </w:r>
      <w:r w:rsidRPr="00385DE5">
        <w:rPr>
          <w:sz w:val="28"/>
          <w:szCs w:val="28"/>
        </w:rPr>
        <w:softHyphen/>
        <w:t xml:space="preserve">ствует ЕБРР, в период изменения политической системы; при этом считается необходимым </w:t>
      </w:r>
      <w:r w:rsidRPr="00385DE5">
        <w:rPr>
          <w:sz w:val="28"/>
          <w:szCs w:val="28"/>
        </w:rPr>
        <w:lastRenderedPageBreak/>
        <w:t xml:space="preserve">предотвратить возникновение </w:t>
      </w:r>
      <w:proofErr w:type="gramStart"/>
      <w:r w:rsidRPr="00385DE5">
        <w:rPr>
          <w:sz w:val="28"/>
          <w:szCs w:val="28"/>
        </w:rPr>
        <w:t>нетерпи</w:t>
      </w:r>
      <w:r w:rsidRPr="00385DE5">
        <w:rPr>
          <w:sz w:val="28"/>
          <w:szCs w:val="28"/>
        </w:rPr>
        <w:softHyphen/>
        <w:t>мых социальных условий</w:t>
      </w:r>
      <w:proofErr w:type="gramEnd"/>
      <w:r w:rsidRPr="00385DE5">
        <w:rPr>
          <w:sz w:val="28"/>
          <w:szCs w:val="28"/>
        </w:rPr>
        <w:t>, которые могли бы привести к полному распаду общества в этих странах и поставить под угрозу безопас</w:t>
      </w:r>
      <w:r w:rsidRPr="00385DE5">
        <w:rPr>
          <w:sz w:val="28"/>
          <w:szCs w:val="28"/>
        </w:rPr>
        <w:softHyphen/>
        <w:t>ность их соседей. Другие задачи относятся к сфере бизнеса (поощ</w:t>
      </w:r>
      <w:r w:rsidRPr="00385DE5">
        <w:rPr>
          <w:sz w:val="28"/>
          <w:szCs w:val="28"/>
        </w:rPr>
        <w:softHyphen/>
        <w:t>рение инвестиций, совершенствование коммерческой практики, приватизация и структурная перестройка), инфраструктуры (восстановление, модернизация и расширение сетей связи, энергетичес</w:t>
      </w:r>
      <w:r w:rsidRPr="00385DE5">
        <w:rPr>
          <w:sz w:val="28"/>
          <w:szCs w:val="28"/>
        </w:rPr>
        <w:softHyphen/>
        <w:t>ких систем, муниципальных служб и жилищного хозяйства) и эко</w:t>
      </w:r>
      <w:r w:rsidRPr="00385DE5">
        <w:rPr>
          <w:sz w:val="28"/>
          <w:szCs w:val="28"/>
        </w:rPr>
        <w:softHyphen/>
        <w:t>логии (совершенствование политики и прямые инвестиции в вос</w:t>
      </w:r>
      <w:r w:rsidRPr="00385DE5">
        <w:rPr>
          <w:sz w:val="28"/>
          <w:szCs w:val="28"/>
        </w:rPr>
        <w:softHyphen/>
        <w:t>становление окружающей среды).</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Осуществляя кредитную деятельность, ЕБРР:</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использует разнообразные инструменты для гибкого креди</w:t>
      </w:r>
      <w:r w:rsidRPr="00385DE5">
        <w:rPr>
          <w:sz w:val="28"/>
          <w:szCs w:val="28"/>
        </w:rPr>
        <w:softHyphen/>
        <w:t>тования на основе общепринятых в развитых странах стандартов банковского дела;</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гармонично сочетает реализацию задач, намеченных страте</w:t>
      </w:r>
      <w:r w:rsidRPr="00385DE5">
        <w:rPr>
          <w:sz w:val="28"/>
          <w:szCs w:val="28"/>
        </w:rPr>
        <w:softHyphen/>
        <w:t>гией операции по секторам, с непредусмотренными стратегией операциями, поддерживающими инициативы частного сектора;</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сотрудничает с частными инвесторами, их консультантами, а также с коммерческими банками;</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сотрудничает с правительствами в осуществлении долгосроч</w:t>
      </w:r>
      <w:r w:rsidRPr="00385DE5">
        <w:rPr>
          <w:sz w:val="28"/>
          <w:szCs w:val="28"/>
        </w:rPr>
        <w:softHyphen/>
        <w:t>ных планов развития;</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осуществляет взаимодействие с международными валютно-кредитными и финансовыми организациями;</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гармонично сочетает межгосударственный и региональный подходы;</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 стремится обеспечить сохранение и улучшение окружающей среды.</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При принятии решений ЕБРР руководствуется политикой в об</w:t>
      </w:r>
      <w:r w:rsidRPr="00385DE5">
        <w:rPr>
          <w:sz w:val="28"/>
          <w:szCs w:val="28"/>
        </w:rPr>
        <w:softHyphen/>
        <w:t>ласти основной деятельности и стратегиями по странам, утверж</w:t>
      </w:r>
      <w:r w:rsidRPr="00385DE5">
        <w:rPr>
          <w:sz w:val="28"/>
          <w:szCs w:val="28"/>
        </w:rPr>
        <w:softHyphen/>
        <w:t>денными Советом директоров. Стратегии по странам включают обзор политических и экономических событий и определяют при</w:t>
      </w:r>
      <w:r w:rsidRPr="00385DE5">
        <w:rPr>
          <w:sz w:val="28"/>
          <w:szCs w:val="28"/>
        </w:rPr>
        <w:softHyphen/>
        <w:t>оритетные сферы деятельности. В ряде случаев выявленные Бан</w:t>
      </w:r>
      <w:r w:rsidRPr="00385DE5">
        <w:rPr>
          <w:sz w:val="28"/>
          <w:szCs w:val="28"/>
        </w:rPr>
        <w:softHyphen/>
        <w:t>ком потребности в помощи имеют общий характер для большин</w:t>
      </w:r>
      <w:r w:rsidRPr="00385DE5">
        <w:rPr>
          <w:sz w:val="28"/>
          <w:szCs w:val="28"/>
        </w:rPr>
        <w:softHyphen/>
        <w:t>ства стран региона, объединяет эти стратегии стремление стиму</w:t>
      </w:r>
      <w:r w:rsidRPr="00385DE5">
        <w:rPr>
          <w:sz w:val="28"/>
          <w:szCs w:val="28"/>
        </w:rPr>
        <w:softHyphen/>
        <w:t>лировать производственные инвестиции в каждой стране.</w:t>
      </w:r>
    </w:p>
    <w:p w:rsidR="00385DE5" w:rsidRP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proofErr w:type="gramStart"/>
      <w:r w:rsidRPr="00385DE5">
        <w:rPr>
          <w:sz w:val="28"/>
          <w:szCs w:val="28"/>
        </w:rPr>
        <w:t>Многие государства испытывают трудности в политической, организационной и экономической областях, обусловленные социа</w:t>
      </w:r>
      <w:r w:rsidRPr="00385DE5">
        <w:rPr>
          <w:sz w:val="28"/>
          <w:szCs w:val="28"/>
        </w:rPr>
        <w:softHyphen/>
        <w:t>льно-экономической нестабильностью, отсутствием разработанной законодательной базы и неопределенностью рыночных условий.</w:t>
      </w:r>
      <w:proofErr w:type="gramEnd"/>
      <w:r w:rsidRPr="00385DE5">
        <w:rPr>
          <w:sz w:val="28"/>
          <w:szCs w:val="28"/>
        </w:rPr>
        <w:t xml:space="preserve"> В отдельных случаях это приводило к задержкам в использовании выделенных ЕБРР средств. Учет этих факторов помог ЕБРР разработать достаточно четкие модели отбора проектов.</w:t>
      </w:r>
    </w:p>
    <w:p w:rsidR="00385DE5" w:rsidRDefault="00385DE5" w:rsidP="00385DE5">
      <w:pPr>
        <w:pStyle w:val="a4"/>
        <w:shd w:val="clear" w:color="auto" w:fill="FFFFFF"/>
        <w:spacing w:before="225" w:beforeAutospacing="0" w:after="225" w:afterAutospacing="0" w:line="360" w:lineRule="auto"/>
        <w:ind w:firstLine="709"/>
        <w:contextualSpacing/>
        <w:jc w:val="both"/>
        <w:rPr>
          <w:sz w:val="28"/>
          <w:szCs w:val="28"/>
        </w:rPr>
      </w:pPr>
      <w:r w:rsidRPr="00385DE5">
        <w:rPr>
          <w:sz w:val="28"/>
          <w:szCs w:val="28"/>
        </w:rPr>
        <w:t>В своей деятельности ЕБРР натолкнулся на сохраняющуюся сдержанность международных инвесторов и коммерческих банков в отношении расширения финансирования проектов в частном секторе. Это выявило значение ЕБРР как катализатора инвестиций. Нежелание некоторых правитель</w:t>
      </w:r>
      <w:proofErr w:type="gramStart"/>
      <w:r w:rsidRPr="00385DE5">
        <w:rPr>
          <w:sz w:val="28"/>
          <w:szCs w:val="28"/>
        </w:rPr>
        <w:t>ств пр</w:t>
      </w:r>
      <w:proofErr w:type="gramEnd"/>
      <w:r w:rsidRPr="00385DE5">
        <w:rPr>
          <w:sz w:val="28"/>
          <w:szCs w:val="28"/>
        </w:rPr>
        <w:t>едоставлять гарантии для проектов в области инфраструктуры в своих странах также сдерживает операции ЕБРР. Деятельность по линии технического сотрудничества прямо или косвенно поддерживает инвестиции и кредиты ЕБРР; она сосредоточена на подготовке проектов, исследованиях по секторам и консультативных услугах. Поэтому ее значение в работе ЕБРР достаточно велико. Важным аспектом деятельности ЕБРР являются подготовка управленческих кадров и повышение квалификации специалистов во всех странах и на разных уровнях. Поэтому обучение положено в основу деятель</w:t>
      </w:r>
      <w:r w:rsidRPr="00385DE5">
        <w:rPr>
          <w:sz w:val="28"/>
          <w:szCs w:val="28"/>
        </w:rPr>
        <w:softHyphen/>
        <w:t>ности ЕБРР и осуществляется при выполнении почти всех его проектов. В рамках этих усилий в 1992 г. по инициативе ЕБРР и других пяти международных организаций-спонсоров (МВФ, МБРР, БМР, ЕС и ОЭСР) был открыт Объединенный венский институт для оказания помощи постсоциалистическим странам в решении задач по подготовке банковских и хозяйственных кад</w:t>
      </w:r>
      <w:r w:rsidRPr="00385DE5">
        <w:rPr>
          <w:sz w:val="28"/>
          <w:szCs w:val="28"/>
        </w:rPr>
        <w:softHyphen/>
        <w:t>ров, способных работать в условиях рыночной экономики.</w:t>
      </w:r>
    </w:p>
    <w:p w:rsidR="0063034C" w:rsidRDefault="0063034C" w:rsidP="00385DE5">
      <w:pPr>
        <w:pStyle w:val="a4"/>
        <w:shd w:val="clear" w:color="auto" w:fill="FFFFFF"/>
        <w:spacing w:before="225" w:beforeAutospacing="0" w:after="225" w:afterAutospacing="0" w:line="360" w:lineRule="auto"/>
        <w:ind w:firstLine="709"/>
        <w:contextualSpacing/>
        <w:jc w:val="both"/>
        <w:rPr>
          <w:sz w:val="28"/>
          <w:szCs w:val="28"/>
        </w:rPr>
      </w:pPr>
    </w:p>
    <w:p w:rsidR="0063034C" w:rsidRPr="0063034C" w:rsidRDefault="0063034C" w:rsidP="0063034C">
      <w:pPr>
        <w:pStyle w:val="a4"/>
        <w:shd w:val="clear" w:color="auto" w:fill="FFFFFF"/>
        <w:spacing w:before="225" w:beforeAutospacing="0" w:after="225" w:afterAutospacing="0" w:line="360" w:lineRule="auto"/>
        <w:ind w:firstLine="709"/>
        <w:contextualSpacing/>
        <w:jc w:val="center"/>
        <w:rPr>
          <w:b/>
          <w:sz w:val="28"/>
          <w:szCs w:val="28"/>
        </w:rPr>
      </w:pPr>
      <w:r w:rsidRPr="0063034C">
        <w:rPr>
          <w:b/>
          <w:sz w:val="28"/>
          <w:szCs w:val="28"/>
        </w:rPr>
        <w:t>1.2 Основные методы</w:t>
      </w:r>
      <w:r w:rsidR="00776A5D">
        <w:rPr>
          <w:b/>
          <w:sz w:val="28"/>
          <w:szCs w:val="28"/>
        </w:rPr>
        <w:t xml:space="preserve"> и инструменты</w:t>
      </w:r>
      <w:r w:rsidRPr="0063034C">
        <w:rPr>
          <w:b/>
          <w:sz w:val="28"/>
          <w:szCs w:val="28"/>
        </w:rPr>
        <w:t xml:space="preserve"> </w:t>
      </w:r>
      <w:r w:rsidR="00171121">
        <w:rPr>
          <w:b/>
          <w:sz w:val="28"/>
          <w:szCs w:val="28"/>
        </w:rPr>
        <w:t>политики</w:t>
      </w:r>
      <w:r w:rsidRPr="0063034C">
        <w:rPr>
          <w:b/>
          <w:sz w:val="28"/>
          <w:szCs w:val="28"/>
        </w:rPr>
        <w:t xml:space="preserve"> ЕБРР</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bCs/>
          <w:iCs/>
          <w:color w:val="000000"/>
          <w:sz w:val="28"/>
          <w:szCs w:val="28"/>
        </w:rPr>
        <w:t>ЕБРР ориентировано на переход к рыночной экономике</w:t>
      </w:r>
      <w:r w:rsidRPr="0063034C">
        <w:rPr>
          <w:color w:val="000000"/>
          <w:sz w:val="28"/>
          <w:szCs w:val="28"/>
        </w:rPr>
        <w:t>.</w:t>
      </w:r>
      <w:r>
        <w:rPr>
          <w:color w:val="000000"/>
          <w:sz w:val="28"/>
          <w:szCs w:val="28"/>
        </w:rPr>
        <w:t xml:space="preserve"> </w:t>
      </w:r>
      <w:r w:rsidRPr="0063034C">
        <w:rPr>
          <w:color w:val="000000"/>
          <w:sz w:val="28"/>
          <w:szCs w:val="28"/>
        </w:rPr>
        <w:t>Разные страны находятся на разных этапах процесса перехода к рыночной экономике. Местные условия определяют методы деятельности Банка, его стратегию, а в некоторых случаях ведут к разработке новаторских способов финансирования и снижения рисков. Банк готовит подробные стратегии для каждой страны операций, приспосабливая свои финансовые инструменты и методы работы к возможностям и потребностям каждой страны и каждого проекта. Уровень и характер спроса на финансирование ЕБРР зависят от этапа процесса перехода, на котором находится та или иная страна, и от ее привлекательности для частных инвесторов.</w:t>
      </w:r>
    </w:p>
    <w:p w:rsid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По мере перехода к рыночной экономике возникают новые возможности, а в некоторых других областях необходимость участия Банка снижается. Таким образом, в своей деятельности ЕБРР ориентируется на процесс перехода. Создание условий, благоприятствующих притоку инвестиций, зависит в первую очередь от стран операций. В ответ на изменяющиеся возможности и потребности Банк увеличивает объем своих годовых обязательств по инвестированию в акционерные капиталы и расширяет финансирование посредников для последующего кредитования малых и средних предприятия (МСП). Будучи ведущим инвестором в регионе, ЕБРР задает тон другим инвесторам. Его тщательный финансовый анализ обеспечивает финансирование здоровых и устойчивых предприятий, которые своим существованием должны оказывать длительное воздействие на процесс перехода.</w:t>
      </w:r>
    </w:p>
    <w:p w:rsidR="00776A5D" w:rsidRPr="0063034C" w:rsidRDefault="00776A5D" w:rsidP="0063034C">
      <w:pPr>
        <w:pStyle w:val="a4"/>
        <w:shd w:val="clear" w:color="auto" w:fill="FFFFFF"/>
        <w:spacing w:line="360" w:lineRule="auto"/>
        <w:ind w:firstLine="709"/>
        <w:contextualSpacing/>
        <w:jc w:val="both"/>
        <w:rPr>
          <w:color w:val="000000"/>
          <w:sz w:val="28"/>
          <w:szCs w:val="28"/>
        </w:rPr>
      </w:pPr>
      <w:r>
        <w:rPr>
          <w:color w:val="000000"/>
          <w:sz w:val="28"/>
          <w:szCs w:val="28"/>
        </w:rPr>
        <w:t>Основными методами организации деятельности ЕБРР являются</w:t>
      </w:r>
      <w:r w:rsidR="00196EE6" w:rsidRPr="003507EB">
        <w:rPr>
          <w:color w:val="000000"/>
          <w:sz w:val="28"/>
          <w:szCs w:val="28"/>
        </w:rPr>
        <w:t>[2]</w:t>
      </w:r>
      <w:r>
        <w:rPr>
          <w:color w:val="000000"/>
          <w:sz w:val="28"/>
          <w:szCs w:val="28"/>
        </w:rPr>
        <w:t xml:space="preserve">: </w:t>
      </w:r>
    </w:p>
    <w:p w:rsidR="00776A5D" w:rsidRDefault="00776A5D" w:rsidP="00776A5D">
      <w:pPr>
        <w:pStyle w:val="a4"/>
        <w:numPr>
          <w:ilvl w:val="0"/>
          <w:numId w:val="9"/>
        </w:numPr>
        <w:shd w:val="clear" w:color="auto" w:fill="FFFFFF"/>
        <w:spacing w:line="360" w:lineRule="auto"/>
        <w:contextualSpacing/>
        <w:jc w:val="both"/>
        <w:rPr>
          <w:color w:val="000000"/>
          <w:sz w:val="28"/>
          <w:szCs w:val="28"/>
        </w:rPr>
      </w:pPr>
      <w:r>
        <w:rPr>
          <w:color w:val="000000"/>
          <w:sz w:val="28"/>
          <w:szCs w:val="28"/>
        </w:rPr>
        <w:t>Финансирование.</w:t>
      </w:r>
    </w:p>
    <w:p w:rsidR="0063034C" w:rsidRPr="00776A5D" w:rsidRDefault="0063034C" w:rsidP="00776A5D">
      <w:pPr>
        <w:pStyle w:val="a4"/>
        <w:shd w:val="clear" w:color="auto" w:fill="FFFFFF"/>
        <w:spacing w:line="360" w:lineRule="auto"/>
        <w:ind w:firstLine="709"/>
        <w:contextualSpacing/>
        <w:jc w:val="both"/>
        <w:rPr>
          <w:color w:val="000000"/>
          <w:sz w:val="28"/>
          <w:szCs w:val="28"/>
        </w:rPr>
      </w:pPr>
      <w:r w:rsidRPr="00776A5D">
        <w:rPr>
          <w:color w:val="000000"/>
          <w:sz w:val="28"/>
          <w:szCs w:val="28"/>
        </w:rPr>
        <w:t>Финансирование ЕБРР зависит от конкретики проектов и предоставляется как на укрепление финансовых институтов или структурной реорганизации крупных компаний, так и в виде мелких кредитов компаниям, имеющим лишь несколько работников. Крупные инвестиции или инфраструктурные проекты (как частные, так и с участием местных или центральных властей) финансируются Банком напрямую, зачастую совместно с партнерами. Небольшие инвестиции производятся через финансовых посредников: местные банки или инвестиционные фонды. ЕБРР тесно сотрудничает со многими другими международными организациями, в частности с международными финансовыми учреждениями (МФУ), такими, как Всемирный банк, Европейский инвестиционный банк и Международный валютный фонд. Вместе с тем он играет свою уникальную роль, и у него иные (в отличие от других, более старых организаций) сильные стороны. Ключевой особенностью ЕБРР, отличающей его от других банков развития, является поддержка им частного сектора, что составляет суть мандата ЕБРР, который гласит, что не менее 60% финансирования Банка должно направляться в частный сектор.</w:t>
      </w:r>
    </w:p>
    <w:p w:rsidR="00776A5D"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Банк стремится в первую очередь помогать компаниям, испытывающим трудности с получением финансирования из других источников. Он делает особый упор на мелкие и средние предприятия, которые играют исключительно важную роль в развитии частного сектора.</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Во всей своей деятельности Банк действует на основе здоровых банковских принципов. Кроме того, он стремится действовать «в дополнение» к частному сектору и не конкурировать с другими частными источниками финансирования и не заменять их. Банк стремится также обеспечивать, чтобы воздействие его инвестиций выходило за рамки конкретных проектов и стимулировало процесс перехода к открытой рыночной экономике. В своей деятельности он руководствуется необходимостью содействовать экологически обоснованному и устойчивому развитию, а также соответствующими принципами закупок товаров и услуг. Банк является сторонником разумного корпоративного управления, включая рациональную практику управления, обнародование информации и ясную и последовательную практику бухгалтерского учета и аудита. Цель этого - обеспечить заемщикам ЕБРР возможность получения капитала не только у международных финансовых учреждений, но и из целого ряда других источников.</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Одним из главных каналов финансирования по линии ЕБРР являются совместные предприятия с иностранным участием. Совместные предприятия дают партнерам реальную возможность выхода на внешние и внутренние рынки, способствуют притоку иностранного частного капитала в регион, уменьшают риск и облегчают передачу технологий и управленческого опыта.</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Стремясь обеспечить схему финансирования, наиболее полно отвечающую требованиям проекта, Банк руководствуется нижеследующими исходными принципами:</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1. ЕБРР финансирует до 35% всех издержек по проекту, осуществляемому с нуля, или 35% объема долгосрочной капитализации уже действующей компании.</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2. От других инвесторов, в частности промышленных, требуются значительные взносы в акционерный капитал в отношении проектов, осуществляемых с нуля, или новых совместных предприятий, когда требуется специальная техническая и управленческая квалификация. В таких случаях промышленные спонсоры рассчитывают на получение либо контрольного пакета акций, либо достаточных прав на управление предприятием.</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3. Обычно на проекты в частном секторе предоставляется не более двух третей суммы заимствуемых средств и не менее одной трети акционерного капитала.</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4. От других участников софинансирования обычно требуются дополнительные средства.</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5. Банк обычно не предоставляет финансирование инвестору на приобретение уже выпущенных или вновь выпускаемых акций.</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6. Акционерный пай спонсоров необязательно имеет форму только наличности, он может предоставляться в виде оборудования, механизмов, техники и т.д. Каждый проект оценивается с точки зрения соответствующей страновой стратегии. Страновые стратегии утверждаются акционерами ЕБРР, ложатся в основу банковских операций и определяют приоритетность конкретных направлений деятельности.</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Таким образом, с помощью разумного финансирования ЕБРР содействует</w:t>
      </w:r>
      <w:r w:rsidRPr="0063034C">
        <w:rPr>
          <w:b/>
          <w:bCs/>
          <w:color w:val="000000"/>
          <w:sz w:val="28"/>
          <w:szCs w:val="28"/>
        </w:rPr>
        <w:t>:</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 проведению структурных и отраслевых реформ;</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 развитию конкуренции, приватизации и предпринимательства;</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 укреплению финансовых организаций и правовых систем;</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 развитию необходимой инфраструктуры для поддержки частного сектора;</w:t>
      </w:r>
    </w:p>
    <w:p w:rsidR="0063034C" w:rsidRPr="0063034C" w:rsidRDefault="0063034C" w:rsidP="00776A5D">
      <w:pPr>
        <w:pStyle w:val="a4"/>
        <w:shd w:val="clear" w:color="auto" w:fill="FFFFFF"/>
        <w:spacing w:line="360" w:lineRule="auto"/>
        <w:ind w:firstLine="709"/>
        <w:contextualSpacing/>
        <w:jc w:val="both"/>
        <w:rPr>
          <w:color w:val="000000"/>
          <w:sz w:val="28"/>
          <w:szCs w:val="28"/>
        </w:rPr>
      </w:pPr>
      <w:r w:rsidRPr="0063034C">
        <w:rPr>
          <w:color w:val="000000"/>
          <w:sz w:val="28"/>
          <w:szCs w:val="28"/>
        </w:rPr>
        <w:t>· внедрению надежно работающей системы корпоративного управления, в том числе и в целях решения природоохранных проблем.</w:t>
      </w:r>
    </w:p>
    <w:p w:rsidR="0063034C" w:rsidRPr="0063034C" w:rsidRDefault="00561C13" w:rsidP="00561C13">
      <w:pPr>
        <w:pStyle w:val="a4"/>
        <w:numPr>
          <w:ilvl w:val="0"/>
          <w:numId w:val="9"/>
        </w:numPr>
        <w:shd w:val="clear" w:color="auto" w:fill="FFFFFF"/>
        <w:spacing w:line="360" w:lineRule="auto"/>
        <w:contextualSpacing/>
        <w:jc w:val="both"/>
        <w:rPr>
          <w:color w:val="000000"/>
          <w:sz w:val="28"/>
          <w:szCs w:val="28"/>
        </w:rPr>
      </w:pPr>
      <w:r>
        <w:rPr>
          <w:bCs/>
          <w:iCs/>
          <w:color w:val="000000"/>
          <w:sz w:val="28"/>
          <w:szCs w:val="28"/>
        </w:rPr>
        <w:t>Кредитование.</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ЕБРР предоставляет кредиты, условия которых учитывают конкретные требования проекта. Банк может взять кредитный риск либо полностью на свой баланс, либо синдицировать его часть на рынке. Кредит может обе</w:t>
      </w:r>
      <w:r w:rsidR="00561C13">
        <w:rPr>
          <w:color w:val="000000"/>
          <w:sz w:val="28"/>
          <w:szCs w:val="28"/>
        </w:rPr>
        <w:t xml:space="preserve">спечиваться активами спонсора </w:t>
      </w:r>
      <w:r w:rsidRPr="0063034C">
        <w:rPr>
          <w:color w:val="000000"/>
          <w:sz w:val="28"/>
          <w:szCs w:val="28"/>
        </w:rPr>
        <w:t>и быть конвертирован в акции, или предусматривать участие в акционерном капитале. Банк выдает кредиты (и вследствие этого требует возврата их) в любой из валют, главным образом, в долларах США, германских марках и ЭКЮ, но в настоящее время он уже начал фондировать кредиты или привлекать для них средства в ряде местных валют.</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При кредитовании коммерческих предприятий Банк обычно не требует гарантий от конкретного правительства страны, и, как правило, кредиты предоставляются без права обращения взыскания на иностранных спонсоров после начала осуществления проекта. Основанием для выдачи кредита являются движение денежной наличности по проекту и предусмотренная в проекте возможность погасить кредит в течение оговоренного срока. Кредиты таких международных учреждений, как ЕБРР, по традиции исключаются из сумм государственного долга при реструктуризации его, и таким образом эти учреждения имеют статус привилегированного кредитора. Когда ЕБРР выступает головным кредитором, преимуществами статуса привилегированного кредитора могут пользоваться и банки, участвующие в выданных ЕБРР кредитах заемщикам из частного сектора.</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Расценки на кредит и схемы проектов рассматриваются в совокупности друг с другом, поскольку они связаны с рыночной конъюнктурой. Принимаются меры к выявлению и ограничению рисков по кредитам ЕБРР. Банк действует как коммерческое предприятие и предоставляет свои кредиты по рыночным ставкам с учетом таких рисков.</w:t>
      </w:r>
    </w:p>
    <w:p w:rsidR="00561C13"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 xml:space="preserve">При оценке рисков учитывается положение ЕБРР как международного учреждения и, в частности, его статус привилегированного кредитора. Процентные ставки устанавливаются с маржой свыше базовой </w:t>
      </w:r>
      <w:r w:rsidR="00561C13">
        <w:rPr>
          <w:color w:val="000000"/>
          <w:sz w:val="28"/>
          <w:szCs w:val="28"/>
        </w:rPr>
        <w:t>рыночной ставки (обычно ЛИБОР -</w:t>
      </w:r>
      <w:r w:rsidRPr="0063034C">
        <w:rPr>
          <w:color w:val="000000"/>
          <w:sz w:val="28"/>
          <w:szCs w:val="28"/>
        </w:rPr>
        <w:t xml:space="preserve"> лондонская межбанковская ставка пр</w:t>
      </w:r>
      <w:r w:rsidR="00561C13">
        <w:rPr>
          <w:color w:val="000000"/>
          <w:sz w:val="28"/>
          <w:szCs w:val="28"/>
        </w:rPr>
        <w:t>едложения).</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proofErr w:type="gramStart"/>
      <w:r w:rsidRPr="0063034C">
        <w:rPr>
          <w:color w:val="000000"/>
          <w:sz w:val="28"/>
          <w:szCs w:val="28"/>
        </w:rPr>
        <w:t>Кредиты могут предоставляться либо под плавающую, либо под фиксированную ставку, а также в сочетании с целым рядом инструментов хеджирования в зависимости от того, осуществляется ли операция на рынке производных ценных бумаг.</w:t>
      </w:r>
      <w:proofErr w:type="gramEnd"/>
      <w:r w:rsidRPr="0063034C">
        <w:rPr>
          <w:color w:val="000000"/>
          <w:sz w:val="28"/>
          <w:szCs w:val="28"/>
        </w:rPr>
        <w:t xml:space="preserve"> Льготные сроки погашения подлежат согласованию, а срочность кредитов обычно составляет от 5 до 10 лет в зависимости от требований конкретной операции. Погашение основной суммы обычно производится по частям равными долями каждые полгода. При кредитовании инфраструктурных проектов в исключительных случаях могут устанавливаться более длительные сроки погашения, например, до 15 лет.</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Осуществляя кредитную деятельность, ЕБРР:</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 использует разнообразные инструменты для гибкого кредитования на основе общепринятых в разных странах стандартов банковской деятельности;</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 гармонично сочетает реализацию задач, намеченных стратегией операций по секторам, с непредусмотренными стратегией операциями, поддерживающими инициативы частного сектора;</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 сотрудничает с частными инвесторами, их консультантами, а также с коммерческими банками;</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 сотрудничает с правительствами в осуществлении долгосрочных планов развития;</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 осуществляет взаимодействие с международными финансовыми организациями;</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 гармонично сочетает межгосударственный и региональный подходы;</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 стремится обеспечить сохранение и улучшение окружающей среды.</w:t>
      </w:r>
    </w:p>
    <w:p w:rsidR="0063034C" w:rsidRPr="00561C13" w:rsidRDefault="0063034C" w:rsidP="00561C13">
      <w:pPr>
        <w:pStyle w:val="a4"/>
        <w:numPr>
          <w:ilvl w:val="0"/>
          <w:numId w:val="9"/>
        </w:numPr>
        <w:shd w:val="clear" w:color="auto" w:fill="FFFFFF"/>
        <w:spacing w:line="360" w:lineRule="auto"/>
        <w:contextualSpacing/>
        <w:jc w:val="both"/>
        <w:rPr>
          <w:color w:val="000000"/>
          <w:sz w:val="28"/>
          <w:szCs w:val="28"/>
        </w:rPr>
      </w:pPr>
      <w:r w:rsidRPr="00561C13">
        <w:rPr>
          <w:rStyle w:val="apple-converted-space"/>
          <w:bCs/>
          <w:iCs/>
          <w:color w:val="000000"/>
          <w:sz w:val="28"/>
          <w:szCs w:val="28"/>
        </w:rPr>
        <w:t> </w:t>
      </w:r>
      <w:r w:rsidRPr="00561C13">
        <w:rPr>
          <w:bCs/>
          <w:iCs/>
          <w:color w:val="000000"/>
          <w:sz w:val="28"/>
          <w:szCs w:val="28"/>
        </w:rPr>
        <w:t>Инвестирование в акционерный капитал</w:t>
      </w:r>
      <w:r w:rsidR="00561C13">
        <w:rPr>
          <w:bCs/>
          <w:iCs/>
          <w:color w:val="000000"/>
          <w:sz w:val="28"/>
          <w:szCs w:val="28"/>
        </w:rPr>
        <w:t>.</w:t>
      </w:r>
    </w:p>
    <w:p w:rsidR="00561C13"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Инвестирование в акционерные капиталы может приобретать самые разные формы, включая подписку на обыкновенные или привилегированные акции. Предлагаются и инвестиции в акционерный капитал, начиная от субординированных кредитов, долговых обязательств и приносящих доход векселей и кончая свободно выкупаем</w:t>
      </w:r>
      <w:r w:rsidR="00561C13">
        <w:rPr>
          <w:color w:val="000000"/>
          <w:sz w:val="28"/>
          <w:szCs w:val="28"/>
        </w:rPr>
        <w:t>ыми привилегированными акциями.</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При приобретении пая в акционерном капитале ЕБРР рассчитывает на получение соответствующего дохода на вложенные средства. Он всегда имеет четкий план изъятия своих средств и всегда выступает в качестве мелкого вкладчика. ЕБРР может также гарантировать размещение акций, выпущенных государственным или частным предприятием. Гарантии ЕБРР могут помочь заемщикам в получении доступа к финансированию и распределению рисков в соответствии с пожеланиями ЕБРР и его партнеров по финансированию. При этом применяются те же кредитные критерии, что и для прямых кредитов.</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Банк готов рассмотреть возможность финансирования передачи акций действующих предприятий только в случаях их приватизации, когда такая передача явно повысит эффективность предприятия (например, путем совершенствования управления, реконструкции или расширения его под руководством новых владельцев или слияния его со структурами поглотившей его компании).</w:t>
      </w:r>
    </w:p>
    <w:p w:rsidR="0063034C" w:rsidRPr="00561C13" w:rsidRDefault="0063034C" w:rsidP="00561C13">
      <w:pPr>
        <w:pStyle w:val="a4"/>
        <w:numPr>
          <w:ilvl w:val="0"/>
          <w:numId w:val="9"/>
        </w:numPr>
        <w:shd w:val="clear" w:color="auto" w:fill="FFFFFF"/>
        <w:spacing w:line="360" w:lineRule="auto"/>
        <w:contextualSpacing/>
        <w:jc w:val="both"/>
        <w:rPr>
          <w:color w:val="000000"/>
          <w:sz w:val="28"/>
          <w:szCs w:val="28"/>
        </w:rPr>
      </w:pPr>
      <w:r w:rsidRPr="00561C13">
        <w:rPr>
          <w:bCs/>
          <w:iCs/>
          <w:color w:val="000000"/>
          <w:sz w:val="28"/>
          <w:szCs w:val="28"/>
        </w:rPr>
        <w:t>Предоставление гарантий,</w:t>
      </w:r>
      <w:r w:rsidRPr="00561C13">
        <w:rPr>
          <w:rStyle w:val="apple-converted-space"/>
          <w:bCs/>
          <w:iCs/>
          <w:color w:val="000000"/>
          <w:sz w:val="28"/>
          <w:szCs w:val="28"/>
        </w:rPr>
        <w:t> </w:t>
      </w:r>
      <w:r w:rsidRPr="00561C13">
        <w:rPr>
          <w:bCs/>
          <w:iCs/>
          <w:color w:val="000000"/>
          <w:sz w:val="28"/>
          <w:szCs w:val="28"/>
        </w:rPr>
        <w:t>страхование, обеспечение</w:t>
      </w:r>
      <w:r w:rsidR="00561C13">
        <w:rPr>
          <w:bCs/>
          <w:iCs/>
          <w:color w:val="000000"/>
          <w:sz w:val="28"/>
          <w:szCs w:val="28"/>
        </w:rPr>
        <w:t>.</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ЕБРР может помочь заемщикам в получении доступа к капиталу путем предоставления гарантий. Гарантии бывают различных типов, начиная от гарантий от всех рисков и заканчивая частичными гарантиями в отношении конкретных рисков, но во всех случаях максимальный риск должен быть известен и поддаваться измерению, а кредитный риск должен быть приемлемым.</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При финансировании ЕБРР требует от финансируемых им компаний или организаций обеспечения должного страхового покрытия обычно страхуемых рисков (например, риски, связанные с хищением фондов, пожаром, а также конкретные риски при строительстве). Он не требует страхования политического риска или неконвертируемости местной валюты.</w:t>
      </w:r>
    </w:p>
    <w:p w:rsidR="0063034C" w:rsidRDefault="0063034C" w:rsidP="0063034C">
      <w:pPr>
        <w:pStyle w:val="a4"/>
        <w:shd w:val="clear" w:color="auto" w:fill="FFFFFF"/>
        <w:spacing w:line="360" w:lineRule="auto"/>
        <w:ind w:firstLine="709"/>
        <w:contextualSpacing/>
        <w:jc w:val="both"/>
        <w:rPr>
          <w:color w:val="000000"/>
          <w:sz w:val="28"/>
          <w:szCs w:val="28"/>
        </w:rPr>
      </w:pPr>
      <w:proofErr w:type="gramStart"/>
      <w:r w:rsidRPr="0063034C">
        <w:rPr>
          <w:color w:val="000000"/>
          <w:sz w:val="28"/>
          <w:szCs w:val="28"/>
        </w:rPr>
        <w:t>ЕБРР обычно требует от финансируемых им компаний или организаций залогового обеспечения кредита активами проекта, к которым могут относиться следующие: закладная на основные фонды, закладная на движимое имущество, переуступка выручки компании в твердой и внутренней валютах, залог принадлежащих спонсору акций компании, а также переуступка прав компании на получение страхового возмещения и других вытекающих из договора выгод.</w:t>
      </w:r>
      <w:proofErr w:type="gramEnd"/>
    </w:p>
    <w:p w:rsidR="00561C13" w:rsidRPr="0063034C" w:rsidRDefault="00561C13" w:rsidP="0063034C">
      <w:pPr>
        <w:pStyle w:val="a4"/>
        <w:shd w:val="clear" w:color="auto" w:fill="FFFFFF"/>
        <w:spacing w:line="360" w:lineRule="auto"/>
        <w:ind w:firstLine="709"/>
        <w:contextualSpacing/>
        <w:jc w:val="both"/>
        <w:rPr>
          <w:color w:val="000000"/>
          <w:sz w:val="28"/>
          <w:szCs w:val="28"/>
        </w:rPr>
      </w:pPr>
    </w:p>
    <w:p w:rsidR="0063034C" w:rsidRPr="00561C13" w:rsidRDefault="00561C13" w:rsidP="0063034C">
      <w:pPr>
        <w:pStyle w:val="a4"/>
        <w:shd w:val="clear" w:color="auto" w:fill="FFFFFF"/>
        <w:spacing w:line="360" w:lineRule="auto"/>
        <w:ind w:firstLine="709"/>
        <w:contextualSpacing/>
        <w:jc w:val="both"/>
        <w:rPr>
          <w:color w:val="000000"/>
          <w:sz w:val="28"/>
          <w:szCs w:val="28"/>
        </w:rPr>
      </w:pPr>
      <w:r w:rsidRPr="00561C13">
        <w:rPr>
          <w:bCs/>
          <w:iCs/>
          <w:color w:val="000000"/>
          <w:sz w:val="28"/>
          <w:szCs w:val="28"/>
        </w:rPr>
        <w:t>Инструменты финансирования ЕБРР.</w:t>
      </w:r>
    </w:p>
    <w:p w:rsidR="00561C13" w:rsidRPr="003507EB" w:rsidRDefault="0063034C" w:rsidP="00561C13">
      <w:pPr>
        <w:pStyle w:val="a4"/>
        <w:shd w:val="clear" w:color="auto" w:fill="FFFFFF"/>
        <w:spacing w:line="360" w:lineRule="auto"/>
        <w:ind w:firstLine="709"/>
        <w:contextualSpacing/>
        <w:jc w:val="both"/>
        <w:rPr>
          <w:color w:val="000000"/>
          <w:sz w:val="28"/>
          <w:szCs w:val="28"/>
        </w:rPr>
      </w:pPr>
      <w:r w:rsidRPr="0063034C">
        <w:rPr>
          <w:color w:val="000000"/>
          <w:sz w:val="28"/>
          <w:szCs w:val="28"/>
        </w:rPr>
        <w:t xml:space="preserve">ЕБРР установил связи с целым рядом финансовых посредников для предоставления финансирования по проектам, которые слишком невелики для прямого финансирования. Это позволяет Банку поддерживать МСП, а эта категория предприятий имеет чрезвычайно </w:t>
      </w:r>
      <w:proofErr w:type="gramStart"/>
      <w:r w:rsidRPr="0063034C">
        <w:rPr>
          <w:color w:val="000000"/>
          <w:sz w:val="28"/>
          <w:szCs w:val="28"/>
        </w:rPr>
        <w:t>важное значение</w:t>
      </w:r>
      <w:proofErr w:type="gramEnd"/>
      <w:r w:rsidRPr="0063034C">
        <w:rPr>
          <w:color w:val="000000"/>
          <w:sz w:val="28"/>
          <w:szCs w:val="28"/>
        </w:rPr>
        <w:t xml:space="preserve"> для создания сильного частного сектора.</w:t>
      </w:r>
      <w:r w:rsidR="003507EB" w:rsidRPr="003507EB">
        <w:rPr>
          <w:color w:val="000000"/>
          <w:sz w:val="28"/>
          <w:szCs w:val="28"/>
        </w:rPr>
        <w:t>[3]</w:t>
      </w:r>
    </w:p>
    <w:p w:rsidR="00561C13" w:rsidRDefault="00561C13" w:rsidP="00561C13">
      <w:pPr>
        <w:pStyle w:val="a4"/>
        <w:shd w:val="clear" w:color="auto" w:fill="FFFFFF"/>
        <w:spacing w:line="360" w:lineRule="auto"/>
        <w:ind w:firstLine="709"/>
        <w:contextualSpacing/>
        <w:jc w:val="both"/>
        <w:rPr>
          <w:color w:val="000000"/>
          <w:sz w:val="28"/>
          <w:szCs w:val="28"/>
        </w:rPr>
      </w:pPr>
      <w:r>
        <w:rPr>
          <w:color w:val="000000"/>
          <w:sz w:val="28"/>
          <w:szCs w:val="28"/>
        </w:rPr>
        <w:t>1)</w:t>
      </w:r>
      <w:r w:rsidR="0063034C" w:rsidRPr="00561C13">
        <w:rPr>
          <w:color w:val="000000"/>
          <w:sz w:val="28"/>
          <w:szCs w:val="28"/>
        </w:rPr>
        <w:t>Кредитные линии.</w:t>
      </w:r>
      <w:r w:rsidR="0063034C" w:rsidRPr="0063034C">
        <w:rPr>
          <w:color w:val="000000"/>
          <w:sz w:val="28"/>
          <w:szCs w:val="28"/>
        </w:rPr>
        <w:t xml:space="preserve"> </w:t>
      </w:r>
    </w:p>
    <w:p w:rsidR="0063034C" w:rsidRPr="0063034C" w:rsidRDefault="0063034C" w:rsidP="00561C13">
      <w:pPr>
        <w:pStyle w:val="a4"/>
        <w:shd w:val="clear" w:color="auto" w:fill="FFFFFF"/>
        <w:spacing w:line="360" w:lineRule="auto"/>
        <w:ind w:firstLine="709"/>
        <w:contextualSpacing/>
        <w:jc w:val="both"/>
        <w:rPr>
          <w:color w:val="000000"/>
          <w:sz w:val="28"/>
          <w:szCs w:val="28"/>
        </w:rPr>
      </w:pPr>
      <w:r w:rsidRPr="0063034C">
        <w:rPr>
          <w:color w:val="000000"/>
          <w:sz w:val="28"/>
          <w:szCs w:val="28"/>
        </w:rPr>
        <w:t>ЕБРР напрямую предоставляет среднесрочное и долгосрочное финансирование в виде кредитных линий ряду финансовых посредников для удовлетворения соответствующего спроса на кредиты. В отдельных случаях аналогичное долгосрочное финансирование ЕБРР предоставляет и правительствам, которые затем направляют эти кредиты по каналам коммерческих или инвестиционных банков на цели финансирования частных МСП.</w:t>
      </w:r>
    </w:p>
    <w:p w:rsidR="00561C13" w:rsidRDefault="00561C13" w:rsidP="0063034C">
      <w:pPr>
        <w:pStyle w:val="a4"/>
        <w:shd w:val="clear" w:color="auto" w:fill="FFFFFF"/>
        <w:spacing w:line="360" w:lineRule="auto"/>
        <w:ind w:firstLine="709"/>
        <w:contextualSpacing/>
        <w:jc w:val="both"/>
        <w:rPr>
          <w:rStyle w:val="apple-converted-space"/>
          <w:color w:val="000000"/>
          <w:sz w:val="28"/>
          <w:szCs w:val="28"/>
        </w:rPr>
      </w:pPr>
      <w:r>
        <w:rPr>
          <w:color w:val="000000"/>
          <w:sz w:val="28"/>
          <w:szCs w:val="28"/>
        </w:rPr>
        <w:t>2)</w:t>
      </w:r>
      <w:r w:rsidR="0063034C" w:rsidRPr="00561C13">
        <w:rPr>
          <w:color w:val="000000"/>
          <w:sz w:val="28"/>
          <w:szCs w:val="28"/>
        </w:rPr>
        <w:t>Софинансирование.</w:t>
      </w:r>
      <w:r w:rsidR="0063034C" w:rsidRPr="00561C13">
        <w:rPr>
          <w:rStyle w:val="apple-converted-space"/>
          <w:color w:val="000000"/>
          <w:sz w:val="28"/>
          <w:szCs w:val="28"/>
        </w:rPr>
        <w:t> </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Время от времени ЕБРР заключает с местными банками и инвестиционными фондами рамочные соглашения о финансировании, по которым основная часть работы по обязательному обследованию подпроектов в значительной мере передается местному партнеру, но при принятии каждого решения о кредитовании учитываются принципы финансирования и кредитования ЕБРР.</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ЕБРР стремится привлекать софинансирующие организации к участию в своих операциях, т.к. свое участие в проектах в частном секторе он обычно ограничивает 35%. Действуя в качестве катализатора по привлечению в регион других инвесторов, ЕБРР может использовать свои средства для поддержки более широкого круга проектов. В результате успешного привлечения из внешних источников капитала для финансирования проектов, спонсором которых выступает Банк, возрастает общий объем средств, предоставляемых на финансирование других проектов. К потенциальным внешним источникам финансирования относятся коммерческие банки и финансовые учреждения, экспортно-кредитные агентства и другие официальные источники (государственные программы содействия в целях развития).</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 xml:space="preserve">Софинансирование способствует ознакомлению международных рынков капитала и коммерческих кредиторов с заемщиками в странах операций и привлекает прямые иностранные инвестиции. </w:t>
      </w:r>
      <w:proofErr w:type="gramStart"/>
      <w:r w:rsidRPr="0063034C">
        <w:rPr>
          <w:color w:val="000000"/>
          <w:sz w:val="28"/>
          <w:szCs w:val="28"/>
        </w:rPr>
        <w:t>Для многих заемщиков доступ к коммерческому софинансированию, предоставляемому международным финансовым учреждением, является первым шагом на пути к получению самостоятельного выхода на рынки коммерческого капитала.</w:t>
      </w:r>
      <w:proofErr w:type="gramEnd"/>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Внешнее финансирование поступает из коммерческих и официальных источников. Основными партнерами ЕБРР по софинансированию, помимо частных компаний, являются коммерческие банки (например, в качестве участников консорциумов ЕБРР), другие международные финансовые организации, двусторонние финансовые учреждения или государственные программы содействия развитию, а также экспортно-кредитные агентства, занимающиеся прямым кредитованием.</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ЕБРР на протяжении всего периода своей деятельности установил хорошие рабочие отношения с ведущими коммерческими банками и другими организациями и компаниями, действующими в регионе.</w:t>
      </w:r>
    </w:p>
    <w:p w:rsidR="00561C13" w:rsidRDefault="00561C13" w:rsidP="0063034C">
      <w:pPr>
        <w:pStyle w:val="a4"/>
        <w:shd w:val="clear" w:color="auto" w:fill="FFFFFF"/>
        <w:spacing w:line="360" w:lineRule="auto"/>
        <w:ind w:firstLine="709"/>
        <w:contextualSpacing/>
        <w:jc w:val="both"/>
        <w:rPr>
          <w:color w:val="000000"/>
          <w:sz w:val="28"/>
          <w:szCs w:val="28"/>
        </w:rPr>
      </w:pPr>
      <w:r>
        <w:rPr>
          <w:color w:val="000000"/>
          <w:sz w:val="28"/>
          <w:szCs w:val="28"/>
        </w:rPr>
        <w:t>3)</w:t>
      </w:r>
      <w:r w:rsidR="0063034C" w:rsidRPr="00561C13">
        <w:rPr>
          <w:color w:val="000000"/>
          <w:sz w:val="28"/>
          <w:szCs w:val="28"/>
        </w:rPr>
        <w:t>Долевое участие в инвестиционных фондах</w:t>
      </w:r>
      <w:r w:rsidR="0063034C" w:rsidRPr="0063034C">
        <w:rPr>
          <w:color w:val="000000"/>
          <w:sz w:val="28"/>
          <w:szCs w:val="28"/>
        </w:rPr>
        <w:t xml:space="preserve">. </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ЕБРР принимает участие в инвестиционных фондах, которые в свою очередь вкладывают капитал в частные средние компании, нуждающиеся в расширении.</w:t>
      </w:r>
    </w:p>
    <w:p w:rsidR="00561C13" w:rsidRDefault="00561C13" w:rsidP="0063034C">
      <w:pPr>
        <w:pStyle w:val="a4"/>
        <w:shd w:val="clear" w:color="auto" w:fill="FFFFFF"/>
        <w:spacing w:line="360" w:lineRule="auto"/>
        <w:ind w:firstLine="709"/>
        <w:contextualSpacing/>
        <w:jc w:val="both"/>
        <w:rPr>
          <w:color w:val="000000"/>
          <w:sz w:val="28"/>
          <w:szCs w:val="28"/>
        </w:rPr>
      </w:pPr>
      <w:r>
        <w:rPr>
          <w:color w:val="000000"/>
          <w:sz w:val="28"/>
          <w:szCs w:val="28"/>
        </w:rPr>
        <w:t>4)</w:t>
      </w:r>
      <w:r w:rsidR="0063034C" w:rsidRPr="00561C13">
        <w:rPr>
          <w:color w:val="000000"/>
          <w:sz w:val="28"/>
          <w:szCs w:val="28"/>
        </w:rPr>
        <w:t>Содействие торговле</w:t>
      </w:r>
      <w:r w:rsidR="0063034C" w:rsidRPr="0063034C">
        <w:rPr>
          <w:color w:val="000000"/>
          <w:sz w:val="28"/>
          <w:szCs w:val="28"/>
        </w:rPr>
        <w:t xml:space="preserve">. </w:t>
      </w:r>
    </w:p>
    <w:p w:rsidR="0063034C" w:rsidRPr="0063034C" w:rsidRDefault="0063034C" w:rsidP="0063034C">
      <w:pPr>
        <w:pStyle w:val="a4"/>
        <w:shd w:val="clear" w:color="auto" w:fill="FFFFFF"/>
        <w:spacing w:line="360" w:lineRule="auto"/>
        <w:ind w:firstLine="709"/>
        <w:contextualSpacing/>
        <w:jc w:val="both"/>
        <w:rPr>
          <w:color w:val="000000"/>
          <w:sz w:val="28"/>
          <w:szCs w:val="28"/>
        </w:rPr>
      </w:pPr>
      <w:r w:rsidRPr="0063034C">
        <w:rPr>
          <w:color w:val="000000"/>
          <w:sz w:val="28"/>
          <w:szCs w:val="28"/>
        </w:rPr>
        <w:t>С помощью своих программ содействия торговле ЕБРР стремится помочь местным банкам приобрести надежную репутацию и получить более широкий выход на международные финансовые рынки. В рамках этих программ ЕБРР обычно выдает гарантии частичной оплаты организуемых участвующими местными банками сделок, расчеты по которым осуществляются с помощью аккредитивов.</w:t>
      </w:r>
    </w:p>
    <w:p w:rsidR="00F65B33" w:rsidRDefault="00F65B33" w:rsidP="00385DE5">
      <w:pPr>
        <w:spacing w:line="360" w:lineRule="auto"/>
        <w:jc w:val="both"/>
        <w:rPr>
          <w:sz w:val="28"/>
          <w:szCs w:val="28"/>
        </w:rPr>
      </w:pPr>
    </w:p>
    <w:p w:rsidR="00F65B33" w:rsidRDefault="00F65B33" w:rsidP="00385DE5">
      <w:pPr>
        <w:spacing w:line="360" w:lineRule="auto"/>
        <w:jc w:val="both"/>
        <w:rPr>
          <w:sz w:val="28"/>
          <w:szCs w:val="28"/>
        </w:rPr>
      </w:pPr>
    </w:p>
    <w:p w:rsidR="00F65B33" w:rsidRDefault="00F65B33" w:rsidP="00385DE5">
      <w:pPr>
        <w:spacing w:line="360" w:lineRule="auto"/>
        <w:jc w:val="both"/>
        <w:rPr>
          <w:sz w:val="28"/>
          <w:szCs w:val="28"/>
        </w:rPr>
      </w:pPr>
    </w:p>
    <w:p w:rsidR="00561C13" w:rsidRDefault="00561C13" w:rsidP="00F65B33">
      <w:pPr>
        <w:spacing w:line="360" w:lineRule="auto"/>
        <w:jc w:val="center"/>
        <w:rPr>
          <w:b/>
          <w:sz w:val="32"/>
          <w:szCs w:val="32"/>
        </w:rPr>
      </w:pPr>
    </w:p>
    <w:p w:rsidR="00561C13" w:rsidRDefault="00561C13" w:rsidP="00F65B33">
      <w:pPr>
        <w:spacing w:line="360" w:lineRule="auto"/>
        <w:jc w:val="center"/>
        <w:rPr>
          <w:b/>
          <w:sz w:val="32"/>
          <w:szCs w:val="32"/>
        </w:rPr>
      </w:pPr>
    </w:p>
    <w:p w:rsidR="00561C13" w:rsidRDefault="00561C13" w:rsidP="00F65B33">
      <w:pPr>
        <w:spacing w:line="360" w:lineRule="auto"/>
        <w:jc w:val="center"/>
        <w:rPr>
          <w:b/>
          <w:sz w:val="32"/>
          <w:szCs w:val="32"/>
        </w:rPr>
      </w:pPr>
    </w:p>
    <w:p w:rsidR="00561C13" w:rsidRDefault="00561C13" w:rsidP="00F65B33">
      <w:pPr>
        <w:spacing w:line="360" w:lineRule="auto"/>
        <w:jc w:val="center"/>
        <w:rPr>
          <w:b/>
          <w:sz w:val="32"/>
          <w:szCs w:val="32"/>
        </w:rPr>
      </w:pPr>
    </w:p>
    <w:p w:rsidR="00561C13" w:rsidRDefault="00561C13" w:rsidP="00F65B33">
      <w:pPr>
        <w:spacing w:line="360" w:lineRule="auto"/>
        <w:jc w:val="center"/>
        <w:rPr>
          <w:b/>
          <w:sz w:val="32"/>
          <w:szCs w:val="32"/>
        </w:rPr>
      </w:pPr>
    </w:p>
    <w:p w:rsidR="00F65B33" w:rsidRPr="00F65B33" w:rsidRDefault="00F65B33" w:rsidP="00F65B33">
      <w:pPr>
        <w:spacing w:line="360" w:lineRule="auto"/>
        <w:jc w:val="center"/>
        <w:rPr>
          <w:b/>
          <w:sz w:val="32"/>
          <w:szCs w:val="32"/>
        </w:rPr>
      </w:pPr>
      <w:r w:rsidRPr="00F65B33">
        <w:rPr>
          <w:b/>
          <w:sz w:val="32"/>
          <w:szCs w:val="32"/>
        </w:rPr>
        <w:t xml:space="preserve">Глава 2. Анализ деятельности ЕБРР в </w:t>
      </w:r>
      <w:r w:rsidR="001F666A">
        <w:rPr>
          <w:b/>
          <w:sz w:val="32"/>
          <w:szCs w:val="32"/>
        </w:rPr>
        <w:t>странах с переходной экономикой</w:t>
      </w:r>
    </w:p>
    <w:p w:rsidR="00F65B33" w:rsidRDefault="00F65B33" w:rsidP="00F65B33">
      <w:pPr>
        <w:spacing w:line="360" w:lineRule="auto"/>
        <w:jc w:val="center"/>
        <w:rPr>
          <w:b/>
          <w:sz w:val="28"/>
          <w:szCs w:val="28"/>
        </w:rPr>
      </w:pPr>
      <w:r w:rsidRPr="00F65B33">
        <w:rPr>
          <w:b/>
          <w:sz w:val="28"/>
          <w:szCs w:val="28"/>
        </w:rPr>
        <w:t xml:space="preserve">2.1 Результаты операционной </w:t>
      </w:r>
      <w:r w:rsidR="00641CAC" w:rsidRPr="00F65B33">
        <w:rPr>
          <w:b/>
          <w:sz w:val="28"/>
          <w:szCs w:val="28"/>
        </w:rPr>
        <w:t>деятельности</w:t>
      </w:r>
      <w:r w:rsidRPr="00F65B33">
        <w:rPr>
          <w:b/>
          <w:sz w:val="28"/>
          <w:szCs w:val="28"/>
        </w:rPr>
        <w:t xml:space="preserve"> ЕБРР</w:t>
      </w:r>
      <w:r w:rsidR="00641CAC">
        <w:rPr>
          <w:b/>
          <w:sz w:val="28"/>
          <w:szCs w:val="28"/>
        </w:rPr>
        <w:t xml:space="preserve"> за 2012-2013 </w:t>
      </w:r>
      <w:proofErr w:type="gramStart"/>
      <w:r w:rsidR="00641CAC">
        <w:rPr>
          <w:b/>
          <w:sz w:val="28"/>
          <w:szCs w:val="28"/>
        </w:rPr>
        <w:t>гг</w:t>
      </w:r>
      <w:proofErr w:type="gramEnd"/>
    </w:p>
    <w:p w:rsidR="00641CAC" w:rsidRPr="003507EB" w:rsidRDefault="00F65B33" w:rsidP="0027005B">
      <w:pPr>
        <w:spacing w:line="360" w:lineRule="auto"/>
        <w:ind w:firstLine="709"/>
        <w:contextualSpacing/>
        <w:jc w:val="both"/>
        <w:rPr>
          <w:sz w:val="28"/>
          <w:szCs w:val="28"/>
          <w:lang w:val="en-US"/>
        </w:rPr>
      </w:pPr>
      <w:r>
        <w:rPr>
          <w:sz w:val="28"/>
          <w:szCs w:val="28"/>
        </w:rPr>
        <w:t>Приоритетной задачей ЕБРР является</w:t>
      </w:r>
      <w:r w:rsidRPr="00F65B33">
        <w:rPr>
          <w:sz w:val="28"/>
          <w:szCs w:val="28"/>
        </w:rPr>
        <w:t xml:space="preserve"> сохранение его позиций </w:t>
      </w:r>
      <w:r>
        <w:rPr>
          <w:sz w:val="28"/>
          <w:szCs w:val="28"/>
        </w:rPr>
        <w:t xml:space="preserve">в качестве надежного партнера, </w:t>
      </w:r>
      <w:r w:rsidRPr="00F65B33">
        <w:rPr>
          <w:sz w:val="28"/>
          <w:szCs w:val="28"/>
        </w:rPr>
        <w:t>способного ок</w:t>
      </w:r>
      <w:r>
        <w:rPr>
          <w:sz w:val="28"/>
          <w:szCs w:val="28"/>
        </w:rPr>
        <w:t xml:space="preserve">азать своим клиентам и странам </w:t>
      </w:r>
      <w:r w:rsidRPr="00F65B33">
        <w:rPr>
          <w:sz w:val="28"/>
          <w:szCs w:val="28"/>
        </w:rPr>
        <w:t>операций со</w:t>
      </w:r>
      <w:r>
        <w:rPr>
          <w:sz w:val="28"/>
          <w:szCs w:val="28"/>
        </w:rPr>
        <w:t xml:space="preserve">действие в возвращении на путь </w:t>
      </w:r>
      <w:r w:rsidRPr="00F65B33">
        <w:rPr>
          <w:sz w:val="28"/>
          <w:szCs w:val="28"/>
        </w:rPr>
        <w:t>устойчивого э</w:t>
      </w:r>
      <w:r>
        <w:rPr>
          <w:sz w:val="28"/>
          <w:szCs w:val="28"/>
        </w:rPr>
        <w:t>кономического роста в будущем. В</w:t>
      </w:r>
      <w:r w:rsidRPr="00F65B33">
        <w:rPr>
          <w:sz w:val="28"/>
          <w:szCs w:val="28"/>
        </w:rPr>
        <w:t xml:space="preserve"> </w:t>
      </w:r>
      <w:r w:rsidR="001716C5">
        <w:rPr>
          <w:sz w:val="28"/>
          <w:szCs w:val="28"/>
        </w:rPr>
        <w:t>2012</w:t>
      </w:r>
      <w:r w:rsidRPr="00F65B33">
        <w:rPr>
          <w:sz w:val="28"/>
          <w:szCs w:val="28"/>
        </w:rPr>
        <w:t xml:space="preserve"> г</w:t>
      </w:r>
      <w:r>
        <w:rPr>
          <w:sz w:val="28"/>
          <w:szCs w:val="28"/>
        </w:rPr>
        <w:t xml:space="preserve">оду Банк добился высоких </w:t>
      </w:r>
      <w:r w:rsidRPr="00F65B33">
        <w:rPr>
          <w:sz w:val="28"/>
          <w:szCs w:val="28"/>
        </w:rPr>
        <w:t>результат</w:t>
      </w:r>
      <w:r>
        <w:rPr>
          <w:sz w:val="28"/>
          <w:szCs w:val="28"/>
        </w:rPr>
        <w:t xml:space="preserve">ов, предоставив финансирование </w:t>
      </w:r>
      <w:r w:rsidRPr="00F65B33">
        <w:rPr>
          <w:sz w:val="28"/>
          <w:szCs w:val="28"/>
        </w:rPr>
        <w:t>в объеме 8,9 млрд. евро почти 400 клиентам в более чем 30</w:t>
      </w:r>
      <w:r>
        <w:rPr>
          <w:sz w:val="28"/>
          <w:szCs w:val="28"/>
        </w:rPr>
        <w:t xml:space="preserve"> странах, расширив свой мандат </w:t>
      </w:r>
      <w:r w:rsidRPr="00F65B33">
        <w:rPr>
          <w:sz w:val="28"/>
          <w:szCs w:val="28"/>
        </w:rPr>
        <w:t>для охвата новых стран – потенциаль</w:t>
      </w:r>
      <w:r>
        <w:rPr>
          <w:sz w:val="28"/>
          <w:szCs w:val="28"/>
        </w:rPr>
        <w:t xml:space="preserve">ных </w:t>
      </w:r>
      <w:r w:rsidRPr="00F65B33">
        <w:rPr>
          <w:sz w:val="28"/>
          <w:szCs w:val="28"/>
        </w:rPr>
        <w:t>полу</w:t>
      </w:r>
      <w:r>
        <w:rPr>
          <w:sz w:val="28"/>
          <w:szCs w:val="28"/>
        </w:rPr>
        <w:t>чателей фин</w:t>
      </w:r>
      <w:r w:rsidR="00641CAC">
        <w:rPr>
          <w:sz w:val="28"/>
          <w:szCs w:val="28"/>
        </w:rPr>
        <w:t xml:space="preserve">ансовых </w:t>
      </w:r>
      <w:r>
        <w:rPr>
          <w:sz w:val="28"/>
          <w:szCs w:val="28"/>
        </w:rPr>
        <w:t xml:space="preserve">ресурсов и завершив </w:t>
      </w:r>
      <w:r w:rsidRPr="00F65B33">
        <w:rPr>
          <w:sz w:val="28"/>
          <w:szCs w:val="28"/>
        </w:rPr>
        <w:t>год в по</w:t>
      </w:r>
      <w:r>
        <w:rPr>
          <w:sz w:val="28"/>
          <w:szCs w:val="28"/>
        </w:rPr>
        <w:t xml:space="preserve">лной готовности для выполнения </w:t>
      </w:r>
      <w:r w:rsidR="00641CAC">
        <w:rPr>
          <w:sz w:val="28"/>
          <w:szCs w:val="28"/>
        </w:rPr>
        <w:t xml:space="preserve">предстоящих задач. </w:t>
      </w:r>
      <w:r w:rsidR="003507EB">
        <w:rPr>
          <w:sz w:val="28"/>
          <w:szCs w:val="28"/>
          <w:lang w:val="en-US"/>
        </w:rPr>
        <w:t>[4]</w:t>
      </w:r>
    </w:p>
    <w:p w:rsidR="00F65B33" w:rsidRPr="00F65B33" w:rsidRDefault="00641CAC" w:rsidP="0027005B">
      <w:pPr>
        <w:spacing w:line="360" w:lineRule="auto"/>
        <w:ind w:firstLine="709"/>
        <w:contextualSpacing/>
        <w:jc w:val="both"/>
        <w:rPr>
          <w:sz w:val="28"/>
          <w:szCs w:val="28"/>
        </w:rPr>
      </w:pPr>
      <w:r>
        <w:rPr>
          <w:sz w:val="28"/>
          <w:szCs w:val="28"/>
        </w:rPr>
        <w:t>В</w:t>
      </w:r>
      <w:r w:rsidR="001716C5">
        <w:rPr>
          <w:sz w:val="28"/>
          <w:szCs w:val="28"/>
        </w:rPr>
        <w:t xml:space="preserve"> 2013</w:t>
      </w:r>
      <w:r w:rsidR="00F65B33" w:rsidRPr="00F65B33">
        <w:rPr>
          <w:sz w:val="28"/>
          <w:szCs w:val="28"/>
        </w:rPr>
        <w:t xml:space="preserve"> году ЕБРР продолжал демонстрировать высокие</w:t>
      </w:r>
      <w:r>
        <w:rPr>
          <w:sz w:val="28"/>
          <w:szCs w:val="28"/>
        </w:rPr>
        <w:t xml:space="preserve"> </w:t>
      </w:r>
      <w:r w:rsidR="00F65B33" w:rsidRPr="00F65B33">
        <w:rPr>
          <w:sz w:val="28"/>
          <w:szCs w:val="28"/>
        </w:rPr>
        <w:t>операционные результаты, обеспечивая эффективную</w:t>
      </w:r>
      <w:r>
        <w:rPr>
          <w:sz w:val="28"/>
          <w:szCs w:val="28"/>
        </w:rPr>
        <w:t xml:space="preserve"> </w:t>
      </w:r>
      <w:r w:rsidR="00F65B33" w:rsidRPr="00F65B33">
        <w:rPr>
          <w:sz w:val="28"/>
          <w:szCs w:val="28"/>
        </w:rPr>
        <w:t>поддержку клиентов в экономической ситуации, которая</w:t>
      </w:r>
      <w:r>
        <w:rPr>
          <w:sz w:val="28"/>
          <w:szCs w:val="28"/>
        </w:rPr>
        <w:t xml:space="preserve"> </w:t>
      </w:r>
      <w:r w:rsidRPr="00F65B33">
        <w:rPr>
          <w:sz w:val="28"/>
          <w:szCs w:val="28"/>
        </w:rPr>
        <w:t>по</w:t>
      </w:r>
      <w:r w:rsidRPr="00F65B33">
        <w:rPr>
          <w:rFonts w:ascii="MS Mincho" w:eastAsia="MS Mincho" w:hAnsi="MS Mincho" w:cs="MS Mincho" w:hint="eastAsia"/>
          <w:sz w:val="28"/>
          <w:szCs w:val="28"/>
        </w:rPr>
        <w:t>-</w:t>
      </w:r>
      <w:r w:rsidRPr="00F65B33">
        <w:rPr>
          <w:sz w:val="28"/>
          <w:szCs w:val="28"/>
        </w:rPr>
        <w:t>прежнему</w:t>
      </w:r>
      <w:r w:rsidR="00F65B33" w:rsidRPr="00F65B33">
        <w:rPr>
          <w:sz w:val="28"/>
          <w:szCs w:val="28"/>
        </w:rPr>
        <w:t xml:space="preserve"> вызывала серьезные трудности для стран</w:t>
      </w:r>
      <w:r>
        <w:rPr>
          <w:sz w:val="28"/>
          <w:szCs w:val="28"/>
        </w:rPr>
        <w:t xml:space="preserve"> операций Банка.</w:t>
      </w:r>
      <w:r w:rsidR="00F65B33" w:rsidRPr="00F65B33">
        <w:rPr>
          <w:sz w:val="28"/>
          <w:szCs w:val="28"/>
        </w:rPr>
        <w:t xml:space="preserve"> </w:t>
      </w:r>
    </w:p>
    <w:p w:rsidR="0027005B" w:rsidRDefault="00995D94" w:rsidP="0027005B">
      <w:pPr>
        <w:spacing w:line="360" w:lineRule="auto"/>
        <w:ind w:firstLine="709"/>
        <w:contextualSpacing/>
        <w:jc w:val="both"/>
        <w:rPr>
          <w:sz w:val="28"/>
          <w:szCs w:val="28"/>
        </w:rPr>
      </w:pPr>
      <w:r>
        <w:rPr>
          <w:sz w:val="28"/>
          <w:szCs w:val="28"/>
        </w:rPr>
        <w:t>В соответствии с</w:t>
      </w:r>
      <w:r w:rsidR="00F65B33" w:rsidRPr="00F65B33">
        <w:rPr>
          <w:sz w:val="28"/>
          <w:szCs w:val="28"/>
        </w:rPr>
        <w:t xml:space="preserve">о статьей 18 </w:t>
      </w:r>
      <w:r>
        <w:rPr>
          <w:sz w:val="28"/>
          <w:szCs w:val="28"/>
        </w:rPr>
        <w:t>Соглашения об учреждении ЕБРР,</w:t>
      </w:r>
      <w:r w:rsidR="00F65B33" w:rsidRPr="00F65B33">
        <w:rPr>
          <w:sz w:val="28"/>
          <w:szCs w:val="28"/>
        </w:rPr>
        <w:t xml:space="preserve"> Банк</w:t>
      </w:r>
      <w:r w:rsidR="00641CAC">
        <w:rPr>
          <w:sz w:val="28"/>
          <w:szCs w:val="28"/>
        </w:rPr>
        <w:t xml:space="preserve"> </w:t>
      </w:r>
      <w:r w:rsidR="00F65B33" w:rsidRPr="00F65B33">
        <w:rPr>
          <w:sz w:val="28"/>
          <w:szCs w:val="28"/>
        </w:rPr>
        <w:t>продолжал закладывать основу для будущего роста в регионе</w:t>
      </w:r>
      <w:r w:rsidR="00641CAC">
        <w:rPr>
          <w:sz w:val="28"/>
          <w:szCs w:val="28"/>
        </w:rPr>
        <w:t xml:space="preserve"> </w:t>
      </w:r>
      <w:r w:rsidR="00F65B33" w:rsidRPr="00F65B33">
        <w:rPr>
          <w:sz w:val="28"/>
          <w:szCs w:val="28"/>
        </w:rPr>
        <w:t>Южного и восточного Средиземноморья (ЮвС) путем создания</w:t>
      </w:r>
      <w:r w:rsidR="00641CAC">
        <w:rPr>
          <w:sz w:val="28"/>
          <w:szCs w:val="28"/>
        </w:rPr>
        <w:t xml:space="preserve"> </w:t>
      </w:r>
      <w:r w:rsidR="00F65B33" w:rsidRPr="00F65B33">
        <w:rPr>
          <w:sz w:val="28"/>
          <w:szCs w:val="28"/>
        </w:rPr>
        <w:t>Специального инвестиционного фонда для ЮвС (СИФ ЮвС),</w:t>
      </w:r>
      <w:r w:rsidR="00641CAC">
        <w:rPr>
          <w:sz w:val="28"/>
          <w:szCs w:val="28"/>
        </w:rPr>
        <w:t xml:space="preserve"> </w:t>
      </w:r>
      <w:r w:rsidR="00F65B33" w:rsidRPr="00F65B33">
        <w:rPr>
          <w:sz w:val="28"/>
          <w:szCs w:val="28"/>
        </w:rPr>
        <w:t>который позволит финансировать в этом регионе проекты до</w:t>
      </w:r>
      <w:r w:rsidR="00641CAC">
        <w:rPr>
          <w:sz w:val="28"/>
          <w:szCs w:val="28"/>
        </w:rPr>
        <w:t xml:space="preserve"> </w:t>
      </w:r>
      <w:r w:rsidR="00F65B33" w:rsidRPr="00F65B33">
        <w:rPr>
          <w:sz w:val="28"/>
          <w:szCs w:val="28"/>
        </w:rPr>
        <w:t>того момента, когда эти государства станут странами операций.</w:t>
      </w:r>
      <w:r w:rsidR="00641CAC">
        <w:rPr>
          <w:sz w:val="28"/>
          <w:szCs w:val="28"/>
        </w:rPr>
        <w:t xml:space="preserve"> Т</w:t>
      </w:r>
      <w:r w:rsidR="00F65B33" w:rsidRPr="00F65B33">
        <w:rPr>
          <w:sz w:val="28"/>
          <w:szCs w:val="28"/>
        </w:rPr>
        <w:t>ретий год подряд ЕБРР сохраняет годовой объем</w:t>
      </w:r>
      <w:r w:rsidR="00641CAC">
        <w:rPr>
          <w:sz w:val="28"/>
          <w:szCs w:val="28"/>
        </w:rPr>
        <w:t xml:space="preserve"> </w:t>
      </w:r>
      <w:r w:rsidR="00F65B33" w:rsidRPr="00F65B33">
        <w:rPr>
          <w:sz w:val="28"/>
          <w:szCs w:val="28"/>
        </w:rPr>
        <w:t>сделок на уровне около 9 млрд. евро (8,92 млрд. евро по</w:t>
      </w:r>
      <w:r w:rsidR="00641CAC">
        <w:rPr>
          <w:sz w:val="28"/>
          <w:szCs w:val="28"/>
        </w:rPr>
        <w:t xml:space="preserve"> </w:t>
      </w:r>
      <w:r w:rsidR="00F65B33" w:rsidRPr="00F65B33">
        <w:rPr>
          <w:sz w:val="28"/>
          <w:szCs w:val="28"/>
        </w:rPr>
        <w:t>ср</w:t>
      </w:r>
      <w:r w:rsidR="001716C5">
        <w:rPr>
          <w:sz w:val="28"/>
          <w:szCs w:val="28"/>
        </w:rPr>
        <w:t>авнению с 9,05 млрд. евро в 2012</w:t>
      </w:r>
      <w:r w:rsidR="00F65B33" w:rsidRPr="00F65B33">
        <w:rPr>
          <w:sz w:val="28"/>
          <w:szCs w:val="28"/>
        </w:rPr>
        <w:t xml:space="preserve"> году), что достигнуто</w:t>
      </w:r>
      <w:r w:rsidR="00641CAC">
        <w:rPr>
          <w:sz w:val="28"/>
          <w:szCs w:val="28"/>
        </w:rPr>
        <w:t xml:space="preserve"> </w:t>
      </w:r>
      <w:r w:rsidR="00F65B33" w:rsidRPr="00F65B33">
        <w:rPr>
          <w:sz w:val="28"/>
          <w:szCs w:val="28"/>
        </w:rPr>
        <w:t>благодаря рекордному числу проектов – 393 по сравнению</w:t>
      </w:r>
      <w:r w:rsidR="00641CAC">
        <w:rPr>
          <w:sz w:val="28"/>
          <w:szCs w:val="28"/>
        </w:rPr>
        <w:t xml:space="preserve"> </w:t>
      </w:r>
      <w:r w:rsidR="001716C5">
        <w:rPr>
          <w:sz w:val="28"/>
          <w:szCs w:val="28"/>
        </w:rPr>
        <w:t xml:space="preserve">с 380 в 2012 году. </w:t>
      </w:r>
      <w:proofErr w:type="gramStart"/>
      <w:r w:rsidR="001716C5">
        <w:rPr>
          <w:sz w:val="28"/>
          <w:szCs w:val="28"/>
        </w:rPr>
        <w:t>В</w:t>
      </w:r>
      <w:r w:rsidR="00F65B33" w:rsidRPr="00F65B33">
        <w:rPr>
          <w:sz w:val="28"/>
          <w:szCs w:val="28"/>
        </w:rPr>
        <w:t xml:space="preserve"> эту общую сумму входят первые шесть</w:t>
      </w:r>
      <w:r w:rsidR="00641CAC">
        <w:rPr>
          <w:sz w:val="28"/>
          <w:szCs w:val="28"/>
        </w:rPr>
        <w:t xml:space="preserve"> </w:t>
      </w:r>
      <w:r w:rsidR="00F65B33" w:rsidRPr="00F65B33">
        <w:rPr>
          <w:sz w:val="28"/>
          <w:szCs w:val="28"/>
        </w:rPr>
        <w:t>ассигнований в размере 181 млн. евро, выделенных для</w:t>
      </w:r>
      <w:r w:rsidR="00641CAC">
        <w:rPr>
          <w:sz w:val="28"/>
          <w:szCs w:val="28"/>
        </w:rPr>
        <w:t xml:space="preserve"> </w:t>
      </w:r>
      <w:r w:rsidR="00F65B33" w:rsidRPr="00F65B33">
        <w:rPr>
          <w:sz w:val="28"/>
          <w:szCs w:val="28"/>
        </w:rPr>
        <w:t>четырех потенциальных стран – получателей финансирования</w:t>
      </w:r>
      <w:r w:rsidR="00641CAC">
        <w:rPr>
          <w:sz w:val="28"/>
          <w:szCs w:val="28"/>
        </w:rPr>
        <w:t xml:space="preserve"> </w:t>
      </w:r>
      <w:r w:rsidR="00F65B33" w:rsidRPr="00F65B33">
        <w:rPr>
          <w:sz w:val="28"/>
          <w:szCs w:val="28"/>
        </w:rPr>
        <w:t>ЕБРР в регионе ЮвС, в то время как процесс утверждения</w:t>
      </w:r>
      <w:r w:rsidR="0027005B">
        <w:rPr>
          <w:sz w:val="28"/>
          <w:szCs w:val="28"/>
        </w:rPr>
        <w:t xml:space="preserve"> </w:t>
      </w:r>
      <w:r w:rsidR="00F65B33" w:rsidRPr="00F65B33">
        <w:rPr>
          <w:sz w:val="28"/>
          <w:szCs w:val="28"/>
        </w:rPr>
        <w:t>проектов в полном объеме начался лишь в последнем</w:t>
      </w:r>
      <w:r w:rsidR="0027005B">
        <w:rPr>
          <w:sz w:val="28"/>
          <w:szCs w:val="28"/>
        </w:rPr>
        <w:t xml:space="preserve"> </w:t>
      </w:r>
      <w:r w:rsidR="00F65B33" w:rsidRPr="00F65B33">
        <w:rPr>
          <w:sz w:val="28"/>
          <w:szCs w:val="28"/>
        </w:rPr>
        <w:t>квартале отчетного года после принятия необходимых</w:t>
      </w:r>
      <w:r w:rsidR="0027005B">
        <w:rPr>
          <w:sz w:val="28"/>
          <w:szCs w:val="28"/>
        </w:rPr>
        <w:t xml:space="preserve"> </w:t>
      </w:r>
      <w:r w:rsidR="00F65B33" w:rsidRPr="00F65B33">
        <w:rPr>
          <w:sz w:val="28"/>
          <w:szCs w:val="28"/>
        </w:rPr>
        <w:t>постановлений о статусе членства каждой из этих стран.</w:t>
      </w:r>
      <w:proofErr w:type="gramEnd"/>
    </w:p>
    <w:p w:rsidR="0027005B" w:rsidRDefault="00F65B33" w:rsidP="0027005B">
      <w:pPr>
        <w:spacing w:line="360" w:lineRule="auto"/>
        <w:ind w:firstLine="709"/>
        <w:contextualSpacing/>
        <w:jc w:val="both"/>
        <w:rPr>
          <w:sz w:val="28"/>
          <w:szCs w:val="28"/>
        </w:rPr>
      </w:pPr>
      <w:r w:rsidRPr="00F65B33">
        <w:rPr>
          <w:sz w:val="28"/>
          <w:szCs w:val="28"/>
        </w:rPr>
        <w:t>Главное внимание по</w:t>
      </w:r>
      <w:r w:rsidRPr="00F65B33">
        <w:rPr>
          <w:rFonts w:ascii="MS Mincho" w:eastAsia="MS Mincho" w:hAnsi="MS Mincho" w:cs="MS Mincho" w:hint="eastAsia"/>
          <w:sz w:val="28"/>
          <w:szCs w:val="28"/>
        </w:rPr>
        <w:t>‑</w:t>
      </w:r>
      <w:r w:rsidRPr="00F65B33">
        <w:rPr>
          <w:sz w:val="28"/>
          <w:szCs w:val="28"/>
        </w:rPr>
        <w:t>прежнему уделялось потенциалу</w:t>
      </w:r>
      <w:r w:rsidR="0027005B">
        <w:rPr>
          <w:sz w:val="28"/>
          <w:szCs w:val="28"/>
        </w:rPr>
        <w:t xml:space="preserve"> </w:t>
      </w:r>
      <w:r w:rsidRPr="00F65B33">
        <w:rPr>
          <w:sz w:val="28"/>
          <w:szCs w:val="28"/>
        </w:rPr>
        <w:t>воздействия операций ЕБРР на переходный процесс,</w:t>
      </w:r>
      <w:r w:rsidR="0027005B">
        <w:rPr>
          <w:sz w:val="28"/>
          <w:szCs w:val="28"/>
        </w:rPr>
        <w:t xml:space="preserve"> </w:t>
      </w:r>
      <w:r w:rsidRPr="00F65B33">
        <w:rPr>
          <w:sz w:val="28"/>
          <w:szCs w:val="28"/>
        </w:rPr>
        <w:t>причем 92% проектов, подписанных в 2012 году,</w:t>
      </w:r>
      <w:r w:rsidR="0027005B">
        <w:rPr>
          <w:sz w:val="28"/>
          <w:szCs w:val="28"/>
        </w:rPr>
        <w:t xml:space="preserve"> </w:t>
      </w:r>
      <w:r w:rsidRPr="00F65B33">
        <w:rPr>
          <w:sz w:val="28"/>
          <w:szCs w:val="28"/>
        </w:rPr>
        <w:t>получили рейтинги «хорошо» или «отлично» по потенциалу</w:t>
      </w:r>
      <w:r w:rsidR="0027005B">
        <w:rPr>
          <w:sz w:val="28"/>
          <w:szCs w:val="28"/>
        </w:rPr>
        <w:t xml:space="preserve"> </w:t>
      </w:r>
      <w:r w:rsidRPr="00F65B33">
        <w:rPr>
          <w:sz w:val="28"/>
          <w:szCs w:val="28"/>
        </w:rPr>
        <w:t>воздействия на переходный процесс. Мандат Банка,</w:t>
      </w:r>
      <w:r w:rsidR="0027005B">
        <w:rPr>
          <w:sz w:val="28"/>
          <w:szCs w:val="28"/>
        </w:rPr>
        <w:t xml:space="preserve"> </w:t>
      </w:r>
      <w:r w:rsidRPr="00F65B33">
        <w:rPr>
          <w:sz w:val="28"/>
          <w:szCs w:val="28"/>
        </w:rPr>
        <w:t>предусматривающий содействие переходному процессу</w:t>
      </w:r>
      <w:r w:rsidR="0027005B">
        <w:rPr>
          <w:sz w:val="28"/>
          <w:szCs w:val="28"/>
        </w:rPr>
        <w:t xml:space="preserve"> </w:t>
      </w:r>
      <w:r w:rsidRPr="00F65B33">
        <w:rPr>
          <w:sz w:val="28"/>
          <w:szCs w:val="28"/>
        </w:rPr>
        <w:t>и реформам путем взаимодействия с частным сектором,</w:t>
      </w:r>
      <w:r w:rsidR="0027005B">
        <w:rPr>
          <w:sz w:val="28"/>
          <w:szCs w:val="28"/>
        </w:rPr>
        <w:t xml:space="preserve"> </w:t>
      </w:r>
      <w:r w:rsidRPr="00F65B33">
        <w:rPr>
          <w:sz w:val="28"/>
          <w:szCs w:val="28"/>
        </w:rPr>
        <w:t>нашел свое отражение в доле частного сектора</w:t>
      </w:r>
      <w:r w:rsidR="0027005B">
        <w:rPr>
          <w:sz w:val="28"/>
          <w:szCs w:val="28"/>
        </w:rPr>
        <w:t xml:space="preserve"> </w:t>
      </w:r>
      <w:r w:rsidRPr="00F65B33">
        <w:rPr>
          <w:sz w:val="28"/>
          <w:szCs w:val="28"/>
        </w:rPr>
        <w:t>в годовом объ</w:t>
      </w:r>
      <w:r w:rsidR="001716C5">
        <w:rPr>
          <w:sz w:val="28"/>
          <w:szCs w:val="28"/>
        </w:rPr>
        <w:t>еме сделок Банка, которая в 2013</w:t>
      </w:r>
      <w:r w:rsidRPr="00F65B33">
        <w:rPr>
          <w:sz w:val="28"/>
          <w:szCs w:val="28"/>
        </w:rPr>
        <w:t xml:space="preserve"> году</w:t>
      </w:r>
      <w:r w:rsidR="0027005B">
        <w:rPr>
          <w:sz w:val="28"/>
          <w:szCs w:val="28"/>
        </w:rPr>
        <w:t xml:space="preserve"> </w:t>
      </w:r>
      <w:r w:rsidRPr="00F65B33">
        <w:rPr>
          <w:sz w:val="28"/>
          <w:szCs w:val="28"/>
        </w:rPr>
        <w:t xml:space="preserve">выросла </w:t>
      </w:r>
      <w:r w:rsidR="001716C5">
        <w:rPr>
          <w:sz w:val="28"/>
          <w:szCs w:val="28"/>
        </w:rPr>
        <w:t>до 80% по сравнению с 77% в 2012</w:t>
      </w:r>
      <w:r w:rsidRPr="00F65B33">
        <w:rPr>
          <w:sz w:val="28"/>
          <w:szCs w:val="28"/>
        </w:rPr>
        <w:t xml:space="preserve"> году.</w:t>
      </w:r>
    </w:p>
    <w:p w:rsidR="0027005B" w:rsidRDefault="00F65B33" w:rsidP="0027005B">
      <w:pPr>
        <w:spacing w:line="360" w:lineRule="auto"/>
        <w:ind w:firstLine="709"/>
        <w:contextualSpacing/>
        <w:jc w:val="both"/>
        <w:rPr>
          <w:sz w:val="28"/>
          <w:szCs w:val="28"/>
        </w:rPr>
      </w:pPr>
      <w:r w:rsidRPr="00F65B33">
        <w:rPr>
          <w:sz w:val="28"/>
          <w:szCs w:val="28"/>
        </w:rPr>
        <w:t>Банк стремится максимизировать эффект воздействия</w:t>
      </w:r>
      <w:r w:rsidR="0027005B">
        <w:rPr>
          <w:sz w:val="28"/>
          <w:szCs w:val="28"/>
        </w:rPr>
        <w:t xml:space="preserve"> </w:t>
      </w:r>
      <w:r w:rsidRPr="00F65B33">
        <w:rPr>
          <w:sz w:val="28"/>
          <w:szCs w:val="28"/>
        </w:rPr>
        <w:t>своих операций посредством ряда стратегических</w:t>
      </w:r>
      <w:r w:rsidR="0027005B">
        <w:rPr>
          <w:sz w:val="28"/>
          <w:szCs w:val="28"/>
        </w:rPr>
        <w:t xml:space="preserve"> </w:t>
      </w:r>
      <w:r w:rsidRPr="00F65B33">
        <w:rPr>
          <w:sz w:val="28"/>
          <w:szCs w:val="28"/>
        </w:rPr>
        <w:t>инициатив, призванных поддерживать деятельность Банка</w:t>
      </w:r>
      <w:r w:rsidR="0027005B">
        <w:rPr>
          <w:sz w:val="28"/>
          <w:szCs w:val="28"/>
        </w:rPr>
        <w:t xml:space="preserve"> </w:t>
      </w:r>
      <w:r w:rsidRPr="00F65B33">
        <w:rPr>
          <w:sz w:val="28"/>
          <w:szCs w:val="28"/>
        </w:rPr>
        <w:t>в менее развитых странах, а также решать задачи по</w:t>
      </w:r>
      <w:r w:rsidR="0027005B">
        <w:rPr>
          <w:sz w:val="28"/>
          <w:szCs w:val="28"/>
        </w:rPr>
        <w:t xml:space="preserve"> </w:t>
      </w:r>
      <w:r w:rsidRPr="00F65B33">
        <w:rPr>
          <w:sz w:val="28"/>
          <w:szCs w:val="28"/>
        </w:rPr>
        <w:t>смягчению последствий изменения климата и повышению</w:t>
      </w:r>
      <w:r w:rsidR="0027005B">
        <w:rPr>
          <w:sz w:val="28"/>
          <w:szCs w:val="28"/>
        </w:rPr>
        <w:t xml:space="preserve"> </w:t>
      </w:r>
      <w:r w:rsidRPr="00F65B33">
        <w:rPr>
          <w:sz w:val="28"/>
          <w:szCs w:val="28"/>
        </w:rPr>
        <w:t>энергоэффективности, которые являются ключевыми</w:t>
      </w:r>
      <w:r w:rsidR="0027005B">
        <w:rPr>
          <w:sz w:val="28"/>
          <w:szCs w:val="28"/>
        </w:rPr>
        <w:t xml:space="preserve"> </w:t>
      </w:r>
      <w:r w:rsidRPr="00F65B33">
        <w:rPr>
          <w:sz w:val="28"/>
          <w:szCs w:val="28"/>
        </w:rPr>
        <w:t>установками стратегии ЕБРР во всех странах региона операций.</w:t>
      </w:r>
    </w:p>
    <w:p w:rsidR="0027005B" w:rsidRDefault="00F65B33" w:rsidP="0027005B">
      <w:pPr>
        <w:spacing w:line="360" w:lineRule="auto"/>
        <w:ind w:firstLine="709"/>
        <w:contextualSpacing/>
        <w:jc w:val="both"/>
        <w:rPr>
          <w:sz w:val="28"/>
          <w:szCs w:val="28"/>
        </w:rPr>
      </w:pPr>
      <w:r w:rsidRPr="00F65B33">
        <w:rPr>
          <w:sz w:val="28"/>
          <w:szCs w:val="28"/>
        </w:rPr>
        <w:t>Инициатива в области устойчивой энергетики (ИУЭ)</w:t>
      </w:r>
      <w:r w:rsidR="0027005B">
        <w:rPr>
          <w:sz w:val="28"/>
          <w:szCs w:val="28"/>
        </w:rPr>
        <w:t xml:space="preserve"> </w:t>
      </w:r>
      <w:r w:rsidRPr="00F65B33">
        <w:rPr>
          <w:sz w:val="28"/>
          <w:szCs w:val="28"/>
        </w:rPr>
        <w:t>ЕБРР направлена на смягчение последствий изменения</w:t>
      </w:r>
      <w:r w:rsidR="0027005B">
        <w:rPr>
          <w:sz w:val="28"/>
          <w:szCs w:val="28"/>
        </w:rPr>
        <w:t xml:space="preserve"> </w:t>
      </w:r>
      <w:r w:rsidRPr="00F65B33">
        <w:rPr>
          <w:sz w:val="28"/>
          <w:szCs w:val="28"/>
        </w:rPr>
        <w:t>климата и адаптацию к ним, а также на повышение</w:t>
      </w:r>
      <w:r w:rsidR="0027005B">
        <w:rPr>
          <w:sz w:val="28"/>
          <w:szCs w:val="28"/>
        </w:rPr>
        <w:t xml:space="preserve"> </w:t>
      </w:r>
      <w:r w:rsidR="001716C5">
        <w:rPr>
          <w:sz w:val="28"/>
          <w:szCs w:val="28"/>
        </w:rPr>
        <w:t>энергоэффективности. В</w:t>
      </w:r>
      <w:r w:rsidRPr="00F65B33">
        <w:rPr>
          <w:sz w:val="28"/>
          <w:szCs w:val="28"/>
        </w:rPr>
        <w:t xml:space="preserve"> 2012 году Банк добился высоких</w:t>
      </w:r>
      <w:r w:rsidR="0027005B">
        <w:rPr>
          <w:sz w:val="28"/>
          <w:szCs w:val="28"/>
        </w:rPr>
        <w:t xml:space="preserve"> </w:t>
      </w:r>
      <w:r w:rsidRPr="00F65B33">
        <w:rPr>
          <w:sz w:val="28"/>
          <w:szCs w:val="28"/>
        </w:rPr>
        <w:t>результатов в рамках ИУЭ – годовой объем сделок,</w:t>
      </w:r>
      <w:r w:rsidR="0027005B">
        <w:rPr>
          <w:sz w:val="28"/>
          <w:szCs w:val="28"/>
        </w:rPr>
        <w:t xml:space="preserve"> </w:t>
      </w:r>
      <w:r w:rsidRPr="00F65B33">
        <w:rPr>
          <w:sz w:val="28"/>
          <w:szCs w:val="28"/>
        </w:rPr>
        <w:t>непосредственно связанных с деятельностью ИУЭ, составил</w:t>
      </w:r>
      <w:r w:rsidR="0027005B">
        <w:rPr>
          <w:sz w:val="28"/>
          <w:szCs w:val="28"/>
        </w:rPr>
        <w:t xml:space="preserve"> </w:t>
      </w:r>
      <w:r w:rsidRPr="00F65B33">
        <w:rPr>
          <w:sz w:val="28"/>
          <w:szCs w:val="28"/>
        </w:rPr>
        <w:t>2,3 млрд. евро. Это позволит сократить выбросы CO2 на</w:t>
      </w:r>
      <w:r w:rsidR="0027005B">
        <w:rPr>
          <w:sz w:val="28"/>
          <w:szCs w:val="28"/>
        </w:rPr>
        <w:t xml:space="preserve"> </w:t>
      </w:r>
      <w:r w:rsidRPr="00F65B33">
        <w:rPr>
          <w:sz w:val="28"/>
          <w:szCs w:val="28"/>
        </w:rPr>
        <w:t>8,8 млн. тонн и снизить энергопотребление на 2,79 млн. тонн</w:t>
      </w:r>
      <w:r w:rsidR="0027005B">
        <w:rPr>
          <w:sz w:val="28"/>
          <w:szCs w:val="28"/>
        </w:rPr>
        <w:t xml:space="preserve"> </w:t>
      </w:r>
      <w:r w:rsidRPr="00F65B33">
        <w:rPr>
          <w:sz w:val="28"/>
          <w:szCs w:val="28"/>
        </w:rPr>
        <w:t>в нефтяном эквиваленте</w:t>
      </w:r>
      <w:proofErr w:type="gramStart"/>
      <w:r w:rsidRPr="00F65B33">
        <w:rPr>
          <w:sz w:val="28"/>
          <w:szCs w:val="28"/>
        </w:rPr>
        <w:t>.</w:t>
      </w:r>
      <w:proofErr w:type="gramEnd"/>
      <w:r w:rsidRPr="00F65B33">
        <w:rPr>
          <w:sz w:val="28"/>
          <w:szCs w:val="28"/>
        </w:rPr>
        <w:t xml:space="preserve"> </w:t>
      </w:r>
      <w:proofErr w:type="gramStart"/>
      <w:r w:rsidRPr="00F65B33">
        <w:rPr>
          <w:sz w:val="28"/>
          <w:szCs w:val="28"/>
        </w:rPr>
        <w:t>о</w:t>
      </w:r>
      <w:proofErr w:type="gramEnd"/>
      <w:r w:rsidRPr="00F65B33">
        <w:rPr>
          <w:sz w:val="28"/>
          <w:szCs w:val="28"/>
        </w:rPr>
        <w:t>собо следует отметить тот</w:t>
      </w:r>
      <w:r w:rsidR="0027005B">
        <w:rPr>
          <w:sz w:val="28"/>
          <w:szCs w:val="28"/>
        </w:rPr>
        <w:t xml:space="preserve"> </w:t>
      </w:r>
      <w:r w:rsidRPr="00F65B33">
        <w:rPr>
          <w:sz w:val="28"/>
          <w:szCs w:val="28"/>
        </w:rPr>
        <w:t>факт, что объем сделок ЕБРР в рамках ИУЭ с момента</w:t>
      </w:r>
      <w:r w:rsidR="0027005B">
        <w:rPr>
          <w:sz w:val="28"/>
          <w:szCs w:val="28"/>
        </w:rPr>
        <w:t xml:space="preserve"> </w:t>
      </w:r>
      <w:r w:rsidRPr="00F65B33">
        <w:rPr>
          <w:sz w:val="28"/>
          <w:szCs w:val="28"/>
        </w:rPr>
        <w:t>запуска этой инициативы в 2006 году превысил отметку</w:t>
      </w:r>
      <w:r w:rsidR="0027005B">
        <w:rPr>
          <w:sz w:val="28"/>
          <w:szCs w:val="28"/>
        </w:rPr>
        <w:t xml:space="preserve"> </w:t>
      </w:r>
      <w:r w:rsidR="001716C5">
        <w:rPr>
          <w:sz w:val="28"/>
          <w:szCs w:val="28"/>
        </w:rPr>
        <w:t>в 10 млрд. евро. В 2013</w:t>
      </w:r>
      <w:r w:rsidRPr="00F65B33">
        <w:rPr>
          <w:sz w:val="28"/>
          <w:szCs w:val="28"/>
        </w:rPr>
        <w:t xml:space="preserve"> году началась реализация третьего</w:t>
      </w:r>
      <w:r w:rsidR="0027005B">
        <w:rPr>
          <w:sz w:val="28"/>
          <w:szCs w:val="28"/>
        </w:rPr>
        <w:t xml:space="preserve"> </w:t>
      </w:r>
      <w:r w:rsidRPr="00F65B33">
        <w:rPr>
          <w:sz w:val="28"/>
          <w:szCs w:val="28"/>
        </w:rPr>
        <w:t>этапа инициативы – ИУЭ</w:t>
      </w:r>
      <w:r w:rsidRPr="00F65B33">
        <w:rPr>
          <w:rFonts w:ascii="MS Mincho" w:eastAsia="MS Mincho" w:hAnsi="MS Mincho" w:cs="MS Mincho" w:hint="eastAsia"/>
          <w:sz w:val="28"/>
          <w:szCs w:val="28"/>
        </w:rPr>
        <w:t>‑</w:t>
      </w:r>
      <w:r w:rsidRPr="00F65B33">
        <w:rPr>
          <w:sz w:val="28"/>
          <w:szCs w:val="28"/>
        </w:rPr>
        <w:t>3, который продлится с 2012 по</w:t>
      </w:r>
      <w:r w:rsidR="0027005B">
        <w:rPr>
          <w:sz w:val="28"/>
          <w:szCs w:val="28"/>
        </w:rPr>
        <w:t xml:space="preserve"> </w:t>
      </w:r>
      <w:r w:rsidRPr="00F65B33">
        <w:rPr>
          <w:sz w:val="28"/>
          <w:szCs w:val="28"/>
        </w:rPr>
        <w:t>2014 год и будет способствовать достижению ключевой</w:t>
      </w:r>
      <w:r w:rsidR="0027005B">
        <w:rPr>
          <w:sz w:val="28"/>
          <w:szCs w:val="28"/>
        </w:rPr>
        <w:t xml:space="preserve"> </w:t>
      </w:r>
      <w:r w:rsidRPr="00F65B33">
        <w:rPr>
          <w:sz w:val="28"/>
          <w:szCs w:val="28"/>
        </w:rPr>
        <w:t>задачи Банка по стимулированию конкурентоспособности</w:t>
      </w:r>
      <w:r w:rsidR="0027005B">
        <w:rPr>
          <w:sz w:val="28"/>
          <w:szCs w:val="28"/>
        </w:rPr>
        <w:t xml:space="preserve"> </w:t>
      </w:r>
      <w:r w:rsidRPr="00F65B33">
        <w:rPr>
          <w:sz w:val="28"/>
          <w:szCs w:val="28"/>
        </w:rPr>
        <w:t>и роста экономики на низкоуглеродной основе.</w:t>
      </w:r>
    </w:p>
    <w:p w:rsidR="0027005B" w:rsidRDefault="00F65B33" w:rsidP="0027005B">
      <w:pPr>
        <w:spacing w:line="360" w:lineRule="auto"/>
        <w:ind w:firstLine="709"/>
        <w:contextualSpacing/>
        <w:jc w:val="both"/>
        <w:rPr>
          <w:sz w:val="28"/>
          <w:szCs w:val="28"/>
        </w:rPr>
      </w:pPr>
      <w:r w:rsidRPr="00F65B33">
        <w:rPr>
          <w:sz w:val="28"/>
          <w:szCs w:val="28"/>
        </w:rPr>
        <w:t>Пятый год подряд более 30% ежегодного количества</w:t>
      </w:r>
      <w:r w:rsidR="0027005B">
        <w:rPr>
          <w:sz w:val="28"/>
          <w:szCs w:val="28"/>
        </w:rPr>
        <w:t xml:space="preserve"> </w:t>
      </w:r>
      <w:r w:rsidRPr="00F65B33">
        <w:rPr>
          <w:sz w:val="28"/>
          <w:szCs w:val="28"/>
        </w:rPr>
        <w:t>сделок Банка было реализовано в странах, находящихся</w:t>
      </w:r>
      <w:r w:rsidR="0027005B">
        <w:rPr>
          <w:sz w:val="28"/>
          <w:szCs w:val="28"/>
        </w:rPr>
        <w:t xml:space="preserve"> </w:t>
      </w:r>
      <w:r w:rsidRPr="00F65B33">
        <w:rPr>
          <w:sz w:val="28"/>
          <w:szCs w:val="28"/>
        </w:rPr>
        <w:t>на начальном этапе перехода (СНЭП), причем в 2012 году</w:t>
      </w:r>
      <w:r w:rsidR="0027005B">
        <w:rPr>
          <w:sz w:val="28"/>
          <w:szCs w:val="28"/>
        </w:rPr>
        <w:t xml:space="preserve"> </w:t>
      </w:r>
      <w:r w:rsidRPr="00F65B33">
        <w:rPr>
          <w:sz w:val="28"/>
          <w:szCs w:val="28"/>
        </w:rPr>
        <w:t>их объем достиг рекордного уровня в 1,1 млрд. евро.</w:t>
      </w:r>
    </w:p>
    <w:p w:rsidR="0027005B" w:rsidRDefault="00F65B33" w:rsidP="0027005B">
      <w:pPr>
        <w:spacing w:line="360" w:lineRule="auto"/>
        <w:ind w:firstLine="709"/>
        <w:contextualSpacing/>
        <w:jc w:val="both"/>
        <w:rPr>
          <w:sz w:val="28"/>
          <w:szCs w:val="28"/>
        </w:rPr>
      </w:pPr>
      <w:r w:rsidRPr="00F65B33">
        <w:rPr>
          <w:sz w:val="28"/>
          <w:szCs w:val="28"/>
        </w:rPr>
        <w:t>Учитывая, что большинство компаний принадлежат местным</w:t>
      </w:r>
      <w:r w:rsidR="0027005B">
        <w:rPr>
          <w:sz w:val="28"/>
          <w:szCs w:val="28"/>
        </w:rPr>
        <w:t xml:space="preserve"> </w:t>
      </w:r>
      <w:r w:rsidRPr="00F65B33">
        <w:rPr>
          <w:sz w:val="28"/>
          <w:szCs w:val="28"/>
        </w:rPr>
        <w:t>владельцам и согласно международным стандартам</w:t>
      </w:r>
      <w:r w:rsidR="0027005B">
        <w:rPr>
          <w:sz w:val="28"/>
          <w:szCs w:val="28"/>
        </w:rPr>
        <w:t xml:space="preserve"> </w:t>
      </w:r>
      <w:r w:rsidRPr="00F65B33">
        <w:rPr>
          <w:sz w:val="28"/>
          <w:szCs w:val="28"/>
        </w:rPr>
        <w:t>считаются малыми и средними предприятиями (МСП), ЕБРР</w:t>
      </w:r>
      <w:r w:rsidR="0027005B">
        <w:rPr>
          <w:sz w:val="28"/>
          <w:szCs w:val="28"/>
        </w:rPr>
        <w:t xml:space="preserve"> </w:t>
      </w:r>
      <w:r w:rsidRPr="00F65B33">
        <w:rPr>
          <w:sz w:val="28"/>
          <w:szCs w:val="28"/>
        </w:rPr>
        <w:t>стал применять новаторские и более эффективные методы</w:t>
      </w:r>
      <w:r w:rsidR="0027005B">
        <w:rPr>
          <w:sz w:val="28"/>
          <w:szCs w:val="28"/>
        </w:rPr>
        <w:t xml:space="preserve"> </w:t>
      </w:r>
      <w:r w:rsidRPr="00F65B33">
        <w:rPr>
          <w:sz w:val="28"/>
          <w:szCs w:val="28"/>
        </w:rPr>
        <w:t>финансирования малых сделок – объем 85% операций Банка</w:t>
      </w:r>
      <w:r w:rsidR="0027005B">
        <w:rPr>
          <w:sz w:val="28"/>
          <w:szCs w:val="28"/>
        </w:rPr>
        <w:t xml:space="preserve"> </w:t>
      </w:r>
      <w:r w:rsidRPr="00F65B33">
        <w:rPr>
          <w:sz w:val="28"/>
          <w:szCs w:val="28"/>
        </w:rPr>
        <w:t>по финансированию не превышал 10 млн. евро, а средняя</w:t>
      </w:r>
      <w:r w:rsidR="0027005B">
        <w:rPr>
          <w:sz w:val="28"/>
          <w:szCs w:val="28"/>
        </w:rPr>
        <w:t xml:space="preserve"> </w:t>
      </w:r>
      <w:r w:rsidRPr="00F65B33">
        <w:rPr>
          <w:sz w:val="28"/>
          <w:szCs w:val="28"/>
        </w:rPr>
        <w:t>сумма таких ассигнований составила около 2,5 млн. евро.</w:t>
      </w:r>
    </w:p>
    <w:p w:rsidR="0027005B" w:rsidRDefault="00F65B33" w:rsidP="0027005B">
      <w:pPr>
        <w:spacing w:line="360" w:lineRule="auto"/>
        <w:ind w:firstLine="709"/>
        <w:contextualSpacing/>
        <w:jc w:val="both"/>
        <w:rPr>
          <w:sz w:val="28"/>
          <w:szCs w:val="28"/>
        </w:rPr>
      </w:pPr>
      <w:r w:rsidRPr="00F65B33">
        <w:rPr>
          <w:sz w:val="28"/>
          <w:szCs w:val="28"/>
        </w:rPr>
        <w:t>Почти четверть сделок в странах СНЭП были совершены</w:t>
      </w:r>
      <w:r w:rsidR="0027005B">
        <w:rPr>
          <w:sz w:val="28"/>
          <w:szCs w:val="28"/>
        </w:rPr>
        <w:t xml:space="preserve"> </w:t>
      </w:r>
      <w:r w:rsidRPr="00F65B33">
        <w:rPr>
          <w:sz w:val="28"/>
          <w:szCs w:val="28"/>
        </w:rPr>
        <w:t>в национальной валюте – это говорит о том, какое огромное</w:t>
      </w:r>
      <w:r w:rsidR="0027005B">
        <w:rPr>
          <w:sz w:val="28"/>
          <w:szCs w:val="28"/>
        </w:rPr>
        <w:t xml:space="preserve"> </w:t>
      </w:r>
      <w:r w:rsidRPr="00F65B33">
        <w:rPr>
          <w:sz w:val="28"/>
          <w:szCs w:val="28"/>
        </w:rPr>
        <w:t>значение Банк придает созданию условий и финансовой</w:t>
      </w:r>
      <w:r w:rsidR="0027005B">
        <w:rPr>
          <w:sz w:val="28"/>
          <w:szCs w:val="28"/>
        </w:rPr>
        <w:t xml:space="preserve"> </w:t>
      </w:r>
      <w:r w:rsidRPr="00F65B33">
        <w:rPr>
          <w:sz w:val="28"/>
          <w:szCs w:val="28"/>
        </w:rPr>
        <w:t>инфраструктуры, которые делают национальные рынки</w:t>
      </w:r>
      <w:r w:rsidR="0027005B">
        <w:rPr>
          <w:sz w:val="28"/>
          <w:szCs w:val="28"/>
        </w:rPr>
        <w:t xml:space="preserve"> </w:t>
      </w:r>
      <w:r w:rsidRPr="00F65B33">
        <w:rPr>
          <w:sz w:val="28"/>
          <w:szCs w:val="28"/>
        </w:rPr>
        <w:t>жизнеспособными, а национальную валюту привлекательной</w:t>
      </w:r>
      <w:r w:rsidR="0027005B">
        <w:rPr>
          <w:sz w:val="28"/>
          <w:szCs w:val="28"/>
        </w:rPr>
        <w:t xml:space="preserve"> </w:t>
      </w:r>
      <w:r w:rsidRPr="00F65B33">
        <w:rPr>
          <w:sz w:val="28"/>
          <w:szCs w:val="28"/>
        </w:rPr>
        <w:t>в части кредитных операций для кредиторов, заемщиков</w:t>
      </w:r>
      <w:r w:rsidR="0027005B">
        <w:rPr>
          <w:sz w:val="28"/>
          <w:szCs w:val="28"/>
        </w:rPr>
        <w:t xml:space="preserve"> </w:t>
      </w:r>
      <w:r w:rsidRPr="00F65B33">
        <w:rPr>
          <w:sz w:val="28"/>
          <w:szCs w:val="28"/>
        </w:rPr>
        <w:t>и инвесторов. Инициатива по поддержке использования</w:t>
      </w:r>
      <w:r w:rsidR="0027005B">
        <w:rPr>
          <w:sz w:val="28"/>
          <w:szCs w:val="28"/>
        </w:rPr>
        <w:t xml:space="preserve"> </w:t>
      </w:r>
      <w:r w:rsidRPr="00F65B33">
        <w:rPr>
          <w:sz w:val="28"/>
          <w:szCs w:val="28"/>
        </w:rPr>
        <w:t>национальных валют и национальных рынков капитала (НвК)</w:t>
      </w:r>
      <w:r w:rsidR="0027005B">
        <w:rPr>
          <w:sz w:val="28"/>
          <w:szCs w:val="28"/>
        </w:rPr>
        <w:t xml:space="preserve"> </w:t>
      </w:r>
      <w:r w:rsidRPr="00F65B33">
        <w:rPr>
          <w:sz w:val="28"/>
          <w:szCs w:val="28"/>
        </w:rPr>
        <w:t>является одним из ключевых стратегических приоритетов</w:t>
      </w:r>
      <w:r w:rsidR="0027005B">
        <w:rPr>
          <w:sz w:val="28"/>
          <w:szCs w:val="28"/>
        </w:rPr>
        <w:t xml:space="preserve"> </w:t>
      </w:r>
      <w:r w:rsidRPr="00F65B33">
        <w:rPr>
          <w:sz w:val="28"/>
          <w:szCs w:val="28"/>
        </w:rPr>
        <w:t>Банка, обеспечивая согласованный подход к диалогу</w:t>
      </w:r>
      <w:r w:rsidR="0027005B">
        <w:rPr>
          <w:sz w:val="28"/>
          <w:szCs w:val="28"/>
        </w:rPr>
        <w:t xml:space="preserve"> </w:t>
      </w:r>
      <w:r w:rsidRPr="00F65B33">
        <w:rPr>
          <w:sz w:val="28"/>
          <w:szCs w:val="28"/>
        </w:rPr>
        <w:t>с государственными органами, инвестиционным проектам</w:t>
      </w:r>
      <w:r w:rsidR="0027005B">
        <w:rPr>
          <w:sz w:val="28"/>
          <w:szCs w:val="28"/>
        </w:rPr>
        <w:t xml:space="preserve"> </w:t>
      </w:r>
      <w:r w:rsidRPr="00F65B33">
        <w:rPr>
          <w:sz w:val="28"/>
          <w:szCs w:val="28"/>
        </w:rPr>
        <w:t>и операциям казначейства ЕБРР, а также программам</w:t>
      </w:r>
      <w:r w:rsidR="0027005B">
        <w:rPr>
          <w:sz w:val="28"/>
          <w:szCs w:val="28"/>
        </w:rPr>
        <w:t xml:space="preserve"> </w:t>
      </w:r>
      <w:r w:rsidRPr="00F65B33">
        <w:rPr>
          <w:sz w:val="28"/>
          <w:szCs w:val="28"/>
        </w:rPr>
        <w:t>технического содействия в нормативно</w:t>
      </w:r>
      <w:r w:rsidRPr="00F65B33">
        <w:rPr>
          <w:rFonts w:ascii="MS Mincho" w:eastAsia="MS Mincho" w:hAnsi="MS Mincho" w:cs="MS Mincho" w:hint="eastAsia"/>
          <w:sz w:val="28"/>
          <w:szCs w:val="28"/>
        </w:rPr>
        <w:t>‑</w:t>
      </w:r>
      <w:r w:rsidRPr="00F65B33">
        <w:rPr>
          <w:sz w:val="28"/>
          <w:szCs w:val="28"/>
        </w:rPr>
        <w:t>правовой сфере.</w:t>
      </w:r>
    </w:p>
    <w:p w:rsidR="0027005B" w:rsidRDefault="00F65B33" w:rsidP="0027005B">
      <w:pPr>
        <w:spacing w:line="360" w:lineRule="auto"/>
        <w:ind w:firstLine="709"/>
        <w:contextualSpacing/>
        <w:jc w:val="both"/>
        <w:rPr>
          <w:sz w:val="28"/>
          <w:szCs w:val="28"/>
        </w:rPr>
      </w:pPr>
      <w:r w:rsidRPr="00F65B33">
        <w:rPr>
          <w:sz w:val="28"/>
          <w:szCs w:val="28"/>
        </w:rPr>
        <w:t>Проекты были реализованы в каждой из нынешних 30 стран</w:t>
      </w:r>
      <w:r w:rsidR="0027005B">
        <w:rPr>
          <w:sz w:val="28"/>
          <w:szCs w:val="28"/>
        </w:rPr>
        <w:t xml:space="preserve"> </w:t>
      </w:r>
      <w:r w:rsidRPr="00F65B33">
        <w:rPr>
          <w:sz w:val="28"/>
          <w:szCs w:val="28"/>
        </w:rPr>
        <w:t>операций Банка и в каждой из четырех потенциальных</w:t>
      </w:r>
      <w:r w:rsidR="0027005B">
        <w:rPr>
          <w:sz w:val="28"/>
          <w:szCs w:val="28"/>
        </w:rPr>
        <w:t xml:space="preserve"> </w:t>
      </w:r>
      <w:r w:rsidRPr="00F65B33">
        <w:rPr>
          <w:sz w:val="28"/>
          <w:szCs w:val="28"/>
        </w:rPr>
        <w:t>стран–получателей финансирования в регионе Южного и</w:t>
      </w:r>
      <w:r w:rsidR="0027005B">
        <w:rPr>
          <w:sz w:val="28"/>
          <w:szCs w:val="28"/>
        </w:rPr>
        <w:t xml:space="preserve"> </w:t>
      </w:r>
      <w:r w:rsidRPr="00F65B33">
        <w:rPr>
          <w:sz w:val="28"/>
          <w:szCs w:val="28"/>
        </w:rPr>
        <w:t>восточного Средиземноморья</w:t>
      </w:r>
      <w:proofErr w:type="gramStart"/>
      <w:r w:rsidRPr="00F65B33">
        <w:rPr>
          <w:sz w:val="28"/>
          <w:szCs w:val="28"/>
        </w:rPr>
        <w:t>.</w:t>
      </w:r>
      <w:proofErr w:type="gramEnd"/>
      <w:r w:rsidRPr="00F65B33">
        <w:rPr>
          <w:sz w:val="28"/>
          <w:szCs w:val="28"/>
        </w:rPr>
        <w:t xml:space="preserve"> </w:t>
      </w:r>
      <w:proofErr w:type="gramStart"/>
      <w:r w:rsidRPr="00F65B33">
        <w:rPr>
          <w:sz w:val="28"/>
          <w:szCs w:val="28"/>
        </w:rPr>
        <w:t>о</w:t>
      </w:r>
      <w:proofErr w:type="gramEnd"/>
      <w:r w:rsidRPr="00F65B33">
        <w:rPr>
          <w:sz w:val="28"/>
          <w:szCs w:val="28"/>
        </w:rPr>
        <w:t>бъем сделок в 2012 году</w:t>
      </w:r>
      <w:r w:rsidR="0027005B">
        <w:rPr>
          <w:sz w:val="28"/>
          <w:szCs w:val="28"/>
        </w:rPr>
        <w:t xml:space="preserve"> </w:t>
      </w:r>
      <w:r w:rsidRPr="00F65B33">
        <w:rPr>
          <w:sz w:val="28"/>
          <w:szCs w:val="28"/>
        </w:rPr>
        <w:t>в регионе Центральной азии составил 10% операций,</w:t>
      </w:r>
      <w:r w:rsidR="0027005B">
        <w:rPr>
          <w:sz w:val="28"/>
          <w:szCs w:val="28"/>
        </w:rPr>
        <w:t xml:space="preserve"> </w:t>
      </w:r>
      <w:r w:rsidRPr="00F65B33">
        <w:rPr>
          <w:sz w:val="28"/>
          <w:szCs w:val="28"/>
        </w:rPr>
        <w:t>восточной Европе и на Кавказе – 17%, Юго</w:t>
      </w:r>
      <w:r w:rsidRPr="00F65B33">
        <w:rPr>
          <w:rFonts w:ascii="MS Mincho" w:eastAsia="MS Mincho" w:hAnsi="MS Mincho" w:cs="MS Mincho" w:hint="eastAsia"/>
          <w:sz w:val="28"/>
          <w:szCs w:val="28"/>
        </w:rPr>
        <w:t>‑</w:t>
      </w:r>
      <w:r w:rsidRPr="00F65B33">
        <w:rPr>
          <w:sz w:val="28"/>
          <w:szCs w:val="28"/>
        </w:rPr>
        <w:t>восточной</w:t>
      </w:r>
      <w:r w:rsidR="0027005B">
        <w:rPr>
          <w:sz w:val="28"/>
          <w:szCs w:val="28"/>
        </w:rPr>
        <w:t xml:space="preserve"> </w:t>
      </w:r>
      <w:r w:rsidRPr="00F65B33">
        <w:rPr>
          <w:sz w:val="28"/>
          <w:szCs w:val="28"/>
        </w:rPr>
        <w:t>Европе – 17%, России – 29%, Центральной Европе</w:t>
      </w:r>
      <w:r w:rsidR="0027005B">
        <w:rPr>
          <w:sz w:val="28"/>
          <w:szCs w:val="28"/>
        </w:rPr>
        <w:t xml:space="preserve"> </w:t>
      </w:r>
      <w:r w:rsidRPr="00F65B33">
        <w:rPr>
          <w:sz w:val="28"/>
          <w:szCs w:val="28"/>
        </w:rPr>
        <w:t>и государствах Балтии – 14%, турции – 12%, регионе Южного</w:t>
      </w:r>
      <w:r w:rsidR="0027005B">
        <w:rPr>
          <w:sz w:val="28"/>
          <w:szCs w:val="28"/>
        </w:rPr>
        <w:t xml:space="preserve"> </w:t>
      </w:r>
      <w:r w:rsidRPr="00F65B33">
        <w:rPr>
          <w:sz w:val="28"/>
          <w:szCs w:val="28"/>
        </w:rPr>
        <w:t>и восточного Средиземноморья – 2%. Банк продолжал</w:t>
      </w:r>
      <w:r w:rsidR="0027005B">
        <w:rPr>
          <w:sz w:val="28"/>
          <w:szCs w:val="28"/>
        </w:rPr>
        <w:t xml:space="preserve"> </w:t>
      </w:r>
      <w:r w:rsidRPr="00F65B33">
        <w:rPr>
          <w:sz w:val="28"/>
          <w:szCs w:val="28"/>
        </w:rPr>
        <w:t>оказывать поддержку ключевым секторам экономики</w:t>
      </w:r>
      <w:r w:rsidR="0027005B">
        <w:rPr>
          <w:sz w:val="28"/>
          <w:szCs w:val="28"/>
        </w:rPr>
        <w:t xml:space="preserve"> </w:t>
      </w:r>
      <w:r w:rsidRPr="00F65B33">
        <w:rPr>
          <w:sz w:val="28"/>
          <w:szCs w:val="28"/>
        </w:rPr>
        <w:t>в соответствии со своей стратегией деятельности. Проекты</w:t>
      </w:r>
      <w:r w:rsidR="0027005B">
        <w:rPr>
          <w:sz w:val="28"/>
          <w:szCs w:val="28"/>
        </w:rPr>
        <w:t xml:space="preserve"> </w:t>
      </w:r>
      <w:r w:rsidRPr="00F65B33">
        <w:rPr>
          <w:sz w:val="28"/>
          <w:szCs w:val="28"/>
        </w:rPr>
        <w:t>в диверсифицированных корпоративных секторах составили</w:t>
      </w:r>
      <w:r w:rsidR="0027005B">
        <w:rPr>
          <w:sz w:val="28"/>
          <w:szCs w:val="28"/>
        </w:rPr>
        <w:t xml:space="preserve"> </w:t>
      </w:r>
      <w:r w:rsidR="001716C5">
        <w:rPr>
          <w:sz w:val="28"/>
          <w:szCs w:val="28"/>
        </w:rPr>
        <w:t>в 2013</w:t>
      </w:r>
      <w:r w:rsidRPr="00F65B33">
        <w:rPr>
          <w:sz w:val="28"/>
          <w:szCs w:val="28"/>
        </w:rPr>
        <w:t xml:space="preserve"> году 28% от общего объема сделок, 32% сделок пришлись</w:t>
      </w:r>
      <w:r w:rsidR="0027005B">
        <w:rPr>
          <w:sz w:val="28"/>
          <w:szCs w:val="28"/>
        </w:rPr>
        <w:t xml:space="preserve"> </w:t>
      </w:r>
      <w:r w:rsidRPr="00F65B33">
        <w:rPr>
          <w:sz w:val="28"/>
          <w:szCs w:val="28"/>
        </w:rPr>
        <w:t>на финансовый сектор, где приоритетным направлением</w:t>
      </w:r>
      <w:r w:rsidR="0027005B">
        <w:rPr>
          <w:sz w:val="28"/>
          <w:szCs w:val="28"/>
        </w:rPr>
        <w:t xml:space="preserve"> </w:t>
      </w:r>
      <w:r w:rsidRPr="00F65B33">
        <w:rPr>
          <w:sz w:val="28"/>
          <w:szCs w:val="28"/>
        </w:rPr>
        <w:t>было финансирование МСП, а оставшиеся 41% сделок были</w:t>
      </w:r>
      <w:r w:rsidR="0027005B">
        <w:rPr>
          <w:sz w:val="28"/>
          <w:szCs w:val="28"/>
        </w:rPr>
        <w:t xml:space="preserve"> </w:t>
      </w:r>
      <w:r w:rsidRPr="00F65B33">
        <w:rPr>
          <w:sz w:val="28"/>
          <w:szCs w:val="28"/>
        </w:rPr>
        <w:t>совершены в секторах энергетики и инфраструктуры.</w:t>
      </w:r>
      <w:r w:rsidR="0027005B">
        <w:rPr>
          <w:sz w:val="28"/>
          <w:szCs w:val="28"/>
        </w:rPr>
        <w:t xml:space="preserve"> В</w:t>
      </w:r>
      <w:r w:rsidR="001716C5">
        <w:rPr>
          <w:sz w:val="28"/>
          <w:szCs w:val="28"/>
        </w:rPr>
        <w:t>аловой объем освоенных в 2013</w:t>
      </w:r>
      <w:r w:rsidRPr="00F65B33">
        <w:rPr>
          <w:sz w:val="28"/>
          <w:szCs w:val="28"/>
        </w:rPr>
        <w:t xml:space="preserve"> году средств составил</w:t>
      </w:r>
      <w:r w:rsidR="0027005B">
        <w:rPr>
          <w:sz w:val="28"/>
          <w:szCs w:val="28"/>
        </w:rPr>
        <w:t xml:space="preserve"> </w:t>
      </w:r>
      <w:r w:rsidRPr="00F65B33">
        <w:rPr>
          <w:sz w:val="28"/>
          <w:szCs w:val="28"/>
        </w:rPr>
        <w:t>6,0 млрд. евро по сравне</w:t>
      </w:r>
      <w:r w:rsidR="001716C5">
        <w:rPr>
          <w:sz w:val="28"/>
          <w:szCs w:val="28"/>
        </w:rPr>
        <w:t>нию с 6,7 млрд. евро в 2012</w:t>
      </w:r>
      <w:r w:rsidRPr="00F65B33">
        <w:rPr>
          <w:sz w:val="28"/>
          <w:szCs w:val="28"/>
        </w:rPr>
        <w:t xml:space="preserve"> году,</w:t>
      </w:r>
      <w:r w:rsidR="0027005B">
        <w:rPr>
          <w:sz w:val="28"/>
          <w:szCs w:val="28"/>
        </w:rPr>
        <w:t xml:space="preserve"> </w:t>
      </w:r>
      <w:r w:rsidRPr="00F65B33">
        <w:rPr>
          <w:sz w:val="28"/>
          <w:szCs w:val="28"/>
        </w:rPr>
        <w:t>что связано с подписанием в конце отчетного года большого</w:t>
      </w:r>
      <w:r w:rsidR="0027005B">
        <w:rPr>
          <w:sz w:val="28"/>
          <w:szCs w:val="28"/>
        </w:rPr>
        <w:t xml:space="preserve"> </w:t>
      </w:r>
      <w:r w:rsidRPr="00F65B33">
        <w:rPr>
          <w:sz w:val="28"/>
          <w:szCs w:val="28"/>
        </w:rPr>
        <w:t>объема сделок, выборка средств по которым будет происходить</w:t>
      </w:r>
      <w:r w:rsidR="0027005B">
        <w:rPr>
          <w:sz w:val="28"/>
          <w:szCs w:val="28"/>
        </w:rPr>
        <w:t xml:space="preserve"> </w:t>
      </w:r>
      <w:r w:rsidR="001716C5">
        <w:rPr>
          <w:sz w:val="28"/>
          <w:szCs w:val="28"/>
        </w:rPr>
        <w:t>в 2014 году. В</w:t>
      </w:r>
      <w:r w:rsidRPr="00F65B33">
        <w:rPr>
          <w:sz w:val="28"/>
          <w:szCs w:val="28"/>
        </w:rPr>
        <w:t xml:space="preserve"> результате этого операционные активы Банка</w:t>
      </w:r>
      <w:r w:rsidR="0027005B">
        <w:rPr>
          <w:sz w:val="28"/>
          <w:szCs w:val="28"/>
        </w:rPr>
        <w:t xml:space="preserve"> </w:t>
      </w:r>
      <w:r w:rsidR="001716C5">
        <w:rPr>
          <w:sz w:val="28"/>
          <w:szCs w:val="28"/>
        </w:rPr>
        <w:t>выросли к концу 2013</w:t>
      </w:r>
      <w:r w:rsidRPr="00F65B33">
        <w:rPr>
          <w:sz w:val="28"/>
          <w:szCs w:val="28"/>
        </w:rPr>
        <w:t xml:space="preserve"> года до 26,5 млрд. евро, что на 7%</w:t>
      </w:r>
      <w:r w:rsidR="0027005B">
        <w:rPr>
          <w:sz w:val="28"/>
          <w:szCs w:val="28"/>
        </w:rPr>
        <w:t xml:space="preserve"> </w:t>
      </w:r>
      <w:r w:rsidRPr="00F65B33">
        <w:rPr>
          <w:sz w:val="28"/>
          <w:szCs w:val="28"/>
        </w:rPr>
        <w:t>превышает их уровень</w:t>
      </w:r>
      <w:r w:rsidR="001716C5">
        <w:rPr>
          <w:sz w:val="28"/>
          <w:szCs w:val="28"/>
        </w:rPr>
        <w:t xml:space="preserve"> в 24,8 млрд. евро </w:t>
      </w:r>
      <w:proofErr w:type="gramStart"/>
      <w:r w:rsidR="001716C5">
        <w:rPr>
          <w:sz w:val="28"/>
          <w:szCs w:val="28"/>
        </w:rPr>
        <w:t>на конец</w:t>
      </w:r>
      <w:proofErr w:type="gramEnd"/>
      <w:r w:rsidR="001716C5">
        <w:rPr>
          <w:sz w:val="28"/>
          <w:szCs w:val="28"/>
        </w:rPr>
        <w:t xml:space="preserve"> 2012</w:t>
      </w:r>
      <w:r w:rsidRPr="00F65B33">
        <w:rPr>
          <w:sz w:val="28"/>
          <w:szCs w:val="28"/>
        </w:rPr>
        <w:t xml:space="preserve"> года.</w:t>
      </w:r>
    </w:p>
    <w:p w:rsidR="0027005B" w:rsidRDefault="0027005B" w:rsidP="0027005B">
      <w:pPr>
        <w:spacing w:line="360" w:lineRule="auto"/>
        <w:ind w:firstLine="709"/>
        <w:contextualSpacing/>
        <w:jc w:val="both"/>
        <w:rPr>
          <w:sz w:val="28"/>
          <w:szCs w:val="28"/>
        </w:rPr>
      </w:pPr>
      <w:r>
        <w:rPr>
          <w:sz w:val="28"/>
          <w:szCs w:val="28"/>
        </w:rPr>
        <w:t>О</w:t>
      </w:r>
      <w:r w:rsidR="00F65B33" w:rsidRPr="00F65B33">
        <w:rPr>
          <w:sz w:val="28"/>
          <w:szCs w:val="28"/>
        </w:rPr>
        <w:t>перации Банка продолжали получать мощную поддержку</w:t>
      </w:r>
      <w:r>
        <w:rPr>
          <w:sz w:val="28"/>
          <w:szCs w:val="28"/>
        </w:rPr>
        <w:t xml:space="preserve"> </w:t>
      </w:r>
      <w:r w:rsidR="00F65B33" w:rsidRPr="00F65B33">
        <w:rPr>
          <w:sz w:val="28"/>
          <w:szCs w:val="28"/>
        </w:rPr>
        <w:t>благодаря донорскому финансированию, в том числе</w:t>
      </w:r>
      <w:r>
        <w:rPr>
          <w:sz w:val="28"/>
          <w:szCs w:val="28"/>
        </w:rPr>
        <w:t xml:space="preserve"> </w:t>
      </w:r>
      <w:r w:rsidR="00F65B33" w:rsidRPr="00F65B33">
        <w:rPr>
          <w:sz w:val="28"/>
          <w:szCs w:val="28"/>
        </w:rPr>
        <w:t>по линии программы специальных фондов и фондов</w:t>
      </w:r>
      <w:r>
        <w:rPr>
          <w:sz w:val="28"/>
          <w:szCs w:val="28"/>
        </w:rPr>
        <w:t xml:space="preserve"> </w:t>
      </w:r>
      <w:r w:rsidR="00F65B33" w:rsidRPr="00F65B33">
        <w:rPr>
          <w:sz w:val="28"/>
          <w:szCs w:val="28"/>
        </w:rPr>
        <w:t>технического и инвестиционного содействия.</w:t>
      </w:r>
    </w:p>
    <w:p w:rsidR="00F65B33" w:rsidRPr="00F65B33" w:rsidRDefault="00F65B33" w:rsidP="0027005B">
      <w:pPr>
        <w:spacing w:line="360" w:lineRule="auto"/>
        <w:ind w:firstLine="709"/>
        <w:contextualSpacing/>
        <w:jc w:val="both"/>
        <w:rPr>
          <w:sz w:val="28"/>
          <w:szCs w:val="28"/>
        </w:rPr>
      </w:pPr>
      <w:r w:rsidRPr="00F65B33">
        <w:rPr>
          <w:sz w:val="28"/>
          <w:szCs w:val="28"/>
        </w:rPr>
        <w:t>Эти общие результаты отражают твердую решимость</w:t>
      </w:r>
      <w:r w:rsidR="0027005B">
        <w:rPr>
          <w:sz w:val="28"/>
          <w:szCs w:val="28"/>
        </w:rPr>
        <w:t xml:space="preserve"> </w:t>
      </w:r>
      <w:r w:rsidRPr="00F65B33">
        <w:rPr>
          <w:sz w:val="28"/>
          <w:szCs w:val="28"/>
        </w:rPr>
        <w:t>Банка оказывать поддержку его странам операций в деле</w:t>
      </w:r>
      <w:r w:rsidR="0027005B">
        <w:rPr>
          <w:sz w:val="28"/>
          <w:szCs w:val="28"/>
        </w:rPr>
        <w:t xml:space="preserve"> </w:t>
      </w:r>
      <w:r w:rsidRPr="00F65B33">
        <w:rPr>
          <w:sz w:val="28"/>
          <w:szCs w:val="28"/>
        </w:rPr>
        <w:t>построения и укрепления открытой рыночной экономики.</w:t>
      </w:r>
    </w:p>
    <w:p w:rsidR="002E5559" w:rsidRDefault="002E5559" w:rsidP="002E5559">
      <w:pPr>
        <w:spacing w:line="360" w:lineRule="auto"/>
        <w:ind w:firstLine="709"/>
        <w:contextualSpacing/>
        <w:jc w:val="both"/>
        <w:rPr>
          <w:sz w:val="28"/>
          <w:szCs w:val="28"/>
        </w:rPr>
      </w:pPr>
      <w:r>
        <w:rPr>
          <w:sz w:val="28"/>
          <w:szCs w:val="28"/>
        </w:rPr>
        <w:t>Например, Финансирование малых предпр</w:t>
      </w:r>
      <w:r w:rsidRPr="002E5559">
        <w:rPr>
          <w:sz w:val="28"/>
          <w:szCs w:val="28"/>
        </w:rPr>
        <w:t xml:space="preserve">иятий </w:t>
      </w:r>
      <w:r>
        <w:rPr>
          <w:sz w:val="28"/>
          <w:szCs w:val="28"/>
        </w:rPr>
        <w:t xml:space="preserve">Киргизской Республики. </w:t>
      </w:r>
    </w:p>
    <w:p w:rsidR="002E5559" w:rsidRDefault="002E5559" w:rsidP="002E5559">
      <w:pPr>
        <w:spacing w:line="360" w:lineRule="auto"/>
        <w:ind w:firstLine="709"/>
        <w:contextualSpacing/>
        <w:jc w:val="both"/>
        <w:rPr>
          <w:sz w:val="28"/>
          <w:szCs w:val="28"/>
        </w:rPr>
      </w:pPr>
      <w:r>
        <w:rPr>
          <w:sz w:val="28"/>
          <w:szCs w:val="28"/>
        </w:rPr>
        <w:t>В</w:t>
      </w:r>
      <w:r w:rsidRPr="002E5559">
        <w:rPr>
          <w:sz w:val="28"/>
          <w:szCs w:val="28"/>
        </w:rPr>
        <w:t xml:space="preserve"> рамках Среднего механизма софинансирования Банк совместно с «Киргизским инвестиционно</w:t>
      </w:r>
      <w:r w:rsidRPr="002E5559">
        <w:rPr>
          <w:rFonts w:ascii="MS Mincho" w:eastAsia="MS Mincho" w:hAnsi="MS Mincho" w:cs="MS Mincho" w:hint="eastAsia"/>
          <w:sz w:val="28"/>
          <w:szCs w:val="28"/>
        </w:rPr>
        <w:t>‑</w:t>
      </w:r>
      <w:r w:rsidRPr="002E5559">
        <w:rPr>
          <w:sz w:val="28"/>
          <w:szCs w:val="28"/>
        </w:rPr>
        <w:t>кредитным банком» – одним из банков–партнеров ЕБРР в Киргизской Республике – профинансировал кр</w:t>
      </w:r>
      <w:r>
        <w:rPr>
          <w:sz w:val="28"/>
          <w:szCs w:val="28"/>
        </w:rPr>
        <w:t>едит в размере 500 000 долл. США</w:t>
      </w:r>
      <w:r w:rsidRPr="002E5559">
        <w:rPr>
          <w:sz w:val="28"/>
          <w:szCs w:val="28"/>
        </w:rPr>
        <w:t xml:space="preserve"> (378 788 евро) для ооо «оско» – производителя сухофруктов, компота из натуральных фруктов </w:t>
      </w:r>
      <w:r>
        <w:rPr>
          <w:sz w:val="28"/>
          <w:szCs w:val="28"/>
        </w:rPr>
        <w:t xml:space="preserve"> </w:t>
      </w:r>
      <w:r w:rsidRPr="002E5559">
        <w:rPr>
          <w:sz w:val="28"/>
          <w:szCs w:val="28"/>
        </w:rPr>
        <w:t xml:space="preserve">и «биокваса» (традиционного русского напитка) в Киргизской Республике. </w:t>
      </w:r>
    </w:p>
    <w:p w:rsidR="002E5559" w:rsidRPr="002E5559" w:rsidRDefault="002E5559" w:rsidP="002E5559">
      <w:pPr>
        <w:spacing w:line="360" w:lineRule="auto"/>
        <w:ind w:firstLine="709"/>
        <w:contextualSpacing/>
        <w:jc w:val="both"/>
        <w:rPr>
          <w:sz w:val="28"/>
          <w:szCs w:val="28"/>
        </w:rPr>
      </w:pPr>
      <w:r w:rsidRPr="002E5559">
        <w:rPr>
          <w:sz w:val="28"/>
          <w:szCs w:val="28"/>
        </w:rPr>
        <w:t>Компания экспортирует примерно 85% своей продукции, из которых 70% вывозится в Россию, 15% – в Казахстан, а оставшиеся 15% продукции реализуются на киргизском рынке.</w:t>
      </w:r>
    </w:p>
    <w:p w:rsidR="00F65B33" w:rsidRDefault="002E5559" w:rsidP="002E5559">
      <w:pPr>
        <w:spacing w:line="360" w:lineRule="auto"/>
        <w:ind w:firstLine="709"/>
        <w:contextualSpacing/>
        <w:jc w:val="both"/>
        <w:rPr>
          <w:sz w:val="28"/>
          <w:szCs w:val="28"/>
        </w:rPr>
      </w:pPr>
      <w:r w:rsidRPr="002E5559">
        <w:rPr>
          <w:sz w:val="28"/>
          <w:szCs w:val="28"/>
        </w:rPr>
        <w:t>Проект предусматривает закупку новой упаковочной линии для сухофруктов, что позволит компании повысить качество своей упаковки (согласно требованиям рынка) и увеличить продажи сухофруктов в виде конечного продукта, а также продление срока погашения ее краткосрочного кредита.</w:t>
      </w:r>
    </w:p>
    <w:p w:rsidR="002E5559" w:rsidRDefault="002E5559" w:rsidP="004A2799">
      <w:pPr>
        <w:spacing w:line="360" w:lineRule="auto"/>
        <w:ind w:firstLine="709"/>
        <w:contextualSpacing/>
        <w:jc w:val="center"/>
        <w:rPr>
          <w:b/>
          <w:sz w:val="28"/>
          <w:szCs w:val="28"/>
        </w:rPr>
      </w:pPr>
      <w:r w:rsidRPr="004A2799">
        <w:rPr>
          <w:b/>
          <w:sz w:val="28"/>
          <w:szCs w:val="28"/>
        </w:rPr>
        <w:t xml:space="preserve">2.2 </w:t>
      </w:r>
      <w:r w:rsidR="004A2799" w:rsidRPr="004A2799">
        <w:rPr>
          <w:b/>
          <w:sz w:val="28"/>
          <w:szCs w:val="28"/>
        </w:rPr>
        <w:t>Политика ЕБРР в России</w:t>
      </w:r>
    </w:p>
    <w:p w:rsidR="001716C5" w:rsidRDefault="001716C5" w:rsidP="004A2799">
      <w:pPr>
        <w:spacing w:line="360" w:lineRule="auto"/>
        <w:ind w:firstLine="709"/>
        <w:contextualSpacing/>
        <w:jc w:val="center"/>
        <w:rPr>
          <w:b/>
          <w:sz w:val="28"/>
          <w:szCs w:val="28"/>
        </w:rPr>
      </w:pPr>
    </w:p>
    <w:p w:rsidR="00792FFC" w:rsidRDefault="00792FFC" w:rsidP="00792FFC">
      <w:pPr>
        <w:spacing w:line="360" w:lineRule="auto"/>
        <w:ind w:firstLine="709"/>
        <w:contextualSpacing/>
        <w:jc w:val="both"/>
        <w:rPr>
          <w:sz w:val="28"/>
          <w:szCs w:val="28"/>
        </w:rPr>
      </w:pPr>
      <w:r w:rsidRPr="00792FFC">
        <w:rPr>
          <w:sz w:val="28"/>
          <w:szCs w:val="28"/>
        </w:rPr>
        <w:t>Доминирующими приоритетами в стратегии деятельности ЕБРР в России являются модернизация, конкурентоспособность и диверсификация реального сектора экономики страны. Реализация этих приоритетов будет подкрепляться активным развитием инфраструктуры, диверсификацией экономики, вн</w:t>
      </w:r>
      <w:r>
        <w:rPr>
          <w:sz w:val="28"/>
          <w:szCs w:val="28"/>
        </w:rPr>
        <w:t xml:space="preserve">едрением эффективно действующих </w:t>
      </w:r>
      <w:r w:rsidRPr="00792FFC">
        <w:rPr>
          <w:sz w:val="28"/>
          <w:szCs w:val="28"/>
        </w:rPr>
        <w:t>механизмов финансирования.</w:t>
      </w:r>
    </w:p>
    <w:p w:rsidR="0034337B" w:rsidRPr="0034337B" w:rsidRDefault="0034337B" w:rsidP="0034337B">
      <w:pPr>
        <w:spacing w:line="360" w:lineRule="auto"/>
        <w:ind w:firstLine="709"/>
        <w:contextualSpacing/>
        <w:jc w:val="right"/>
        <w:rPr>
          <w:i/>
          <w:sz w:val="28"/>
          <w:szCs w:val="28"/>
        </w:rPr>
      </w:pPr>
      <w:r>
        <w:rPr>
          <w:i/>
          <w:sz w:val="28"/>
          <w:szCs w:val="28"/>
        </w:rPr>
        <w:t>Таблица 2.1</w:t>
      </w:r>
    </w:p>
    <w:tbl>
      <w:tblPr>
        <w:tblStyle w:val="a6"/>
        <w:tblW w:w="0" w:type="auto"/>
        <w:tblInd w:w="1384" w:type="dxa"/>
        <w:tblLook w:val="04A0"/>
      </w:tblPr>
      <w:tblGrid>
        <w:gridCol w:w="5103"/>
        <w:gridCol w:w="3084"/>
      </w:tblGrid>
      <w:tr w:rsidR="0034337B" w:rsidTr="0034337B">
        <w:tc>
          <w:tcPr>
            <w:tcW w:w="5103" w:type="dxa"/>
          </w:tcPr>
          <w:p w:rsidR="0034337B" w:rsidRPr="0034337B" w:rsidRDefault="0034337B" w:rsidP="00792FFC">
            <w:pPr>
              <w:spacing w:line="360" w:lineRule="auto"/>
              <w:contextualSpacing/>
              <w:jc w:val="both"/>
              <w:rPr>
                <w:sz w:val="24"/>
                <w:szCs w:val="24"/>
              </w:rPr>
            </w:pPr>
            <w:r w:rsidRPr="0034337B">
              <w:rPr>
                <w:sz w:val="24"/>
                <w:szCs w:val="24"/>
              </w:rPr>
              <w:t>Число проектов</w:t>
            </w:r>
          </w:p>
        </w:tc>
        <w:tc>
          <w:tcPr>
            <w:tcW w:w="3084" w:type="dxa"/>
          </w:tcPr>
          <w:p w:rsidR="0034337B" w:rsidRPr="0034337B" w:rsidRDefault="0034337B" w:rsidP="00792FFC">
            <w:pPr>
              <w:spacing w:line="360" w:lineRule="auto"/>
              <w:contextualSpacing/>
              <w:jc w:val="both"/>
              <w:rPr>
                <w:sz w:val="24"/>
                <w:szCs w:val="24"/>
              </w:rPr>
            </w:pPr>
            <w:r w:rsidRPr="0034337B">
              <w:rPr>
                <w:sz w:val="24"/>
                <w:szCs w:val="24"/>
              </w:rPr>
              <w:t>657</w:t>
            </w:r>
          </w:p>
        </w:tc>
      </w:tr>
      <w:tr w:rsidR="0034337B" w:rsidTr="0034337B">
        <w:tc>
          <w:tcPr>
            <w:tcW w:w="5103" w:type="dxa"/>
          </w:tcPr>
          <w:p w:rsidR="0034337B" w:rsidRPr="0034337B" w:rsidRDefault="0034337B" w:rsidP="00792FFC">
            <w:pPr>
              <w:spacing w:line="360" w:lineRule="auto"/>
              <w:contextualSpacing/>
              <w:jc w:val="both"/>
              <w:rPr>
                <w:sz w:val="24"/>
                <w:szCs w:val="24"/>
              </w:rPr>
            </w:pPr>
            <w:r w:rsidRPr="0034337B">
              <w:rPr>
                <w:sz w:val="24"/>
                <w:szCs w:val="24"/>
              </w:rPr>
              <w:t>Чистый объем сделок</w:t>
            </w:r>
          </w:p>
        </w:tc>
        <w:tc>
          <w:tcPr>
            <w:tcW w:w="3084" w:type="dxa"/>
          </w:tcPr>
          <w:p w:rsidR="0034337B" w:rsidRPr="0034337B" w:rsidRDefault="0034337B" w:rsidP="00792FFC">
            <w:pPr>
              <w:spacing w:line="360" w:lineRule="auto"/>
              <w:contextualSpacing/>
              <w:jc w:val="both"/>
              <w:rPr>
                <w:sz w:val="24"/>
                <w:szCs w:val="24"/>
              </w:rPr>
            </w:pPr>
            <w:r w:rsidRPr="0034337B">
              <w:rPr>
                <w:sz w:val="24"/>
                <w:szCs w:val="24"/>
              </w:rPr>
              <w:t>17,4 млрд. евро</w:t>
            </w:r>
          </w:p>
        </w:tc>
      </w:tr>
      <w:tr w:rsidR="0034337B" w:rsidTr="0034337B">
        <w:tc>
          <w:tcPr>
            <w:tcW w:w="5103" w:type="dxa"/>
          </w:tcPr>
          <w:p w:rsidR="0034337B" w:rsidRPr="0034337B" w:rsidRDefault="0034337B" w:rsidP="00792FFC">
            <w:pPr>
              <w:spacing w:line="360" w:lineRule="auto"/>
              <w:contextualSpacing/>
              <w:jc w:val="both"/>
              <w:rPr>
                <w:sz w:val="24"/>
                <w:szCs w:val="24"/>
              </w:rPr>
            </w:pPr>
            <w:r w:rsidRPr="0034337B">
              <w:rPr>
                <w:sz w:val="24"/>
                <w:szCs w:val="24"/>
              </w:rPr>
              <w:t>Общая стоимость проектов</w:t>
            </w:r>
          </w:p>
        </w:tc>
        <w:tc>
          <w:tcPr>
            <w:tcW w:w="3084" w:type="dxa"/>
          </w:tcPr>
          <w:p w:rsidR="0034337B" w:rsidRPr="0034337B" w:rsidRDefault="0034337B" w:rsidP="00792FFC">
            <w:pPr>
              <w:spacing w:line="360" w:lineRule="auto"/>
              <w:contextualSpacing/>
              <w:jc w:val="both"/>
              <w:rPr>
                <w:sz w:val="24"/>
                <w:szCs w:val="24"/>
              </w:rPr>
            </w:pPr>
            <w:r w:rsidRPr="0034337B">
              <w:rPr>
                <w:sz w:val="24"/>
                <w:szCs w:val="24"/>
              </w:rPr>
              <w:t>49,4 млрд. евро</w:t>
            </w:r>
          </w:p>
        </w:tc>
      </w:tr>
      <w:tr w:rsidR="0034337B" w:rsidTr="0034337B">
        <w:tc>
          <w:tcPr>
            <w:tcW w:w="5103" w:type="dxa"/>
          </w:tcPr>
          <w:p w:rsidR="0034337B" w:rsidRPr="0034337B" w:rsidRDefault="0034337B" w:rsidP="00792FFC">
            <w:pPr>
              <w:spacing w:line="360" w:lineRule="auto"/>
              <w:contextualSpacing/>
              <w:jc w:val="both"/>
              <w:rPr>
                <w:sz w:val="24"/>
                <w:szCs w:val="24"/>
              </w:rPr>
            </w:pPr>
            <w:r w:rsidRPr="0034337B">
              <w:rPr>
                <w:sz w:val="24"/>
                <w:szCs w:val="24"/>
              </w:rPr>
              <w:t>Валовая сумма выбранных средств</w:t>
            </w:r>
          </w:p>
        </w:tc>
        <w:tc>
          <w:tcPr>
            <w:tcW w:w="3084" w:type="dxa"/>
          </w:tcPr>
          <w:p w:rsidR="0034337B" w:rsidRPr="0034337B" w:rsidRDefault="0034337B" w:rsidP="00792FFC">
            <w:pPr>
              <w:spacing w:line="360" w:lineRule="auto"/>
              <w:contextualSpacing/>
              <w:jc w:val="both"/>
              <w:rPr>
                <w:sz w:val="24"/>
                <w:szCs w:val="24"/>
              </w:rPr>
            </w:pPr>
            <w:r w:rsidRPr="0034337B">
              <w:rPr>
                <w:sz w:val="24"/>
                <w:szCs w:val="24"/>
              </w:rPr>
              <w:t>12,7 млрд. евро</w:t>
            </w:r>
          </w:p>
        </w:tc>
      </w:tr>
      <w:tr w:rsidR="0034337B" w:rsidTr="0034337B">
        <w:tc>
          <w:tcPr>
            <w:tcW w:w="5103" w:type="dxa"/>
          </w:tcPr>
          <w:p w:rsidR="0034337B" w:rsidRPr="0034337B" w:rsidRDefault="0034337B" w:rsidP="00792FFC">
            <w:pPr>
              <w:spacing w:line="360" w:lineRule="auto"/>
              <w:contextualSpacing/>
              <w:jc w:val="both"/>
              <w:rPr>
                <w:sz w:val="24"/>
                <w:szCs w:val="24"/>
              </w:rPr>
            </w:pPr>
            <w:r w:rsidRPr="0034337B">
              <w:rPr>
                <w:sz w:val="24"/>
                <w:szCs w:val="24"/>
              </w:rPr>
              <w:t>Текущий объем портфеля</w:t>
            </w:r>
          </w:p>
        </w:tc>
        <w:tc>
          <w:tcPr>
            <w:tcW w:w="3084" w:type="dxa"/>
          </w:tcPr>
          <w:p w:rsidR="0034337B" w:rsidRPr="0034337B" w:rsidRDefault="0034337B" w:rsidP="00792FFC">
            <w:pPr>
              <w:spacing w:line="360" w:lineRule="auto"/>
              <w:contextualSpacing/>
              <w:jc w:val="both"/>
              <w:rPr>
                <w:sz w:val="24"/>
                <w:szCs w:val="24"/>
              </w:rPr>
            </w:pPr>
            <w:r w:rsidRPr="0034337B">
              <w:rPr>
                <w:sz w:val="24"/>
                <w:szCs w:val="24"/>
              </w:rPr>
              <w:t>8,0 млрд. евро</w:t>
            </w:r>
          </w:p>
        </w:tc>
      </w:tr>
      <w:tr w:rsidR="0034337B" w:rsidTr="0034337B">
        <w:tc>
          <w:tcPr>
            <w:tcW w:w="5103" w:type="dxa"/>
          </w:tcPr>
          <w:p w:rsidR="0034337B" w:rsidRPr="0034337B" w:rsidRDefault="0034337B" w:rsidP="00792FFC">
            <w:pPr>
              <w:spacing w:line="360" w:lineRule="auto"/>
              <w:contextualSpacing/>
              <w:jc w:val="both"/>
              <w:rPr>
                <w:sz w:val="24"/>
                <w:szCs w:val="24"/>
              </w:rPr>
            </w:pPr>
            <w:r w:rsidRPr="0034337B">
              <w:rPr>
                <w:sz w:val="24"/>
                <w:szCs w:val="24"/>
              </w:rPr>
              <w:t>Портфельная доля проектов в частном секторе</w:t>
            </w:r>
          </w:p>
        </w:tc>
        <w:tc>
          <w:tcPr>
            <w:tcW w:w="3084" w:type="dxa"/>
          </w:tcPr>
          <w:p w:rsidR="0034337B" w:rsidRPr="0034337B" w:rsidRDefault="0034337B" w:rsidP="00792FFC">
            <w:pPr>
              <w:spacing w:line="360" w:lineRule="auto"/>
              <w:contextualSpacing/>
              <w:jc w:val="both"/>
              <w:rPr>
                <w:sz w:val="24"/>
                <w:szCs w:val="24"/>
              </w:rPr>
            </w:pPr>
            <w:r w:rsidRPr="0034337B">
              <w:rPr>
                <w:sz w:val="24"/>
                <w:szCs w:val="24"/>
              </w:rPr>
              <w:t>85%</w:t>
            </w:r>
          </w:p>
        </w:tc>
      </w:tr>
    </w:tbl>
    <w:p w:rsidR="00792FFC" w:rsidRDefault="00792FFC" w:rsidP="00792FFC">
      <w:pPr>
        <w:spacing w:line="360" w:lineRule="auto"/>
        <w:ind w:firstLine="709"/>
        <w:contextualSpacing/>
        <w:jc w:val="both"/>
        <w:rPr>
          <w:sz w:val="28"/>
          <w:szCs w:val="28"/>
        </w:rPr>
      </w:pPr>
    </w:p>
    <w:p w:rsidR="0034337B" w:rsidRPr="003507EB" w:rsidRDefault="00792FFC" w:rsidP="0034337B">
      <w:pPr>
        <w:spacing w:line="360" w:lineRule="auto"/>
        <w:ind w:firstLine="709"/>
        <w:contextualSpacing/>
        <w:jc w:val="both"/>
        <w:rPr>
          <w:sz w:val="28"/>
          <w:szCs w:val="28"/>
          <w:lang w:val="en-US"/>
        </w:rPr>
      </w:pPr>
      <w:r w:rsidRPr="00792FFC">
        <w:rPr>
          <w:sz w:val="28"/>
          <w:szCs w:val="28"/>
        </w:rPr>
        <w:t xml:space="preserve">Как </w:t>
      </w:r>
      <w:proofErr w:type="gramStart"/>
      <w:r w:rsidRPr="00792FFC">
        <w:rPr>
          <w:sz w:val="28"/>
          <w:szCs w:val="28"/>
        </w:rPr>
        <w:t>отмечается в страновой стратегии по России энергоэффективность стала</w:t>
      </w:r>
      <w:proofErr w:type="gramEnd"/>
      <w:r w:rsidRPr="00792FFC">
        <w:rPr>
          <w:sz w:val="28"/>
          <w:szCs w:val="28"/>
        </w:rPr>
        <w:t xml:space="preserve"> неотъемлемой частью операционной деятельности ЕБРР в России. ЕБРР решает задачу регулирования спроса в области энергопотребления путем сокращения объемов расточительного расходования энергоносителей и уровней выбросов парниковых газов во всех отраслях экономики, что имеет актуальное значение для укрепления конкурентоспособности предприятий и борьбы с изменением климата. </w:t>
      </w:r>
      <w:r w:rsidR="003507EB">
        <w:rPr>
          <w:sz w:val="28"/>
          <w:szCs w:val="28"/>
          <w:lang w:val="en-US"/>
        </w:rPr>
        <w:t>[5]</w:t>
      </w:r>
    </w:p>
    <w:p w:rsidR="0034337B" w:rsidRPr="0034337B" w:rsidRDefault="0034337B" w:rsidP="0034337B">
      <w:pPr>
        <w:spacing w:line="360" w:lineRule="auto"/>
        <w:ind w:firstLine="709"/>
        <w:contextualSpacing/>
        <w:jc w:val="both"/>
        <w:rPr>
          <w:sz w:val="28"/>
          <w:szCs w:val="28"/>
        </w:rPr>
      </w:pPr>
      <w:r w:rsidRPr="0034337B">
        <w:rPr>
          <w:color w:val="222222"/>
          <w:sz w:val="28"/>
          <w:szCs w:val="28"/>
        </w:rPr>
        <w:t>Европейский банк реконструкции и развития утвердил стратегию деятельности в России в следующие три года. Как следует из сообщения ЕБРР, в период 2013—2015 годов его приоритетами на этом рынке будут инвестиции в проекты, ориентированные на диверсификацию и модернизацию экономики, инновации, увеличение роли частного сектора, при этом акцент будет делаться на региональные проекты</w:t>
      </w:r>
      <w:r w:rsidR="003D32BC">
        <w:rPr>
          <w:color w:val="222222"/>
          <w:sz w:val="28"/>
          <w:szCs w:val="28"/>
        </w:rPr>
        <w:t>.</w:t>
      </w:r>
      <w:r w:rsidRPr="0034337B">
        <w:rPr>
          <w:color w:val="222222"/>
          <w:sz w:val="28"/>
          <w:szCs w:val="28"/>
        </w:rPr>
        <w:t xml:space="preserve"> </w:t>
      </w:r>
    </w:p>
    <w:p w:rsidR="0034337B" w:rsidRPr="0034337B" w:rsidRDefault="0034337B" w:rsidP="0034337B">
      <w:pPr>
        <w:pStyle w:val="a4"/>
        <w:shd w:val="clear" w:color="auto" w:fill="FFFFFF"/>
        <w:spacing w:before="0" w:beforeAutospacing="0" w:after="150" w:afterAutospacing="0" w:line="360" w:lineRule="auto"/>
        <w:ind w:firstLine="709"/>
        <w:contextualSpacing/>
        <w:jc w:val="both"/>
        <w:rPr>
          <w:color w:val="222222"/>
          <w:sz w:val="28"/>
          <w:szCs w:val="28"/>
        </w:rPr>
      </w:pPr>
      <w:r w:rsidRPr="0034337B">
        <w:rPr>
          <w:color w:val="222222"/>
          <w:sz w:val="28"/>
          <w:szCs w:val="28"/>
        </w:rPr>
        <w:t>На региональном уровне банк сфокусируется на проектах, стимулирующих развитие среднего класса, в частности за счет расширения доступа малого и среднего бизнеса к финансированию.</w:t>
      </w:r>
    </w:p>
    <w:p w:rsidR="0034337B" w:rsidRPr="0034337B" w:rsidRDefault="0034337B" w:rsidP="0034337B">
      <w:pPr>
        <w:pStyle w:val="a4"/>
        <w:shd w:val="clear" w:color="auto" w:fill="FFFFFF"/>
        <w:spacing w:before="0" w:beforeAutospacing="0" w:after="150" w:afterAutospacing="0" w:line="360" w:lineRule="auto"/>
        <w:ind w:firstLine="709"/>
        <w:contextualSpacing/>
        <w:jc w:val="both"/>
        <w:rPr>
          <w:sz w:val="28"/>
          <w:szCs w:val="28"/>
        </w:rPr>
      </w:pPr>
      <w:r w:rsidRPr="0034337B">
        <w:rPr>
          <w:color w:val="222222"/>
          <w:sz w:val="28"/>
          <w:szCs w:val="28"/>
        </w:rPr>
        <w:t>Как подчеркивается в документе ЕБРР, основной задачей остается улучшение инвестклимата и стандартов ведения бизнеса и корпоративного управления в РФ, особенно на региональном уровне. Это, в свою очередь, гарантирует увеличение совокупных инвестиций, включая прямые</w:t>
      </w:r>
      <w:r w:rsidRPr="0034337B">
        <w:rPr>
          <w:rStyle w:val="apple-converted-space"/>
          <w:color w:val="222222"/>
          <w:sz w:val="28"/>
          <w:szCs w:val="28"/>
        </w:rPr>
        <w:t> </w:t>
      </w:r>
      <w:hyperlink r:id="rId8" w:tooltip="иностранные инвестиции" w:history="1">
        <w:r w:rsidRPr="0034337B">
          <w:rPr>
            <w:rStyle w:val="a9"/>
            <w:color w:val="auto"/>
            <w:sz w:val="28"/>
            <w:szCs w:val="28"/>
            <w:u w:val="none"/>
          </w:rPr>
          <w:t>иностранные инвестиции</w:t>
        </w:r>
        <w:r>
          <w:rPr>
            <w:noProof/>
            <w:sz w:val="28"/>
            <w:szCs w:val="28"/>
          </w:rPr>
          <w:t>.</w:t>
        </w:r>
      </w:hyperlink>
    </w:p>
    <w:p w:rsidR="0034337B" w:rsidRPr="0034337B" w:rsidRDefault="0034337B" w:rsidP="0034337B">
      <w:pPr>
        <w:pStyle w:val="a4"/>
        <w:shd w:val="clear" w:color="auto" w:fill="FFFFFF"/>
        <w:spacing w:before="0" w:beforeAutospacing="0" w:after="150" w:afterAutospacing="0" w:line="360" w:lineRule="auto"/>
        <w:ind w:firstLine="709"/>
        <w:contextualSpacing/>
        <w:jc w:val="both"/>
        <w:rPr>
          <w:color w:val="222222"/>
          <w:sz w:val="28"/>
          <w:szCs w:val="28"/>
        </w:rPr>
      </w:pPr>
      <w:r w:rsidRPr="0034337B">
        <w:rPr>
          <w:color w:val="222222"/>
          <w:sz w:val="28"/>
          <w:szCs w:val="28"/>
        </w:rPr>
        <w:t xml:space="preserve">Как следует из трехлетней стратегии, несмотря на </w:t>
      </w:r>
      <w:proofErr w:type="gramStart"/>
      <w:r w:rsidRPr="0034337B">
        <w:rPr>
          <w:color w:val="222222"/>
          <w:sz w:val="28"/>
          <w:szCs w:val="28"/>
        </w:rPr>
        <w:t>то</w:t>
      </w:r>
      <w:proofErr w:type="gramEnd"/>
      <w:r w:rsidRPr="0034337B">
        <w:rPr>
          <w:color w:val="222222"/>
          <w:sz w:val="28"/>
          <w:szCs w:val="28"/>
        </w:rPr>
        <w:t xml:space="preserve"> что основной упор ЕБРР продолжит делать на частный сектор, фин</w:t>
      </w:r>
      <w:r w:rsidR="003D32BC">
        <w:rPr>
          <w:color w:val="222222"/>
          <w:sz w:val="28"/>
          <w:szCs w:val="28"/>
        </w:rPr>
        <w:t xml:space="preserve">ансовый </w:t>
      </w:r>
      <w:r w:rsidRPr="0034337B">
        <w:rPr>
          <w:color w:val="222222"/>
          <w:sz w:val="28"/>
          <w:szCs w:val="28"/>
        </w:rPr>
        <w:t>институт также будет активно работать с госкомпаниями. Например, банк готов к инвестициям при наличии четкого плана приватизации госкомпании, а также планирует вкладываться в муниципальные инфраструктурные проекты, поддержка которых средствами частных инвесторов представляется проблематичной.</w:t>
      </w:r>
    </w:p>
    <w:p w:rsidR="0034337B" w:rsidRPr="0034337B" w:rsidRDefault="0034337B" w:rsidP="0034337B">
      <w:pPr>
        <w:pStyle w:val="a4"/>
        <w:shd w:val="clear" w:color="auto" w:fill="FFFFFF"/>
        <w:spacing w:before="0" w:beforeAutospacing="0" w:after="0" w:afterAutospacing="0" w:line="360" w:lineRule="auto"/>
        <w:ind w:firstLine="709"/>
        <w:contextualSpacing/>
        <w:jc w:val="both"/>
        <w:rPr>
          <w:color w:val="222222"/>
          <w:sz w:val="28"/>
          <w:szCs w:val="28"/>
        </w:rPr>
      </w:pPr>
      <w:r w:rsidRPr="0034337B">
        <w:rPr>
          <w:color w:val="222222"/>
          <w:sz w:val="28"/>
          <w:szCs w:val="28"/>
        </w:rPr>
        <w:t>Также в центре внимания ЕБРР будут проекты в сфере энергоэффективности.</w:t>
      </w:r>
    </w:p>
    <w:p w:rsidR="0034337B" w:rsidRPr="00FF769F" w:rsidRDefault="00FF769F" w:rsidP="00FF769F">
      <w:pPr>
        <w:spacing w:line="360" w:lineRule="auto"/>
        <w:ind w:firstLine="709"/>
        <w:contextualSpacing/>
        <w:jc w:val="right"/>
        <w:rPr>
          <w:i/>
        </w:rPr>
      </w:pPr>
      <w:r w:rsidRPr="00FF769F">
        <w:rPr>
          <w:i/>
        </w:rPr>
        <w:t>Рисунок 2.1</w:t>
      </w:r>
      <w:r>
        <w:rPr>
          <w:i/>
        </w:rPr>
        <w:t xml:space="preserve"> «</w:t>
      </w:r>
      <w:proofErr w:type="gramStart"/>
      <w:r>
        <w:rPr>
          <w:i/>
        </w:rPr>
        <w:t>Текущие</w:t>
      </w:r>
      <w:proofErr w:type="gramEnd"/>
      <w:r>
        <w:rPr>
          <w:i/>
        </w:rPr>
        <w:t xml:space="preserve"> проеты в разбивке по отраслям»</w:t>
      </w:r>
    </w:p>
    <w:p w:rsidR="00792FFC" w:rsidRDefault="00792FFC" w:rsidP="0034337B">
      <w:pPr>
        <w:spacing w:line="360" w:lineRule="auto"/>
        <w:contextualSpacing/>
        <w:jc w:val="both"/>
        <w:rPr>
          <w:sz w:val="28"/>
          <w:szCs w:val="28"/>
        </w:rPr>
      </w:pPr>
      <w:r>
        <w:rPr>
          <w:noProof/>
          <w:sz w:val="28"/>
          <w:szCs w:val="28"/>
        </w:rPr>
        <w:drawing>
          <wp:inline distT="0" distB="0" distL="0" distR="0">
            <wp:extent cx="5695950" cy="2771775"/>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92FFC" w:rsidRDefault="00792FFC" w:rsidP="00792FFC">
      <w:pPr>
        <w:pStyle w:val="a3"/>
        <w:numPr>
          <w:ilvl w:val="0"/>
          <w:numId w:val="2"/>
        </w:numPr>
        <w:spacing w:line="360" w:lineRule="auto"/>
        <w:jc w:val="both"/>
        <w:rPr>
          <w:sz w:val="28"/>
          <w:szCs w:val="28"/>
        </w:rPr>
      </w:pPr>
      <w:r w:rsidRPr="00792FFC">
        <w:rPr>
          <w:sz w:val="28"/>
          <w:szCs w:val="28"/>
        </w:rPr>
        <w:t>– корпоративный сектор</w:t>
      </w:r>
    </w:p>
    <w:p w:rsidR="00792FFC" w:rsidRPr="00792FFC" w:rsidRDefault="00792FFC" w:rsidP="00792FFC">
      <w:pPr>
        <w:pStyle w:val="a3"/>
        <w:numPr>
          <w:ilvl w:val="0"/>
          <w:numId w:val="2"/>
        </w:numPr>
        <w:spacing w:line="360" w:lineRule="auto"/>
        <w:jc w:val="both"/>
        <w:rPr>
          <w:sz w:val="28"/>
          <w:szCs w:val="28"/>
        </w:rPr>
      </w:pPr>
      <w:r w:rsidRPr="00792FFC">
        <w:rPr>
          <w:sz w:val="28"/>
          <w:szCs w:val="28"/>
        </w:rPr>
        <w:t>– Энергетика</w:t>
      </w:r>
    </w:p>
    <w:p w:rsidR="00792FFC" w:rsidRDefault="00792FFC" w:rsidP="00792FFC">
      <w:pPr>
        <w:pStyle w:val="a3"/>
        <w:numPr>
          <w:ilvl w:val="0"/>
          <w:numId w:val="2"/>
        </w:numPr>
        <w:spacing w:line="360" w:lineRule="auto"/>
        <w:jc w:val="both"/>
        <w:rPr>
          <w:sz w:val="28"/>
          <w:szCs w:val="28"/>
        </w:rPr>
      </w:pPr>
      <w:r>
        <w:rPr>
          <w:sz w:val="28"/>
          <w:szCs w:val="28"/>
        </w:rPr>
        <w:t>– Финансовые организации</w:t>
      </w:r>
    </w:p>
    <w:p w:rsidR="00792FFC" w:rsidRDefault="0034337B" w:rsidP="00792FFC">
      <w:pPr>
        <w:pStyle w:val="a3"/>
        <w:numPr>
          <w:ilvl w:val="0"/>
          <w:numId w:val="2"/>
        </w:numPr>
        <w:spacing w:line="360" w:lineRule="auto"/>
        <w:jc w:val="both"/>
        <w:rPr>
          <w:sz w:val="28"/>
          <w:szCs w:val="28"/>
        </w:rPr>
      </w:pPr>
      <w:r>
        <w:rPr>
          <w:sz w:val="28"/>
          <w:szCs w:val="28"/>
        </w:rPr>
        <w:t>–</w:t>
      </w:r>
      <w:r w:rsidR="00792FFC">
        <w:rPr>
          <w:sz w:val="28"/>
          <w:szCs w:val="28"/>
        </w:rPr>
        <w:t xml:space="preserve"> Инфраструктура</w:t>
      </w:r>
    </w:p>
    <w:p w:rsidR="004A2799" w:rsidRDefault="002E5559" w:rsidP="004A2799">
      <w:pPr>
        <w:spacing w:line="360" w:lineRule="auto"/>
        <w:ind w:firstLine="709"/>
        <w:contextualSpacing/>
        <w:jc w:val="both"/>
        <w:rPr>
          <w:sz w:val="28"/>
          <w:szCs w:val="28"/>
        </w:rPr>
      </w:pPr>
      <w:r w:rsidRPr="002E5559">
        <w:rPr>
          <w:sz w:val="28"/>
          <w:szCs w:val="28"/>
        </w:rPr>
        <w:t xml:space="preserve">По состоянию на конец июня 2012 года с момента начала своей деятельности в России в 1991 году Банк подписал в общей сложности 726 проектов на сумму 22,3 млрд. евро. </w:t>
      </w:r>
    </w:p>
    <w:p w:rsidR="002E5559" w:rsidRPr="003507EB" w:rsidRDefault="002E5559" w:rsidP="004A2799">
      <w:pPr>
        <w:spacing w:line="360" w:lineRule="auto"/>
        <w:ind w:firstLine="709"/>
        <w:contextualSpacing/>
        <w:jc w:val="both"/>
        <w:rPr>
          <w:sz w:val="28"/>
          <w:szCs w:val="28"/>
          <w:lang w:val="en-US"/>
        </w:rPr>
      </w:pPr>
      <w:r w:rsidRPr="002E5559">
        <w:rPr>
          <w:sz w:val="28"/>
          <w:szCs w:val="28"/>
        </w:rPr>
        <w:t>Общий объем этих проектов составил 65 млрд. евро, включая более 5 млрд. евро, привлеченных Банком в виде синдицированных кредито</w:t>
      </w:r>
      <w:r w:rsidR="004A2799">
        <w:rPr>
          <w:sz w:val="28"/>
          <w:szCs w:val="28"/>
        </w:rPr>
        <w:t xml:space="preserve">в. </w:t>
      </w:r>
      <w:r w:rsidRPr="002E5559">
        <w:rPr>
          <w:sz w:val="28"/>
          <w:szCs w:val="28"/>
        </w:rPr>
        <w:t xml:space="preserve">Примерно 35% совокупных </w:t>
      </w:r>
      <w:r w:rsidR="004A2799">
        <w:rPr>
          <w:sz w:val="28"/>
          <w:szCs w:val="28"/>
        </w:rPr>
        <w:t xml:space="preserve"> </w:t>
      </w:r>
      <w:r w:rsidRPr="002E5559">
        <w:rPr>
          <w:sz w:val="28"/>
          <w:szCs w:val="28"/>
        </w:rPr>
        <w:t>инвестиций Банка приходятся на корпоративный сек</w:t>
      </w:r>
      <w:r w:rsidR="004A2799">
        <w:rPr>
          <w:sz w:val="28"/>
          <w:szCs w:val="28"/>
        </w:rPr>
        <w:t xml:space="preserve">тор, 36% – на сектор финансовых </w:t>
      </w:r>
      <w:r w:rsidRPr="002E5559">
        <w:rPr>
          <w:sz w:val="28"/>
          <w:szCs w:val="28"/>
        </w:rPr>
        <w:t xml:space="preserve">институтов, 18% – на сектор инфраструктуры, и 11% – на сектора энергетики и природных ресурсов. 198 проектов, на долю которых приходится 19% от совокупного объема вложений Банка, представляют собой инвестиции в акционерный капитал. </w:t>
      </w:r>
      <w:r w:rsidR="003507EB">
        <w:rPr>
          <w:sz w:val="28"/>
          <w:szCs w:val="28"/>
          <w:lang w:val="en-US"/>
        </w:rPr>
        <w:t>[6]</w:t>
      </w:r>
    </w:p>
    <w:p w:rsidR="004A2799" w:rsidRDefault="002E5559" w:rsidP="004A2799">
      <w:pPr>
        <w:spacing w:line="360" w:lineRule="auto"/>
        <w:ind w:firstLine="709"/>
        <w:contextualSpacing/>
        <w:jc w:val="both"/>
        <w:rPr>
          <w:sz w:val="28"/>
          <w:szCs w:val="28"/>
        </w:rPr>
      </w:pPr>
      <w:r w:rsidRPr="002E5559">
        <w:rPr>
          <w:sz w:val="28"/>
          <w:szCs w:val="28"/>
        </w:rPr>
        <w:t xml:space="preserve">С учетом стратегической направленности на развитие частного сектора на его долю приходилось 83% вложений Банка. </w:t>
      </w:r>
    </w:p>
    <w:p w:rsidR="004A2799" w:rsidRDefault="002E5559" w:rsidP="004A2799">
      <w:pPr>
        <w:spacing w:line="360" w:lineRule="auto"/>
        <w:ind w:firstLine="709"/>
        <w:contextualSpacing/>
        <w:jc w:val="both"/>
        <w:rPr>
          <w:sz w:val="28"/>
          <w:szCs w:val="28"/>
        </w:rPr>
      </w:pPr>
      <w:r w:rsidRPr="002E5559">
        <w:rPr>
          <w:sz w:val="28"/>
          <w:szCs w:val="28"/>
        </w:rPr>
        <w:t>Портфель Банка в России по состоянию на конец июня 2012 года включал 338 самостоятельных проектов на общую сумму 10,3 млрд. евро, а операционные активы составили 7,9 млрд. евро. Портфель проектов хорошо диверсифицирован по секторам, а его структура по секторам соответствует структуре общего портфеля Банка. При этом доля проектов с компаниями государственного сектора меньше и составляет 16% по сравнению с 26% по Банку в целом, а доля вложений в акционерный капитал больше и составляет 33% от операционных активов по сравнению с 26% по Банку в целом.</w:t>
      </w:r>
    </w:p>
    <w:p w:rsidR="002E5559" w:rsidRPr="002E5559" w:rsidRDefault="002E5559" w:rsidP="004A2799">
      <w:pPr>
        <w:spacing w:line="360" w:lineRule="auto"/>
        <w:ind w:firstLine="709"/>
        <w:contextualSpacing/>
        <w:jc w:val="both"/>
        <w:rPr>
          <w:sz w:val="28"/>
          <w:szCs w:val="28"/>
        </w:rPr>
      </w:pPr>
      <w:r w:rsidRPr="002E5559">
        <w:rPr>
          <w:sz w:val="28"/>
          <w:szCs w:val="28"/>
        </w:rPr>
        <w:t xml:space="preserve">Россия продолжает оставаться крупнейшей страной операций Банка: на ее долю пришлось 32% от годового объема деятельности Банка в 2011 году, 31% от операционных активов Банка и </w:t>
      </w:r>
      <w:r w:rsidR="004A2799">
        <w:rPr>
          <w:sz w:val="28"/>
          <w:szCs w:val="28"/>
        </w:rPr>
        <w:t xml:space="preserve"> </w:t>
      </w:r>
      <w:r w:rsidRPr="002E5559">
        <w:rPr>
          <w:sz w:val="28"/>
          <w:szCs w:val="28"/>
        </w:rPr>
        <w:t xml:space="preserve">28% от портфеля Банка по состоянию на конец июня 2012 года. </w:t>
      </w:r>
    </w:p>
    <w:p w:rsidR="002E5559" w:rsidRPr="002E5559" w:rsidRDefault="002E5559" w:rsidP="002E5559">
      <w:pPr>
        <w:spacing w:line="360" w:lineRule="auto"/>
        <w:ind w:firstLine="709"/>
        <w:contextualSpacing/>
        <w:jc w:val="both"/>
        <w:rPr>
          <w:sz w:val="28"/>
          <w:szCs w:val="28"/>
        </w:rPr>
      </w:pPr>
      <w:r w:rsidRPr="002E5559">
        <w:rPr>
          <w:sz w:val="28"/>
          <w:szCs w:val="28"/>
        </w:rPr>
        <w:t xml:space="preserve"> </w:t>
      </w:r>
    </w:p>
    <w:p w:rsidR="00FF769F" w:rsidRDefault="00FF769F" w:rsidP="004A2799">
      <w:pPr>
        <w:spacing w:line="360" w:lineRule="auto"/>
        <w:ind w:firstLine="709"/>
        <w:contextualSpacing/>
        <w:jc w:val="right"/>
        <w:rPr>
          <w:i/>
        </w:rPr>
      </w:pPr>
    </w:p>
    <w:p w:rsidR="00FF769F" w:rsidRPr="00FF769F" w:rsidRDefault="00FF769F" w:rsidP="004A2799">
      <w:pPr>
        <w:spacing w:line="360" w:lineRule="auto"/>
        <w:ind w:firstLine="709"/>
        <w:contextualSpacing/>
        <w:jc w:val="right"/>
        <w:rPr>
          <w:i/>
        </w:rPr>
      </w:pPr>
    </w:p>
    <w:p w:rsidR="002E5559" w:rsidRPr="004A2799" w:rsidRDefault="00FF769F" w:rsidP="004A2799">
      <w:pPr>
        <w:spacing w:line="360" w:lineRule="auto"/>
        <w:ind w:firstLine="709"/>
        <w:contextualSpacing/>
        <w:jc w:val="right"/>
        <w:rPr>
          <w:i/>
        </w:rPr>
      </w:pPr>
      <w:r>
        <w:rPr>
          <w:i/>
        </w:rPr>
        <w:t xml:space="preserve">Таблица </w:t>
      </w:r>
      <w:r w:rsidRPr="00FF769F">
        <w:rPr>
          <w:i/>
        </w:rPr>
        <w:t>2</w:t>
      </w:r>
      <w:r>
        <w:rPr>
          <w:i/>
        </w:rPr>
        <w:t>.2</w:t>
      </w:r>
      <w:r w:rsidR="004A2799" w:rsidRPr="004A2799">
        <w:rPr>
          <w:i/>
        </w:rPr>
        <w:t xml:space="preserve"> «</w:t>
      </w:r>
      <w:r w:rsidR="002E5559" w:rsidRPr="004A2799">
        <w:rPr>
          <w:i/>
        </w:rPr>
        <w:t xml:space="preserve"> Портфель ЕБР</w:t>
      </w:r>
      <w:r w:rsidR="004A2799" w:rsidRPr="004A2799">
        <w:rPr>
          <w:i/>
        </w:rPr>
        <w:t>Р в России на 30 июня 2012 года»</w:t>
      </w:r>
    </w:p>
    <w:tbl>
      <w:tblPr>
        <w:tblStyle w:val="a6"/>
        <w:tblW w:w="9640" w:type="dxa"/>
        <w:tblLook w:val="04A0"/>
      </w:tblPr>
      <w:tblGrid>
        <w:gridCol w:w="2109"/>
        <w:gridCol w:w="1053"/>
        <w:gridCol w:w="1454"/>
        <w:gridCol w:w="1053"/>
        <w:gridCol w:w="726"/>
        <w:gridCol w:w="1053"/>
        <w:gridCol w:w="1127"/>
        <w:gridCol w:w="1089"/>
      </w:tblGrid>
      <w:tr w:rsidR="004E7785" w:rsidTr="004E7785">
        <w:trPr>
          <w:trHeight w:val="239"/>
        </w:trPr>
        <w:tc>
          <w:tcPr>
            <w:tcW w:w="1052" w:type="dxa"/>
          </w:tcPr>
          <w:p w:rsidR="004E7785" w:rsidRPr="004E7785" w:rsidRDefault="004E7785" w:rsidP="004E7785">
            <w:pPr>
              <w:contextualSpacing/>
              <w:jc w:val="both"/>
              <w:rPr>
                <w:b/>
                <w:sz w:val="20"/>
                <w:szCs w:val="20"/>
              </w:rPr>
            </w:pPr>
            <w:r w:rsidRPr="004E7785">
              <w:rPr>
                <w:b/>
                <w:sz w:val="20"/>
                <w:szCs w:val="20"/>
              </w:rPr>
              <w:t>Сектор</w:t>
            </w:r>
          </w:p>
        </w:tc>
        <w:tc>
          <w:tcPr>
            <w:tcW w:w="5042" w:type="dxa"/>
            <w:gridSpan w:val="4"/>
          </w:tcPr>
          <w:p w:rsidR="004E7785" w:rsidRPr="004E7785" w:rsidRDefault="004E7785" w:rsidP="004E7785">
            <w:pPr>
              <w:contextualSpacing/>
              <w:jc w:val="both"/>
              <w:rPr>
                <w:b/>
                <w:sz w:val="20"/>
                <w:szCs w:val="20"/>
              </w:rPr>
            </w:pPr>
            <w:r w:rsidRPr="004E7785">
              <w:rPr>
                <w:b/>
                <w:sz w:val="20"/>
                <w:szCs w:val="20"/>
              </w:rPr>
              <w:t>Объем операций нарастающим итогом</w:t>
            </w:r>
            <w:proofErr w:type="gramStart"/>
            <w:r w:rsidRPr="004E7785">
              <w:rPr>
                <w:b/>
                <w:sz w:val="20"/>
                <w:szCs w:val="20"/>
              </w:rPr>
              <w:t>,н</w:t>
            </w:r>
            <w:proofErr w:type="gramEnd"/>
            <w:r w:rsidRPr="004E7785">
              <w:rPr>
                <w:b/>
                <w:sz w:val="20"/>
                <w:szCs w:val="20"/>
              </w:rPr>
              <w:t>етто</w:t>
            </w:r>
          </w:p>
        </w:tc>
        <w:tc>
          <w:tcPr>
            <w:tcW w:w="3546" w:type="dxa"/>
            <w:gridSpan w:val="3"/>
          </w:tcPr>
          <w:p w:rsidR="004E7785" w:rsidRPr="004E7785" w:rsidRDefault="004E7785" w:rsidP="004E7785">
            <w:pPr>
              <w:contextualSpacing/>
              <w:jc w:val="both"/>
              <w:rPr>
                <w:b/>
                <w:sz w:val="20"/>
                <w:szCs w:val="20"/>
              </w:rPr>
            </w:pPr>
            <w:r w:rsidRPr="004E7785">
              <w:rPr>
                <w:b/>
                <w:sz w:val="20"/>
                <w:szCs w:val="20"/>
              </w:rPr>
              <w:t>Остаток ссудной задолженности</w:t>
            </w:r>
          </w:p>
        </w:tc>
      </w:tr>
      <w:tr w:rsidR="004E7785" w:rsidTr="004E7785">
        <w:trPr>
          <w:trHeight w:val="972"/>
        </w:trPr>
        <w:tc>
          <w:tcPr>
            <w:tcW w:w="1052" w:type="dxa"/>
          </w:tcPr>
          <w:p w:rsidR="004E7785" w:rsidRPr="004E7785" w:rsidRDefault="004E7785" w:rsidP="004E7785">
            <w:pPr>
              <w:contextualSpacing/>
              <w:jc w:val="both"/>
              <w:rPr>
                <w:b/>
                <w:sz w:val="20"/>
                <w:szCs w:val="20"/>
              </w:rPr>
            </w:pPr>
            <w:r w:rsidRPr="004E7785">
              <w:rPr>
                <w:b/>
                <w:sz w:val="20"/>
                <w:szCs w:val="20"/>
              </w:rPr>
              <w:t>В млн. евро</w:t>
            </w:r>
          </w:p>
        </w:tc>
        <w:tc>
          <w:tcPr>
            <w:tcW w:w="1203" w:type="dxa"/>
          </w:tcPr>
          <w:p w:rsidR="004E7785" w:rsidRPr="004E7785" w:rsidRDefault="004E7785" w:rsidP="004E7785">
            <w:pPr>
              <w:contextualSpacing/>
              <w:jc w:val="both"/>
              <w:rPr>
                <w:b/>
                <w:sz w:val="20"/>
                <w:szCs w:val="20"/>
              </w:rPr>
            </w:pPr>
            <w:r w:rsidRPr="004E7785">
              <w:rPr>
                <w:b/>
                <w:sz w:val="20"/>
                <w:szCs w:val="20"/>
              </w:rPr>
              <w:t>Число проектов</w:t>
            </w:r>
          </w:p>
        </w:tc>
        <w:tc>
          <w:tcPr>
            <w:tcW w:w="1672" w:type="dxa"/>
          </w:tcPr>
          <w:p w:rsidR="004E7785" w:rsidRPr="004E7785" w:rsidRDefault="004E7785" w:rsidP="004E7785">
            <w:pPr>
              <w:contextualSpacing/>
              <w:jc w:val="both"/>
              <w:rPr>
                <w:b/>
                <w:sz w:val="20"/>
                <w:szCs w:val="20"/>
              </w:rPr>
            </w:pPr>
            <w:r w:rsidRPr="004E7785">
              <w:rPr>
                <w:b/>
                <w:sz w:val="20"/>
                <w:szCs w:val="20"/>
              </w:rPr>
              <w:t>Объем операций, подписанный ЕБРР</w:t>
            </w:r>
          </w:p>
        </w:tc>
        <w:tc>
          <w:tcPr>
            <w:tcW w:w="1203" w:type="dxa"/>
          </w:tcPr>
          <w:p w:rsidR="004E7785" w:rsidRPr="004E7785" w:rsidRDefault="004E7785" w:rsidP="004E7785">
            <w:pPr>
              <w:contextualSpacing/>
              <w:jc w:val="both"/>
              <w:rPr>
                <w:b/>
                <w:sz w:val="20"/>
                <w:szCs w:val="20"/>
              </w:rPr>
            </w:pPr>
            <w:r w:rsidRPr="004E7785">
              <w:rPr>
                <w:b/>
                <w:sz w:val="20"/>
                <w:szCs w:val="20"/>
              </w:rPr>
              <w:t>Общий объем проектов</w:t>
            </w:r>
          </w:p>
        </w:tc>
        <w:tc>
          <w:tcPr>
            <w:tcW w:w="963" w:type="dxa"/>
          </w:tcPr>
          <w:p w:rsidR="004E7785" w:rsidRPr="004E7785" w:rsidRDefault="004E7785" w:rsidP="004E7785">
            <w:pPr>
              <w:contextualSpacing/>
              <w:jc w:val="both"/>
              <w:rPr>
                <w:b/>
                <w:sz w:val="20"/>
                <w:szCs w:val="20"/>
              </w:rPr>
            </w:pPr>
            <w:r w:rsidRPr="004E7785">
              <w:rPr>
                <w:b/>
                <w:sz w:val="20"/>
                <w:szCs w:val="20"/>
              </w:rPr>
              <w:t xml:space="preserve">Доля ЕБРР </w:t>
            </w:r>
            <w:proofErr w:type="gramStart"/>
            <w:r w:rsidRPr="004E7785">
              <w:rPr>
                <w:b/>
                <w:sz w:val="20"/>
                <w:szCs w:val="20"/>
              </w:rPr>
              <w:t>в</w:t>
            </w:r>
            <w:proofErr w:type="gramEnd"/>
            <w:r w:rsidRPr="004E7785">
              <w:rPr>
                <w:b/>
                <w:sz w:val="20"/>
                <w:szCs w:val="20"/>
              </w:rPr>
              <w:t xml:space="preserve"> % от итога</w:t>
            </w:r>
          </w:p>
        </w:tc>
        <w:tc>
          <w:tcPr>
            <w:tcW w:w="1145" w:type="dxa"/>
          </w:tcPr>
          <w:p w:rsidR="004E7785" w:rsidRPr="004E7785" w:rsidRDefault="004E7785" w:rsidP="004E7785">
            <w:pPr>
              <w:contextualSpacing/>
              <w:jc w:val="both"/>
              <w:rPr>
                <w:b/>
                <w:sz w:val="20"/>
                <w:szCs w:val="20"/>
              </w:rPr>
            </w:pPr>
            <w:r w:rsidRPr="004E7785">
              <w:rPr>
                <w:b/>
                <w:sz w:val="20"/>
                <w:szCs w:val="20"/>
              </w:rPr>
              <w:t>Число проектов</w:t>
            </w:r>
          </w:p>
        </w:tc>
        <w:tc>
          <w:tcPr>
            <w:tcW w:w="1222" w:type="dxa"/>
          </w:tcPr>
          <w:p w:rsidR="004E7785" w:rsidRPr="004E7785" w:rsidRDefault="004E7785" w:rsidP="004E7785">
            <w:pPr>
              <w:contextualSpacing/>
              <w:jc w:val="both"/>
              <w:rPr>
                <w:b/>
                <w:sz w:val="20"/>
                <w:szCs w:val="20"/>
              </w:rPr>
            </w:pPr>
            <w:r w:rsidRPr="004E7785">
              <w:rPr>
                <w:b/>
                <w:sz w:val="20"/>
                <w:szCs w:val="20"/>
              </w:rPr>
              <w:t>Портфель</w:t>
            </w:r>
          </w:p>
        </w:tc>
        <w:tc>
          <w:tcPr>
            <w:tcW w:w="1179" w:type="dxa"/>
          </w:tcPr>
          <w:p w:rsidR="004E7785" w:rsidRPr="004E7785" w:rsidRDefault="004E7785" w:rsidP="004E7785">
            <w:pPr>
              <w:contextualSpacing/>
              <w:jc w:val="both"/>
              <w:rPr>
                <w:b/>
                <w:sz w:val="20"/>
                <w:szCs w:val="20"/>
              </w:rPr>
            </w:pPr>
            <w:r w:rsidRPr="004E7785">
              <w:rPr>
                <w:b/>
                <w:sz w:val="20"/>
                <w:szCs w:val="20"/>
              </w:rPr>
              <w:t>% от портфеля</w:t>
            </w:r>
          </w:p>
        </w:tc>
      </w:tr>
      <w:tr w:rsidR="004E7785" w:rsidTr="004E7785">
        <w:trPr>
          <w:trHeight w:val="510"/>
        </w:trPr>
        <w:tc>
          <w:tcPr>
            <w:tcW w:w="1052" w:type="dxa"/>
          </w:tcPr>
          <w:p w:rsidR="004E7785" w:rsidRPr="004E7785" w:rsidRDefault="004E7785" w:rsidP="004E7785">
            <w:pPr>
              <w:contextualSpacing/>
              <w:jc w:val="both"/>
              <w:rPr>
                <w:b/>
                <w:sz w:val="20"/>
                <w:szCs w:val="20"/>
              </w:rPr>
            </w:pPr>
            <w:r w:rsidRPr="004E7785">
              <w:rPr>
                <w:b/>
                <w:sz w:val="20"/>
                <w:szCs w:val="20"/>
              </w:rPr>
              <w:t>Энергетика</w:t>
            </w:r>
          </w:p>
        </w:tc>
        <w:tc>
          <w:tcPr>
            <w:tcW w:w="1203" w:type="dxa"/>
          </w:tcPr>
          <w:p w:rsidR="004E7785" w:rsidRPr="004A2799" w:rsidRDefault="004E7785" w:rsidP="002E5559">
            <w:pPr>
              <w:spacing w:line="360" w:lineRule="auto"/>
              <w:contextualSpacing/>
              <w:jc w:val="both"/>
              <w:rPr>
                <w:b/>
                <w:sz w:val="20"/>
                <w:szCs w:val="20"/>
              </w:rPr>
            </w:pPr>
            <w:r w:rsidRPr="004A2799">
              <w:rPr>
                <w:b/>
                <w:sz w:val="20"/>
                <w:szCs w:val="20"/>
              </w:rPr>
              <w:t>58</w:t>
            </w:r>
          </w:p>
        </w:tc>
        <w:tc>
          <w:tcPr>
            <w:tcW w:w="1672" w:type="dxa"/>
          </w:tcPr>
          <w:p w:rsidR="004E7785" w:rsidRPr="004A2799" w:rsidRDefault="004E7785" w:rsidP="002E5559">
            <w:pPr>
              <w:spacing w:line="360" w:lineRule="auto"/>
              <w:contextualSpacing/>
              <w:jc w:val="both"/>
              <w:rPr>
                <w:b/>
                <w:sz w:val="20"/>
                <w:szCs w:val="20"/>
              </w:rPr>
            </w:pPr>
            <w:r w:rsidRPr="004A2799">
              <w:rPr>
                <w:b/>
                <w:sz w:val="20"/>
                <w:szCs w:val="20"/>
              </w:rPr>
              <w:t>2 653</w:t>
            </w:r>
          </w:p>
        </w:tc>
        <w:tc>
          <w:tcPr>
            <w:tcW w:w="1203" w:type="dxa"/>
          </w:tcPr>
          <w:p w:rsidR="004E7785" w:rsidRPr="004A2799" w:rsidRDefault="004E7785" w:rsidP="002E5559">
            <w:pPr>
              <w:spacing w:line="360" w:lineRule="auto"/>
              <w:contextualSpacing/>
              <w:jc w:val="both"/>
              <w:rPr>
                <w:b/>
                <w:sz w:val="20"/>
                <w:szCs w:val="20"/>
              </w:rPr>
            </w:pPr>
            <w:r w:rsidRPr="004A2799">
              <w:rPr>
                <w:b/>
                <w:sz w:val="20"/>
                <w:szCs w:val="20"/>
              </w:rPr>
              <w:t>10 268</w:t>
            </w:r>
          </w:p>
        </w:tc>
        <w:tc>
          <w:tcPr>
            <w:tcW w:w="963" w:type="dxa"/>
          </w:tcPr>
          <w:p w:rsidR="004E7785" w:rsidRPr="004A2799" w:rsidRDefault="004E7785" w:rsidP="002E5559">
            <w:pPr>
              <w:spacing w:line="360" w:lineRule="auto"/>
              <w:contextualSpacing/>
              <w:jc w:val="both"/>
              <w:rPr>
                <w:b/>
                <w:sz w:val="20"/>
                <w:szCs w:val="20"/>
              </w:rPr>
            </w:pPr>
            <w:r w:rsidRPr="004A2799">
              <w:rPr>
                <w:b/>
                <w:sz w:val="20"/>
                <w:szCs w:val="20"/>
              </w:rPr>
              <w:t>26%</w:t>
            </w:r>
          </w:p>
        </w:tc>
        <w:tc>
          <w:tcPr>
            <w:tcW w:w="1145" w:type="dxa"/>
          </w:tcPr>
          <w:p w:rsidR="004E7785" w:rsidRPr="004A2799" w:rsidRDefault="004E7785" w:rsidP="002E5559">
            <w:pPr>
              <w:spacing w:line="360" w:lineRule="auto"/>
              <w:contextualSpacing/>
              <w:jc w:val="both"/>
              <w:rPr>
                <w:b/>
                <w:sz w:val="20"/>
                <w:szCs w:val="20"/>
              </w:rPr>
            </w:pPr>
            <w:r w:rsidRPr="004A2799">
              <w:rPr>
                <w:b/>
                <w:sz w:val="20"/>
                <w:szCs w:val="20"/>
              </w:rPr>
              <w:t>19</w:t>
            </w:r>
          </w:p>
        </w:tc>
        <w:tc>
          <w:tcPr>
            <w:tcW w:w="1222" w:type="dxa"/>
          </w:tcPr>
          <w:p w:rsidR="004E7785" w:rsidRPr="004A2799" w:rsidRDefault="004E7785" w:rsidP="002E5559">
            <w:pPr>
              <w:spacing w:line="360" w:lineRule="auto"/>
              <w:contextualSpacing/>
              <w:jc w:val="both"/>
              <w:rPr>
                <w:b/>
                <w:sz w:val="20"/>
                <w:szCs w:val="20"/>
              </w:rPr>
            </w:pPr>
            <w:r w:rsidRPr="004A2799">
              <w:rPr>
                <w:b/>
                <w:sz w:val="20"/>
                <w:szCs w:val="20"/>
              </w:rPr>
              <w:t>1 273</w:t>
            </w:r>
          </w:p>
        </w:tc>
        <w:tc>
          <w:tcPr>
            <w:tcW w:w="1179" w:type="dxa"/>
          </w:tcPr>
          <w:p w:rsidR="004E7785" w:rsidRPr="004A2799" w:rsidRDefault="004E7785" w:rsidP="002E5559">
            <w:pPr>
              <w:spacing w:line="360" w:lineRule="auto"/>
              <w:contextualSpacing/>
              <w:jc w:val="both"/>
              <w:rPr>
                <w:b/>
                <w:sz w:val="20"/>
                <w:szCs w:val="20"/>
              </w:rPr>
            </w:pPr>
            <w:r w:rsidRPr="004A2799">
              <w:rPr>
                <w:b/>
                <w:sz w:val="20"/>
                <w:szCs w:val="20"/>
              </w:rPr>
              <w:t>12%</w:t>
            </w:r>
          </w:p>
        </w:tc>
      </w:tr>
      <w:tr w:rsidR="004E7785" w:rsidTr="004E7785">
        <w:trPr>
          <w:trHeight w:val="510"/>
        </w:trPr>
        <w:tc>
          <w:tcPr>
            <w:tcW w:w="1052" w:type="dxa"/>
          </w:tcPr>
          <w:p w:rsidR="004E7785" w:rsidRPr="004E7785" w:rsidRDefault="004E7785" w:rsidP="004E7785">
            <w:pPr>
              <w:contextualSpacing/>
              <w:jc w:val="both"/>
              <w:rPr>
                <w:b/>
                <w:sz w:val="20"/>
                <w:szCs w:val="20"/>
              </w:rPr>
            </w:pPr>
            <w:r w:rsidRPr="004E7785">
              <w:rPr>
                <w:b/>
                <w:sz w:val="20"/>
                <w:szCs w:val="20"/>
              </w:rPr>
              <w:t>Природные ресурсы</w:t>
            </w:r>
          </w:p>
        </w:tc>
        <w:tc>
          <w:tcPr>
            <w:tcW w:w="1203" w:type="dxa"/>
          </w:tcPr>
          <w:p w:rsidR="004E7785" w:rsidRPr="004E7785" w:rsidRDefault="004E7785" w:rsidP="002E5559">
            <w:pPr>
              <w:spacing w:line="360" w:lineRule="auto"/>
              <w:contextualSpacing/>
              <w:jc w:val="both"/>
              <w:rPr>
                <w:sz w:val="20"/>
                <w:szCs w:val="20"/>
              </w:rPr>
            </w:pPr>
            <w:r w:rsidRPr="004E7785">
              <w:rPr>
                <w:sz w:val="20"/>
                <w:szCs w:val="20"/>
              </w:rPr>
              <w:t>39</w:t>
            </w:r>
          </w:p>
        </w:tc>
        <w:tc>
          <w:tcPr>
            <w:tcW w:w="1672" w:type="dxa"/>
          </w:tcPr>
          <w:p w:rsidR="004E7785" w:rsidRPr="004E7785" w:rsidRDefault="004E7785" w:rsidP="002E5559">
            <w:pPr>
              <w:spacing w:line="360" w:lineRule="auto"/>
              <w:contextualSpacing/>
              <w:jc w:val="both"/>
              <w:rPr>
                <w:sz w:val="20"/>
                <w:szCs w:val="20"/>
              </w:rPr>
            </w:pPr>
            <w:r w:rsidRPr="004E7785">
              <w:rPr>
                <w:sz w:val="20"/>
                <w:szCs w:val="20"/>
              </w:rPr>
              <w:t>1 236</w:t>
            </w:r>
          </w:p>
        </w:tc>
        <w:tc>
          <w:tcPr>
            <w:tcW w:w="1203" w:type="dxa"/>
          </w:tcPr>
          <w:p w:rsidR="004E7785" w:rsidRPr="004E7785" w:rsidRDefault="004E7785" w:rsidP="002E5559">
            <w:pPr>
              <w:spacing w:line="360" w:lineRule="auto"/>
              <w:contextualSpacing/>
              <w:jc w:val="both"/>
              <w:rPr>
                <w:sz w:val="20"/>
                <w:szCs w:val="20"/>
              </w:rPr>
            </w:pPr>
            <w:r w:rsidRPr="004E7785">
              <w:rPr>
                <w:sz w:val="20"/>
                <w:szCs w:val="20"/>
              </w:rPr>
              <w:t>4 741</w:t>
            </w:r>
          </w:p>
        </w:tc>
        <w:tc>
          <w:tcPr>
            <w:tcW w:w="963" w:type="dxa"/>
          </w:tcPr>
          <w:p w:rsidR="004E7785" w:rsidRPr="004E7785" w:rsidRDefault="004E7785" w:rsidP="002E5559">
            <w:pPr>
              <w:spacing w:line="360" w:lineRule="auto"/>
              <w:contextualSpacing/>
              <w:jc w:val="both"/>
              <w:rPr>
                <w:sz w:val="20"/>
                <w:szCs w:val="20"/>
              </w:rPr>
            </w:pPr>
            <w:r w:rsidRPr="004E7785">
              <w:rPr>
                <w:sz w:val="20"/>
                <w:szCs w:val="20"/>
              </w:rPr>
              <w:t>26%</w:t>
            </w:r>
          </w:p>
        </w:tc>
        <w:tc>
          <w:tcPr>
            <w:tcW w:w="1145" w:type="dxa"/>
          </w:tcPr>
          <w:p w:rsidR="004E7785" w:rsidRPr="004E7785" w:rsidRDefault="004E7785" w:rsidP="002E5559">
            <w:pPr>
              <w:spacing w:line="360" w:lineRule="auto"/>
              <w:contextualSpacing/>
              <w:jc w:val="both"/>
              <w:rPr>
                <w:sz w:val="20"/>
                <w:szCs w:val="20"/>
              </w:rPr>
            </w:pPr>
            <w:r w:rsidRPr="004E7785">
              <w:rPr>
                <w:sz w:val="20"/>
                <w:szCs w:val="20"/>
              </w:rPr>
              <w:t>9</w:t>
            </w:r>
          </w:p>
        </w:tc>
        <w:tc>
          <w:tcPr>
            <w:tcW w:w="1222" w:type="dxa"/>
          </w:tcPr>
          <w:p w:rsidR="004E7785" w:rsidRPr="004E7785" w:rsidRDefault="004E7785" w:rsidP="002E5559">
            <w:pPr>
              <w:spacing w:line="360" w:lineRule="auto"/>
              <w:contextualSpacing/>
              <w:jc w:val="both"/>
              <w:rPr>
                <w:sz w:val="20"/>
                <w:szCs w:val="20"/>
              </w:rPr>
            </w:pPr>
            <w:r w:rsidRPr="004E7785">
              <w:rPr>
                <w:sz w:val="20"/>
                <w:szCs w:val="20"/>
              </w:rPr>
              <w:t>395</w:t>
            </w:r>
          </w:p>
        </w:tc>
        <w:tc>
          <w:tcPr>
            <w:tcW w:w="1179" w:type="dxa"/>
          </w:tcPr>
          <w:p w:rsidR="004E7785" w:rsidRPr="004E7785" w:rsidRDefault="004E7785" w:rsidP="002E5559">
            <w:pPr>
              <w:spacing w:line="360" w:lineRule="auto"/>
              <w:contextualSpacing/>
              <w:jc w:val="both"/>
              <w:rPr>
                <w:sz w:val="20"/>
                <w:szCs w:val="20"/>
              </w:rPr>
            </w:pPr>
            <w:r w:rsidRPr="004E7785">
              <w:rPr>
                <w:sz w:val="20"/>
                <w:szCs w:val="20"/>
              </w:rPr>
              <w:t>5%</w:t>
            </w:r>
          </w:p>
        </w:tc>
      </w:tr>
      <w:tr w:rsidR="004E7785" w:rsidTr="004E7785">
        <w:trPr>
          <w:trHeight w:val="494"/>
        </w:trPr>
        <w:tc>
          <w:tcPr>
            <w:tcW w:w="1052" w:type="dxa"/>
          </w:tcPr>
          <w:p w:rsidR="004E7785" w:rsidRPr="004E7785" w:rsidRDefault="004E7785" w:rsidP="004E7785">
            <w:pPr>
              <w:contextualSpacing/>
              <w:jc w:val="both"/>
              <w:rPr>
                <w:b/>
                <w:sz w:val="20"/>
                <w:szCs w:val="20"/>
              </w:rPr>
            </w:pPr>
            <w:r w:rsidRPr="004E7785">
              <w:rPr>
                <w:b/>
                <w:sz w:val="20"/>
                <w:szCs w:val="20"/>
              </w:rPr>
              <w:t>Электроэнергетика</w:t>
            </w:r>
          </w:p>
        </w:tc>
        <w:tc>
          <w:tcPr>
            <w:tcW w:w="1203" w:type="dxa"/>
          </w:tcPr>
          <w:p w:rsidR="004E7785" w:rsidRPr="004E7785" w:rsidRDefault="004E7785" w:rsidP="002E5559">
            <w:pPr>
              <w:spacing w:line="360" w:lineRule="auto"/>
              <w:contextualSpacing/>
              <w:jc w:val="both"/>
              <w:rPr>
                <w:sz w:val="20"/>
                <w:szCs w:val="20"/>
              </w:rPr>
            </w:pPr>
            <w:r w:rsidRPr="004E7785">
              <w:rPr>
                <w:sz w:val="20"/>
                <w:szCs w:val="20"/>
              </w:rPr>
              <w:t>19</w:t>
            </w:r>
          </w:p>
        </w:tc>
        <w:tc>
          <w:tcPr>
            <w:tcW w:w="1672" w:type="dxa"/>
          </w:tcPr>
          <w:p w:rsidR="004E7785" w:rsidRPr="004E7785" w:rsidRDefault="004E7785" w:rsidP="002E5559">
            <w:pPr>
              <w:spacing w:line="360" w:lineRule="auto"/>
              <w:contextualSpacing/>
              <w:jc w:val="both"/>
              <w:rPr>
                <w:sz w:val="20"/>
                <w:szCs w:val="20"/>
              </w:rPr>
            </w:pPr>
            <w:r w:rsidRPr="004E7785">
              <w:rPr>
                <w:sz w:val="20"/>
                <w:szCs w:val="20"/>
              </w:rPr>
              <w:t>1 417</w:t>
            </w:r>
          </w:p>
        </w:tc>
        <w:tc>
          <w:tcPr>
            <w:tcW w:w="1203" w:type="dxa"/>
          </w:tcPr>
          <w:p w:rsidR="004E7785" w:rsidRPr="004E7785" w:rsidRDefault="004E7785" w:rsidP="002E5559">
            <w:pPr>
              <w:spacing w:line="360" w:lineRule="auto"/>
              <w:contextualSpacing/>
              <w:jc w:val="both"/>
              <w:rPr>
                <w:sz w:val="20"/>
                <w:szCs w:val="20"/>
              </w:rPr>
            </w:pPr>
            <w:r w:rsidRPr="004E7785">
              <w:rPr>
                <w:sz w:val="20"/>
                <w:szCs w:val="20"/>
              </w:rPr>
              <w:t>5 526</w:t>
            </w:r>
          </w:p>
        </w:tc>
        <w:tc>
          <w:tcPr>
            <w:tcW w:w="963" w:type="dxa"/>
          </w:tcPr>
          <w:p w:rsidR="004E7785" w:rsidRPr="004E7785" w:rsidRDefault="004E7785" w:rsidP="002E5559">
            <w:pPr>
              <w:spacing w:line="360" w:lineRule="auto"/>
              <w:contextualSpacing/>
              <w:jc w:val="both"/>
              <w:rPr>
                <w:sz w:val="20"/>
                <w:szCs w:val="20"/>
              </w:rPr>
            </w:pPr>
            <w:r w:rsidRPr="004E7785">
              <w:rPr>
                <w:sz w:val="20"/>
                <w:szCs w:val="20"/>
              </w:rPr>
              <w:t>26%</w:t>
            </w:r>
          </w:p>
        </w:tc>
        <w:tc>
          <w:tcPr>
            <w:tcW w:w="1145" w:type="dxa"/>
          </w:tcPr>
          <w:p w:rsidR="004E7785" w:rsidRPr="004E7785" w:rsidRDefault="004E7785" w:rsidP="002E5559">
            <w:pPr>
              <w:spacing w:line="360" w:lineRule="auto"/>
              <w:contextualSpacing/>
              <w:jc w:val="both"/>
              <w:rPr>
                <w:sz w:val="20"/>
                <w:szCs w:val="20"/>
              </w:rPr>
            </w:pPr>
            <w:r w:rsidRPr="004E7785">
              <w:rPr>
                <w:sz w:val="20"/>
                <w:szCs w:val="20"/>
              </w:rPr>
              <w:t>10</w:t>
            </w:r>
          </w:p>
        </w:tc>
        <w:tc>
          <w:tcPr>
            <w:tcW w:w="1222" w:type="dxa"/>
          </w:tcPr>
          <w:p w:rsidR="004E7785" w:rsidRPr="004E7785" w:rsidRDefault="004E7785" w:rsidP="002E5559">
            <w:pPr>
              <w:spacing w:line="360" w:lineRule="auto"/>
              <w:contextualSpacing/>
              <w:jc w:val="both"/>
              <w:rPr>
                <w:sz w:val="20"/>
                <w:szCs w:val="20"/>
              </w:rPr>
            </w:pPr>
            <w:r w:rsidRPr="004E7785">
              <w:rPr>
                <w:sz w:val="20"/>
                <w:szCs w:val="20"/>
              </w:rPr>
              <w:t>878</w:t>
            </w:r>
          </w:p>
        </w:tc>
        <w:tc>
          <w:tcPr>
            <w:tcW w:w="1179" w:type="dxa"/>
          </w:tcPr>
          <w:p w:rsidR="004E7785" w:rsidRPr="004E7785" w:rsidRDefault="004E7785" w:rsidP="002E5559">
            <w:pPr>
              <w:spacing w:line="360" w:lineRule="auto"/>
              <w:contextualSpacing/>
              <w:jc w:val="both"/>
              <w:rPr>
                <w:sz w:val="20"/>
                <w:szCs w:val="20"/>
              </w:rPr>
            </w:pPr>
            <w:r w:rsidRPr="004E7785">
              <w:rPr>
                <w:sz w:val="20"/>
                <w:szCs w:val="20"/>
              </w:rPr>
              <w:t>9%</w:t>
            </w:r>
          </w:p>
        </w:tc>
      </w:tr>
      <w:tr w:rsidR="004E7785" w:rsidTr="004E7785">
        <w:trPr>
          <w:trHeight w:val="510"/>
        </w:trPr>
        <w:tc>
          <w:tcPr>
            <w:tcW w:w="1052" w:type="dxa"/>
          </w:tcPr>
          <w:p w:rsidR="004E7785" w:rsidRPr="004E7785" w:rsidRDefault="004E7785" w:rsidP="004E7785">
            <w:pPr>
              <w:contextualSpacing/>
              <w:jc w:val="both"/>
              <w:rPr>
                <w:b/>
                <w:sz w:val="20"/>
                <w:szCs w:val="20"/>
              </w:rPr>
            </w:pPr>
            <w:r w:rsidRPr="004E7785">
              <w:rPr>
                <w:b/>
                <w:sz w:val="20"/>
                <w:szCs w:val="20"/>
              </w:rPr>
              <w:t>Финансовые институты</w:t>
            </w:r>
          </w:p>
        </w:tc>
        <w:tc>
          <w:tcPr>
            <w:tcW w:w="1203" w:type="dxa"/>
          </w:tcPr>
          <w:p w:rsidR="004E7785" w:rsidRPr="004A2799" w:rsidRDefault="004E7785" w:rsidP="002E5559">
            <w:pPr>
              <w:spacing w:line="360" w:lineRule="auto"/>
              <w:contextualSpacing/>
              <w:jc w:val="both"/>
              <w:rPr>
                <w:b/>
                <w:sz w:val="20"/>
                <w:szCs w:val="20"/>
              </w:rPr>
            </w:pPr>
            <w:r w:rsidRPr="004A2799">
              <w:rPr>
                <w:b/>
                <w:sz w:val="20"/>
                <w:szCs w:val="20"/>
              </w:rPr>
              <w:t>270</w:t>
            </w:r>
          </w:p>
        </w:tc>
        <w:tc>
          <w:tcPr>
            <w:tcW w:w="1672" w:type="dxa"/>
          </w:tcPr>
          <w:p w:rsidR="004E7785" w:rsidRPr="004A2799" w:rsidRDefault="004E7785" w:rsidP="002E5559">
            <w:pPr>
              <w:spacing w:line="360" w:lineRule="auto"/>
              <w:contextualSpacing/>
              <w:jc w:val="both"/>
              <w:rPr>
                <w:b/>
                <w:sz w:val="20"/>
                <w:szCs w:val="20"/>
              </w:rPr>
            </w:pPr>
            <w:r w:rsidRPr="004A2799">
              <w:rPr>
                <w:b/>
                <w:sz w:val="20"/>
                <w:szCs w:val="20"/>
              </w:rPr>
              <w:t>8 086</w:t>
            </w:r>
          </w:p>
        </w:tc>
        <w:tc>
          <w:tcPr>
            <w:tcW w:w="1203" w:type="dxa"/>
          </w:tcPr>
          <w:p w:rsidR="004E7785" w:rsidRPr="004A2799" w:rsidRDefault="004E7785" w:rsidP="002E5559">
            <w:pPr>
              <w:spacing w:line="360" w:lineRule="auto"/>
              <w:contextualSpacing/>
              <w:jc w:val="both"/>
              <w:rPr>
                <w:b/>
                <w:sz w:val="20"/>
                <w:szCs w:val="20"/>
              </w:rPr>
            </w:pPr>
            <w:r w:rsidRPr="004A2799">
              <w:rPr>
                <w:b/>
                <w:sz w:val="20"/>
                <w:szCs w:val="20"/>
              </w:rPr>
              <w:t>11 657</w:t>
            </w:r>
          </w:p>
        </w:tc>
        <w:tc>
          <w:tcPr>
            <w:tcW w:w="963" w:type="dxa"/>
          </w:tcPr>
          <w:p w:rsidR="004E7785" w:rsidRPr="004A2799" w:rsidRDefault="004E7785" w:rsidP="002E5559">
            <w:pPr>
              <w:spacing w:line="360" w:lineRule="auto"/>
              <w:contextualSpacing/>
              <w:jc w:val="both"/>
              <w:rPr>
                <w:b/>
                <w:sz w:val="20"/>
                <w:szCs w:val="20"/>
              </w:rPr>
            </w:pPr>
            <w:r w:rsidRPr="004A2799">
              <w:rPr>
                <w:b/>
                <w:sz w:val="20"/>
                <w:szCs w:val="20"/>
              </w:rPr>
              <w:t>69%</w:t>
            </w:r>
          </w:p>
        </w:tc>
        <w:tc>
          <w:tcPr>
            <w:tcW w:w="1145" w:type="dxa"/>
          </w:tcPr>
          <w:p w:rsidR="004E7785" w:rsidRPr="004A2799" w:rsidRDefault="004E7785" w:rsidP="002E5559">
            <w:pPr>
              <w:spacing w:line="360" w:lineRule="auto"/>
              <w:contextualSpacing/>
              <w:jc w:val="both"/>
              <w:rPr>
                <w:b/>
                <w:sz w:val="20"/>
                <w:szCs w:val="20"/>
              </w:rPr>
            </w:pPr>
            <w:r w:rsidRPr="004A2799">
              <w:rPr>
                <w:b/>
                <w:sz w:val="20"/>
                <w:szCs w:val="20"/>
              </w:rPr>
              <w:t>104</w:t>
            </w:r>
          </w:p>
        </w:tc>
        <w:tc>
          <w:tcPr>
            <w:tcW w:w="1222" w:type="dxa"/>
          </w:tcPr>
          <w:p w:rsidR="004E7785" w:rsidRPr="004A2799" w:rsidRDefault="004E7785" w:rsidP="002E5559">
            <w:pPr>
              <w:spacing w:line="360" w:lineRule="auto"/>
              <w:contextualSpacing/>
              <w:jc w:val="both"/>
              <w:rPr>
                <w:b/>
                <w:sz w:val="20"/>
                <w:szCs w:val="20"/>
              </w:rPr>
            </w:pPr>
            <w:r w:rsidRPr="004A2799">
              <w:rPr>
                <w:b/>
                <w:sz w:val="20"/>
                <w:szCs w:val="20"/>
              </w:rPr>
              <w:t>2 712</w:t>
            </w:r>
          </w:p>
        </w:tc>
        <w:tc>
          <w:tcPr>
            <w:tcW w:w="1179" w:type="dxa"/>
          </w:tcPr>
          <w:p w:rsidR="004E7785" w:rsidRPr="004A2799" w:rsidRDefault="004E7785" w:rsidP="002E5559">
            <w:pPr>
              <w:spacing w:line="360" w:lineRule="auto"/>
              <w:contextualSpacing/>
              <w:jc w:val="both"/>
              <w:rPr>
                <w:b/>
                <w:sz w:val="20"/>
                <w:szCs w:val="20"/>
              </w:rPr>
            </w:pPr>
            <w:r w:rsidRPr="004A2799">
              <w:rPr>
                <w:b/>
                <w:sz w:val="20"/>
                <w:szCs w:val="20"/>
              </w:rPr>
              <w:t>31%</w:t>
            </w:r>
          </w:p>
        </w:tc>
      </w:tr>
      <w:tr w:rsidR="004E7785" w:rsidTr="004E7785">
        <w:trPr>
          <w:trHeight w:val="510"/>
        </w:trPr>
        <w:tc>
          <w:tcPr>
            <w:tcW w:w="1052" w:type="dxa"/>
          </w:tcPr>
          <w:p w:rsidR="004E7785" w:rsidRPr="004E7785" w:rsidRDefault="004E7785" w:rsidP="004E7785">
            <w:pPr>
              <w:contextualSpacing/>
              <w:jc w:val="both"/>
              <w:rPr>
                <w:b/>
                <w:sz w:val="20"/>
                <w:szCs w:val="20"/>
              </w:rPr>
            </w:pPr>
            <w:r w:rsidRPr="004E7785">
              <w:rPr>
                <w:b/>
                <w:sz w:val="20"/>
                <w:szCs w:val="20"/>
              </w:rPr>
              <w:t>Вложения в капитал банков</w:t>
            </w:r>
          </w:p>
        </w:tc>
        <w:tc>
          <w:tcPr>
            <w:tcW w:w="1203" w:type="dxa"/>
          </w:tcPr>
          <w:p w:rsidR="004E7785" w:rsidRPr="004E7785" w:rsidRDefault="004E7785" w:rsidP="002E5559">
            <w:pPr>
              <w:spacing w:line="360" w:lineRule="auto"/>
              <w:contextualSpacing/>
              <w:jc w:val="both"/>
              <w:rPr>
                <w:sz w:val="20"/>
                <w:szCs w:val="20"/>
              </w:rPr>
            </w:pPr>
            <w:r w:rsidRPr="004E7785">
              <w:rPr>
                <w:sz w:val="20"/>
                <w:szCs w:val="20"/>
              </w:rPr>
              <w:t>31</w:t>
            </w:r>
          </w:p>
        </w:tc>
        <w:tc>
          <w:tcPr>
            <w:tcW w:w="1672" w:type="dxa"/>
          </w:tcPr>
          <w:p w:rsidR="004E7785" w:rsidRPr="004E7785" w:rsidRDefault="004E7785" w:rsidP="002E5559">
            <w:pPr>
              <w:spacing w:line="360" w:lineRule="auto"/>
              <w:contextualSpacing/>
              <w:jc w:val="both"/>
              <w:rPr>
                <w:sz w:val="20"/>
                <w:szCs w:val="20"/>
              </w:rPr>
            </w:pPr>
            <w:r w:rsidRPr="004E7785">
              <w:rPr>
                <w:sz w:val="20"/>
                <w:szCs w:val="20"/>
              </w:rPr>
              <w:t>647</w:t>
            </w:r>
          </w:p>
        </w:tc>
        <w:tc>
          <w:tcPr>
            <w:tcW w:w="1203" w:type="dxa"/>
          </w:tcPr>
          <w:p w:rsidR="004E7785" w:rsidRPr="004E7785" w:rsidRDefault="004E7785" w:rsidP="002E5559">
            <w:pPr>
              <w:spacing w:line="360" w:lineRule="auto"/>
              <w:contextualSpacing/>
              <w:jc w:val="both"/>
              <w:rPr>
                <w:sz w:val="20"/>
                <w:szCs w:val="20"/>
              </w:rPr>
            </w:pPr>
            <w:r w:rsidRPr="004E7785">
              <w:rPr>
                <w:sz w:val="20"/>
                <w:szCs w:val="20"/>
              </w:rPr>
              <w:t>802</w:t>
            </w:r>
          </w:p>
        </w:tc>
        <w:tc>
          <w:tcPr>
            <w:tcW w:w="963" w:type="dxa"/>
          </w:tcPr>
          <w:p w:rsidR="004E7785" w:rsidRPr="004E7785" w:rsidRDefault="004E7785" w:rsidP="002E5559">
            <w:pPr>
              <w:spacing w:line="360" w:lineRule="auto"/>
              <w:contextualSpacing/>
              <w:jc w:val="both"/>
              <w:rPr>
                <w:sz w:val="20"/>
                <w:szCs w:val="20"/>
              </w:rPr>
            </w:pPr>
            <w:r w:rsidRPr="004E7785">
              <w:rPr>
                <w:sz w:val="20"/>
                <w:szCs w:val="20"/>
              </w:rPr>
              <w:t>81%</w:t>
            </w:r>
          </w:p>
        </w:tc>
        <w:tc>
          <w:tcPr>
            <w:tcW w:w="1145" w:type="dxa"/>
          </w:tcPr>
          <w:p w:rsidR="004E7785" w:rsidRPr="004E7785" w:rsidRDefault="004E7785" w:rsidP="002E5559">
            <w:pPr>
              <w:spacing w:line="360" w:lineRule="auto"/>
              <w:contextualSpacing/>
              <w:jc w:val="both"/>
              <w:rPr>
                <w:sz w:val="20"/>
                <w:szCs w:val="20"/>
              </w:rPr>
            </w:pPr>
            <w:r w:rsidRPr="004E7785">
              <w:rPr>
                <w:sz w:val="20"/>
                <w:szCs w:val="20"/>
              </w:rPr>
              <w:t>18</w:t>
            </w:r>
          </w:p>
        </w:tc>
        <w:tc>
          <w:tcPr>
            <w:tcW w:w="1222" w:type="dxa"/>
          </w:tcPr>
          <w:p w:rsidR="004E7785" w:rsidRPr="004E7785" w:rsidRDefault="004E7785" w:rsidP="002E5559">
            <w:pPr>
              <w:spacing w:line="360" w:lineRule="auto"/>
              <w:contextualSpacing/>
              <w:jc w:val="both"/>
              <w:rPr>
                <w:sz w:val="20"/>
                <w:szCs w:val="20"/>
              </w:rPr>
            </w:pPr>
            <w:r w:rsidRPr="004E7785">
              <w:rPr>
                <w:sz w:val="20"/>
                <w:szCs w:val="20"/>
              </w:rPr>
              <w:t>499</w:t>
            </w:r>
          </w:p>
        </w:tc>
        <w:tc>
          <w:tcPr>
            <w:tcW w:w="1179" w:type="dxa"/>
          </w:tcPr>
          <w:p w:rsidR="004E7785" w:rsidRPr="004E7785" w:rsidRDefault="004E7785" w:rsidP="002E5559">
            <w:pPr>
              <w:spacing w:line="360" w:lineRule="auto"/>
              <w:contextualSpacing/>
              <w:jc w:val="both"/>
              <w:rPr>
                <w:sz w:val="20"/>
                <w:szCs w:val="20"/>
              </w:rPr>
            </w:pPr>
            <w:r w:rsidRPr="004E7785">
              <w:rPr>
                <w:sz w:val="20"/>
                <w:szCs w:val="20"/>
              </w:rPr>
              <w:t>5%</w:t>
            </w:r>
          </w:p>
        </w:tc>
      </w:tr>
      <w:tr w:rsidR="004E7785" w:rsidTr="004E7785">
        <w:trPr>
          <w:trHeight w:val="526"/>
        </w:trPr>
        <w:tc>
          <w:tcPr>
            <w:tcW w:w="1052" w:type="dxa"/>
          </w:tcPr>
          <w:p w:rsidR="004E7785" w:rsidRPr="004E7785" w:rsidRDefault="004E7785" w:rsidP="004E7785">
            <w:pPr>
              <w:contextualSpacing/>
              <w:jc w:val="both"/>
              <w:rPr>
                <w:b/>
                <w:sz w:val="20"/>
                <w:szCs w:val="20"/>
              </w:rPr>
            </w:pPr>
            <w:r w:rsidRPr="004E7785">
              <w:rPr>
                <w:b/>
                <w:sz w:val="20"/>
                <w:szCs w:val="20"/>
              </w:rPr>
              <w:t>Кредитование банков</w:t>
            </w:r>
          </w:p>
        </w:tc>
        <w:tc>
          <w:tcPr>
            <w:tcW w:w="1203" w:type="dxa"/>
          </w:tcPr>
          <w:p w:rsidR="004E7785" w:rsidRPr="004E7785" w:rsidRDefault="004E7785" w:rsidP="002E5559">
            <w:pPr>
              <w:spacing w:line="360" w:lineRule="auto"/>
              <w:contextualSpacing/>
              <w:jc w:val="both"/>
              <w:rPr>
                <w:sz w:val="20"/>
                <w:szCs w:val="20"/>
              </w:rPr>
            </w:pPr>
            <w:r w:rsidRPr="004E7785">
              <w:rPr>
                <w:sz w:val="20"/>
                <w:szCs w:val="20"/>
              </w:rPr>
              <w:t>89</w:t>
            </w:r>
          </w:p>
        </w:tc>
        <w:tc>
          <w:tcPr>
            <w:tcW w:w="1672" w:type="dxa"/>
          </w:tcPr>
          <w:p w:rsidR="004E7785" w:rsidRPr="004E7785" w:rsidRDefault="004E7785" w:rsidP="002E5559">
            <w:pPr>
              <w:spacing w:line="360" w:lineRule="auto"/>
              <w:contextualSpacing/>
              <w:jc w:val="both"/>
              <w:rPr>
                <w:sz w:val="20"/>
                <w:szCs w:val="20"/>
              </w:rPr>
            </w:pPr>
            <w:r w:rsidRPr="004E7785">
              <w:rPr>
                <w:sz w:val="20"/>
                <w:szCs w:val="20"/>
              </w:rPr>
              <w:t>5 370</w:t>
            </w:r>
          </w:p>
        </w:tc>
        <w:tc>
          <w:tcPr>
            <w:tcW w:w="1203" w:type="dxa"/>
          </w:tcPr>
          <w:p w:rsidR="004E7785" w:rsidRPr="004E7785" w:rsidRDefault="004E7785" w:rsidP="002E5559">
            <w:pPr>
              <w:spacing w:line="360" w:lineRule="auto"/>
              <w:contextualSpacing/>
              <w:jc w:val="both"/>
              <w:rPr>
                <w:sz w:val="20"/>
                <w:szCs w:val="20"/>
              </w:rPr>
            </w:pPr>
            <w:r w:rsidRPr="004E7785">
              <w:rPr>
                <w:sz w:val="20"/>
                <w:szCs w:val="20"/>
              </w:rPr>
              <w:t>6 874</w:t>
            </w:r>
          </w:p>
        </w:tc>
        <w:tc>
          <w:tcPr>
            <w:tcW w:w="963" w:type="dxa"/>
          </w:tcPr>
          <w:p w:rsidR="004E7785" w:rsidRPr="004E7785" w:rsidRDefault="004E7785" w:rsidP="002E5559">
            <w:pPr>
              <w:spacing w:line="360" w:lineRule="auto"/>
              <w:contextualSpacing/>
              <w:jc w:val="both"/>
              <w:rPr>
                <w:sz w:val="20"/>
                <w:szCs w:val="20"/>
              </w:rPr>
            </w:pPr>
            <w:r w:rsidRPr="004E7785">
              <w:rPr>
                <w:sz w:val="20"/>
                <w:szCs w:val="20"/>
              </w:rPr>
              <w:t>78%</w:t>
            </w:r>
          </w:p>
        </w:tc>
        <w:tc>
          <w:tcPr>
            <w:tcW w:w="1145" w:type="dxa"/>
          </w:tcPr>
          <w:p w:rsidR="004E7785" w:rsidRPr="004E7785" w:rsidRDefault="004E7785" w:rsidP="002E5559">
            <w:pPr>
              <w:spacing w:line="360" w:lineRule="auto"/>
              <w:contextualSpacing/>
              <w:jc w:val="both"/>
              <w:rPr>
                <w:sz w:val="20"/>
                <w:szCs w:val="20"/>
              </w:rPr>
            </w:pPr>
            <w:r w:rsidRPr="004E7785">
              <w:rPr>
                <w:sz w:val="20"/>
                <w:szCs w:val="20"/>
              </w:rPr>
              <w:t>40</w:t>
            </w:r>
          </w:p>
        </w:tc>
        <w:tc>
          <w:tcPr>
            <w:tcW w:w="1222" w:type="dxa"/>
          </w:tcPr>
          <w:p w:rsidR="004E7785" w:rsidRPr="004E7785" w:rsidRDefault="004E7785" w:rsidP="002E5559">
            <w:pPr>
              <w:spacing w:line="360" w:lineRule="auto"/>
              <w:contextualSpacing/>
              <w:jc w:val="both"/>
              <w:rPr>
                <w:sz w:val="20"/>
                <w:szCs w:val="20"/>
              </w:rPr>
            </w:pPr>
            <w:r w:rsidRPr="004E7785">
              <w:rPr>
                <w:sz w:val="20"/>
                <w:szCs w:val="20"/>
              </w:rPr>
              <w:t>1 235</w:t>
            </w:r>
          </w:p>
        </w:tc>
        <w:tc>
          <w:tcPr>
            <w:tcW w:w="1179" w:type="dxa"/>
          </w:tcPr>
          <w:p w:rsidR="004E7785" w:rsidRPr="004E7785" w:rsidRDefault="004E7785" w:rsidP="002E5559">
            <w:pPr>
              <w:spacing w:line="360" w:lineRule="auto"/>
              <w:contextualSpacing/>
              <w:jc w:val="both"/>
              <w:rPr>
                <w:sz w:val="20"/>
                <w:szCs w:val="20"/>
              </w:rPr>
            </w:pPr>
            <w:r w:rsidRPr="004E7785">
              <w:rPr>
                <w:sz w:val="20"/>
                <w:szCs w:val="20"/>
              </w:rPr>
              <w:t>12%</w:t>
            </w:r>
          </w:p>
        </w:tc>
      </w:tr>
      <w:tr w:rsidR="004A2799" w:rsidTr="004E7785">
        <w:trPr>
          <w:trHeight w:val="526"/>
        </w:trPr>
        <w:tc>
          <w:tcPr>
            <w:tcW w:w="1052" w:type="dxa"/>
          </w:tcPr>
          <w:p w:rsidR="004A2799" w:rsidRPr="004E7785" w:rsidRDefault="004A2799" w:rsidP="004E7785">
            <w:pPr>
              <w:contextualSpacing/>
              <w:jc w:val="both"/>
              <w:rPr>
                <w:b/>
                <w:sz w:val="20"/>
                <w:szCs w:val="20"/>
              </w:rPr>
            </w:pPr>
            <w:r>
              <w:rPr>
                <w:b/>
                <w:sz w:val="20"/>
                <w:szCs w:val="20"/>
              </w:rPr>
              <w:t>Промышленность, торговля и агропромышленный комплекс</w:t>
            </w:r>
          </w:p>
        </w:tc>
        <w:tc>
          <w:tcPr>
            <w:tcW w:w="1203" w:type="dxa"/>
          </w:tcPr>
          <w:p w:rsidR="004A2799" w:rsidRPr="002E5736" w:rsidRDefault="004A2799" w:rsidP="002E5559">
            <w:pPr>
              <w:spacing w:line="360" w:lineRule="auto"/>
              <w:contextualSpacing/>
              <w:jc w:val="both"/>
              <w:rPr>
                <w:b/>
                <w:sz w:val="20"/>
                <w:szCs w:val="20"/>
              </w:rPr>
            </w:pPr>
            <w:r w:rsidRPr="002E5736">
              <w:rPr>
                <w:b/>
                <w:sz w:val="20"/>
                <w:szCs w:val="20"/>
              </w:rPr>
              <w:t>314</w:t>
            </w:r>
          </w:p>
        </w:tc>
        <w:tc>
          <w:tcPr>
            <w:tcW w:w="1672" w:type="dxa"/>
          </w:tcPr>
          <w:p w:rsidR="004A2799" w:rsidRPr="002E5736" w:rsidRDefault="004A2799" w:rsidP="002E5559">
            <w:pPr>
              <w:spacing w:line="360" w:lineRule="auto"/>
              <w:contextualSpacing/>
              <w:jc w:val="both"/>
              <w:rPr>
                <w:b/>
                <w:sz w:val="20"/>
                <w:szCs w:val="20"/>
              </w:rPr>
            </w:pPr>
            <w:r w:rsidRPr="002E5736">
              <w:rPr>
                <w:b/>
                <w:sz w:val="20"/>
                <w:szCs w:val="20"/>
              </w:rPr>
              <w:t>7 854</w:t>
            </w:r>
          </w:p>
        </w:tc>
        <w:tc>
          <w:tcPr>
            <w:tcW w:w="1203" w:type="dxa"/>
          </w:tcPr>
          <w:p w:rsidR="004A2799" w:rsidRPr="002E5736" w:rsidRDefault="004A2799" w:rsidP="002E5559">
            <w:pPr>
              <w:spacing w:line="360" w:lineRule="auto"/>
              <w:contextualSpacing/>
              <w:jc w:val="both"/>
              <w:rPr>
                <w:b/>
                <w:sz w:val="20"/>
                <w:szCs w:val="20"/>
              </w:rPr>
            </w:pPr>
            <w:r w:rsidRPr="002E5736">
              <w:rPr>
                <w:b/>
                <w:sz w:val="20"/>
                <w:szCs w:val="20"/>
              </w:rPr>
              <w:t>27 363</w:t>
            </w:r>
          </w:p>
        </w:tc>
        <w:tc>
          <w:tcPr>
            <w:tcW w:w="963" w:type="dxa"/>
          </w:tcPr>
          <w:p w:rsidR="004A2799" w:rsidRPr="002E5736" w:rsidRDefault="004A2799" w:rsidP="002E5559">
            <w:pPr>
              <w:spacing w:line="360" w:lineRule="auto"/>
              <w:contextualSpacing/>
              <w:jc w:val="both"/>
              <w:rPr>
                <w:b/>
                <w:sz w:val="20"/>
                <w:szCs w:val="20"/>
              </w:rPr>
            </w:pPr>
            <w:r w:rsidRPr="002E5736">
              <w:rPr>
                <w:b/>
                <w:sz w:val="20"/>
                <w:szCs w:val="20"/>
              </w:rPr>
              <w:t>29%</w:t>
            </w:r>
          </w:p>
        </w:tc>
        <w:tc>
          <w:tcPr>
            <w:tcW w:w="1145" w:type="dxa"/>
          </w:tcPr>
          <w:p w:rsidR="004A2799" w:rsidRPr="002E5736" w:rsidRDefault="004A2799" w:rsidP="002E5559">
            <w:pPr>
              <w:spacing w:line="360" w:lineRule="auto"/>
              <w:contextualSpacing/>
              <w:jc w:val="both"/>
              <w:rPr>
                <w:b/>
                <w:sz w:val="20"/>
                <w:szCs w:val="20"/>
              </w:rPr>
            </w:pPr>
            <w:r w:rsidRPr="002E5736">
              <w:rPr>
                <w:b/>
                <w:sz w:val="20"/>
                <w:szCs w:val="20"/>
              </w:rPr>
              <w:t>158</w:t>
            </w:r>
          </w:p>
        </w:tc>
        <w:tc>
          <w:tcPr>
            <w:tcW w:w="1222" w:type="dxa"/>
          </w:tcPr>
          <w:p w:rsidR="004A2799" w:rsidRPr="002E5736" w:rsidRDefault="004A2799" w:rsidP="002E5559">
            <w:pPr>
              <w:spacing w:line="360" w:lineRule="auto"/>
              <w:contextualSpacing/>
              <w:jc w:val="both"/>
              <w:rPr>
                <w:b/>
                <w:sz w:val="20"/>
                <w:szCs w:val="20"/>
              </w:rPr>
            </w:pPr>
            <w:r w:rsidRPr="002E5736">
              <w:rPr>
                <w:b/>
                <w:sz w:val="20"/>
                <w:szCs w:val="20"/>
              </w:rPr>
              <w:t>4 056</w:t>
            </w:r>
          </w:p>
        </w:tc>
        <w:tc>
          <w:tcPr>
            <w:tcW w:w="1179" w:type="dxa"/>
          </w:tcPr>
          <w:p w:rsidR="004A2799" w:rsidRPr="002E5736" w:rsidRDefault="004A2799" w:rsidP="002E5559">
            <w:pPr>
              <w:spacing w:line="360" w:lineRule="auto"/>
              <w:contextualSpacing/>
              <w:jc w:val="both"/>
              <w:rPr>
                <w:b/>
                <w:sz w:val="20"/>
                <w:szCs w:val="20"/>
              </w:rPr>
            </w:pPr>
            <w:r w:rsidRPr="002E5736">
              <w:rPr>
                <w:b/>
                <w:sz w:val="20"/>
                <w:szCs w:val="20"/>
              </w:rPr>
              <w:t>39%</w:t>
            </w:r>
          </w:p>
        </w:tc>
      </w:tr>
      <w:tr w:rsidR="004A2799" w:rsidTr="004E7785">
        <w:trPr>
          <w:trHeight w:val="526"/>
        </w:trPr>
        <w:tc>
          <w:tcPr>
            <w:tcW w:w="1052" w:type="dxa"/>
          </w:tcPr>
          <w:p w:rsidR="004A2799" w:rsidRPr="004E7785" w:rsidRDefault="004A2799" w:rsidP="004E7785">
            <w:pPr>
              <w:contextualSpacing/>
              <w:jc w:val="both"/>
              <w:rPr>
                <w:b/>
                <w:sz w:val="20"/>
                <w:szCs w:val="20"/>
              </w:rPr>
            </w:pPr>
            <w:r>
              <w:rPr>
                <w:b/>
                <w:sz w:val="20"/>
                <w:szCs w:val="20"/>
              </w:rPr>
              <w:t>АПК</w:t>
            </w:r>
          </w:p>
        </w:tc>
        <w:tc>
          <w:tcPr>
            <w:tcW w:w="1203" w:type="dxa"/>
          </w:tcPr>
          <w:p w:rsidR="004A2799" w:rsidRPr="004E7785" w:rsidRDefault="002E5736" w:rsidP="002E5559">
            <w:pPr>
              <w:spacing w:line="360" w:lineRule="auto"/>
              <w:contextualSpacing/>
              <w:jc w:val="both"/>
              <w:rPr>
                <w:sz w:val="20"/>
                <w:szCs w:val="20"/>
              </w:rPr>
            </w:pPr>
            <w:r>
              <w:rPr>
                <w:sz w:val="20"/>
                <w:szCs w:val="20"/>
              </w:rPr>
              <w:t>71</w:t>
            </w:r>
          </w:p>
        </w:tc>
        <w:tc>
          <w:tcPr>
            <w:tcW w:w="1672" w:type="dxa"/>
          </w:tcPr>
          <w:p w:rsidR="004A2799" w:rsidRPr="004E7785" w:rsidRDefault="002E5736" w:rsidP="002E5559">
            <w:pPr>
              <w:spacing w:line="360" w:lineRule="auto"/>
              <w:contextualSpacing/>
              <w:jc w:val="both"/>
              <w:rPr>
                <w:sz w:val="20"/>
                <w:szCs w:val="20"/>
              </w:rPr>
            </w:pPr>
            <w:r>
              <w:rPr>
                <w:sz w:val="20"/>
                <w:szCs w:val="20"/>
              </w:rPr>
              <w:t>1 998</w:t>
            </w:r>
          </w:p>
        </w:tc>
        <w:tc>
          <w:tcPr>
            <w:tcW w:w="1203" w:type="dxa"/>
          </w:tcPr>
          <w:p w:rsidR="004A2799" w:rsidRPr="004E7785" w:rsidRDefault="002E5736" w:rsidP="002E5559">
            <w:pPr>
              <w:spacing w:line="360" w:lineRule="auto"/>
              <w:contextualSpacing/>
              <w:jc w:val="both"/>
              <w:rPr>
                <w:sz w:val="20"/>
                <w:szCs w:val="20"/>
              </w:rPr>
            </w:pPr>
            <w:r>
              <w:rPr>
                <w:sz w:val="20"/>
                <w:szCs w:val="20"/>
              </w:rPr>
              <w:t>6 483</w:t>
            </w:r>
          </w:p>
        </w:tc>
        <w:tc>
          <w:tcPr>
            <w:tcW w:w="963" w:type="dxa"/>
          </w:tcPr>
          <w:p w:rsidR="004A2799" w:rsidRPr="004E7785" w:rsidRDefault="002E5736" w:rsidP="002E5559">
            <w:pPr>
              <w:spacing w:line="360" w:lineRule="auto"/>
              <w:contextualSpacing/>
              <w:jc w:val="both"/>
              <w:rPr>
                <w:sz w:val="20"/>
                <w:szCs w:val="20"/>
              </w:rPr>
            </w:pPr>
            <w:r>
              <w:rPr>
                <w:sz w:val="20"/>
                <w:szCs w:val="20"/>
              </w:rPr>
              <w:t>31%</w:t>
            </w:r>
          </w:p>
        </w:tc>
        <w:tc>
          <w:tcPr>
            <w:tcW w:w="1145" w:type="dxa"/>
          </w:tcPr>
          <w:p w:rsidR="004A2799" w:rsidRPr="004E7785" w:rsidRDefault="002E5736" w:rsidP="002E5559">
            <w:pPr>
              <w:spacing w:line="360" w:lineRule="auto"/>
              <w:contextualSpacing/>
              <w:jc w:val="both"/>
              <w:rPr>
                <w:sz w:val="20"/>
                <w:szCs w:val="20"/>
              </w:rPr>
            </w:pPr>
            <w:r>
              <w:rPr>
                <w:sz w:val="20"/>
                <w:szCs w:val="20"/>
              </w:rPr>
              <w:t>35</w:t>
            </w:r>
          </w:p>
        </w:tc>
        <w:tc>
          <w:tcPr>
            <w:tcW w:w="1222" w:type="dxa"/>
          </w:tcPr>
          <w:p w:rsidR="004A2799" w:rsidRPr="004E7785" w:rsidRDefault="002E5736" w:rsidP="002E5559">
            <w:pPr>
              <w:spacing w:line="360" w:lineRule="auto"/>
              <w:contextualSpacing/>
              <w:jc w:val="both"/>
              <w:rPr>
                <w:sz w:val="20"/>
                <w:szCs w:val="20"/>
              </w:rPr>
            </w:pPr>
            <w:r>
              <w:rPr>
                <w:sz w:val="20"/>
                <w:szCs w:val="20"/>
              </w:rPr>
              <w:t>1 075</w:t>
            </w:r>
          </w:p>
        </w:tc>
        <w:tc>
          <w:tcPr>
            <w:tcW w:w="1179" w:type="dxa"/>
          </w:tcPr>
          <w:p w:rsidR="004A2799" w:rsidRPr="004E7785" w:rsidRDefault="002E5736" w:rsidP="002E5559">
            <w:pPr>
              <w:spacing w:line="360" w:lineRule="auto"/>
              <w:contextualSpacing/>
              <w:jc w:val="both"/>
              <w:rPr>
                <w:sz w:val="20"/>
                <w:szCs w:val="20"/>
              </w:rPr>
            </w:pPr>
            <w:r>
              <w:rPr>
                <w:sz w:val="20"/>
                <w:szCs w:val="20"/>
              </w:rPr>
              <w:t>10%</w:t>
            </w:r>
          </w:p>
        </w:tc>
      </w:tr>
      <w:tr w:rsidR="004A2799" w:rsidTr="004E7785">
        <w:trPr>
          <w:trHeight w:val="526"/>
        </w:trPr>
        <w:tc>
          <w:tcPr>
            <w:tcW w:w="1052" w:type="dxa"/>
          </w:tcPr>
          <w:p w:rsidR="004A2799" w:rsidRPr="004E7785" w:rsidRDefault="004A2799" w:rsidP="004E7785">
            <w:pPr>
              <w:contextualSpacing/>
              <w:jc w:val="both"/>
              <w:rPr>
                <w:b/>
                <w:sz w:val="20"/>
                <w:szCs w:val="20"/>
              </w:rPr>
            </w:pPr>
            <w:r>
              <w:rPr>
                <w:b/>
                <w:sz w:val="20"/>
                <w:szCs w:val="20"/>
              </w:rPr>
              <w:t>Фонды прямых инвестиций</w:t>
            </w:r>
          </w:p>
        </w:tc>
        <w:tc>
          <w:tcPr>
            <w:tcW w:w="1203" w:type="dxa"/>
          </w:tcPr>
          <w:p w:rsidR="004A2799" w:rsidRPr="004E7785" w:rsidRDefault="002E5736" w:rsidP="002E5559">
            <w:pPr>
              <w:spacing w:line="360" w:lineRule="auto"/>
              <w:contextualSpacing/>
              <w:jc w:val="both"/>
              <w:rPr>
                <w:sz w:val="20"/>
                <w:szCs w:val="20"/>
              </w:rPr>
            </w:pPr>
            <w:r>
              <w:rPr>
                <w:sz w:val="20"/>
                <w:szCs w:val="20"/>
              </w:rPr>
              <w:t>48</w:t>
            </w:r>
          </w:p>
        </w:tc>
        <w:tc>
          <w:tcPr>
            <w:tcW w:w="1672" w:type="dxa"/>
          </w:tcPr>
          <w:p w:rsidR="004A2799" w:rsidRPr="004E7785" w:rsidRDefault="002E5736" w:rsidP="002E5559">
            <w:pPr>
              <w:spacing w:line="360" w:lineRule="auto"/>
              <w:contextualSpacing/>
              <w:jc w:val="both"/>
              <w:rPr>
                <w:sz w:val="20"/>
                <w:szCs w:val="20"/>
              </w:rPr>
            </w:pPr>
            <w:r>
              <w:rPr>
                <w:sz w:val="20"/>
                <w:szCs w:val="20"/>
              </w:rPr>
              <w:t>860</w:t>
            </w:r>
          </w:p>
        </w:tc>
        <w:tc>
          <w:tcPr>
            <w:tcW w:w="1203" w:type="dxa"/>
          </w:tcPr>
          <w:p w:rsidR="004A2799" w:rsidRPr="004E7785" w:rsidRDefault="002E5736" w:rsidP="002E5559">
            <w:pPr>
              <w:spacing w:line="360" w:lineRule="auto"/>
              <w:contextualSpacing/>
              <w:jc w:val="both"/>
              <w:rPr>
                <w:sz w:val="20"/>
                <w:szCs w:val="20"/>
              </w:rPr>
            </w:pPr>
            <w:r>
              <w:rPr>
                <w:sz w:val="20"/>
                <w:szCs w:val="20"/>
              </w:rPr>
              <w:t>2 304</w:t>
            </w:r>
          </w:p>
        </w:tc>
        <w:tc>
          <w:tcPr>
            <w:tcW w:w="963" w:type="dxa"/>
          </w:tcPr>
          <w:p w:rsidR="004A2799" w:rsidRPr="004E7785" w:rsidRDefault="002E5736" w:rsidP="002E5559">
            <w:pPr>
              <w:spacing w:line="360" w:lineRule="auto"/>
              <w:contextualSpacing/>
              <w:jc w:val="both"/>
              <w:rPr>
                <w:sz w:val="20"/>
                <w:szCs w:val="20"/>
              </w:rPr>
            </w:pPr>
            <w:r>
              <w:rPr>
                <w:sz w:val="20"/>
                <w:szCs w:val="20"/>
              </w:rPr>
              <w:t>37%</w:t>
            </w:r>
          </w:p>
        </w:tc>
        <w:tc>
          <w:tcPr>
            <w:tcW w:w="1145" w:type="dxa"/>
          </w:tcPr>
          <w:p w:rsidR="004A2799" w:rsidRPr="004E7785" w:rsidRDefault="002E5736" w:rsidP="002E5559">
            <w:pPr>
              <w:spacing w:line="360" w:lineRule="auto"/>
              <w:contextualSpacing/>
              <w:jc w:val="both"/>
              <w:rPr>
                <w:sz w:val="20"/>
                <w:szCs w:val="20"/>
              </w:rPr>
            </w:pPr>
            <w:r>
              <w:rPr>
                <w:sz w:val="20"/>
                <w:szCs w:val="20"/>
              </w:rPr>
              <w:t>27</w:t>
            </w:r>
          </w:p>
        </w:tc>
        <w:tc>
          <w:tcPr>
            <w:tcW w:w="1222" w:type="dxa"/>
          </w:tcPr>
          <w:p w:rsidR="004A2799" w:rsidRPr="004E7785" w:rsidRDefault="002E5736" w:rsidP="002E5559">
            <w:pPr>
              <w:spacing w:line="360" w:lineRule="auto"/>
              <w:contextualSpacing/>
              <w:jc w:val="both"/>
              <w:rPr>
                <w:sz w:val="20"/>
                <w:szCs w:val="20"/>
              </w:rPr>
            </w:pPr>
            <w:r>
              <w:rPr>
                <w:sz w:val="20"/>
                <w:szCs w:val="20"/>
              </w:rPr>
              <w:t>414</w:t>
            </w:r>
          </w:p>
        </w:tc>
        <w:tc>
          <w:tcPr>
            <w:tcW w:w="1179" w:type="dxa"/>
          </w:tcPr>
          <w:p w:rsidR="004A2799" w:rsidRPr="004E7785" w:rsidRDefault="002E5736" w:rsidP="002E5559">
            <w:pPr>
              <w:spacing w:line="360" w:lineRule="auto"/>
              <w:contextualSpacing/>
              <w:jc w:val="both"/>
              <w:rPr>
                <w:sz w:val="20"/>
                <w:szCs w:val="20"/>
              </w:rPr>
            </w:pPr>
            <w:r>
              <w:rPr>
                <w:sz w:val="20"/>
                <w:szCs w:val="20"/>
              </w:rPr>
              <w:t>4%</w:t>
            </w:r>
          </w:p>
        </w:tc>
      </w:tr>
      <w:tr w:rsidR="004A2799" w:rsidTr="004E7785">
        <w:trPr>
          <w:trHeight w:val="526"/>
        </w:trPr>
        <w:tc>
          <w:tcPr>
            <w:tcW w:w="1052" w:type="dxa"/>
          </w:tcPr>
          <w:p w:rsidR="004A2799" w:rsidRPr="004E7785" w:rsidRDefault="004A2799" w:rsidP="004E7785">
            <w:pPr>
              <w:contextualSpacing/>
              <w:jc w:val="both"/>
              <w:rPr>
                <w:b/>
                <w:sz w:val="20"/>
                <w:szCs w:val="20"/>
              </w:rPr>
            </w:pPr>
            <w:r>
              <w:rPr>
                <w:b/>
                <w:sz w:val="20"/>
                <w:szCs w:val="20"/>
              </w:rPr>
              <w:t>Промышленность и услуги</w:t>
            </w:r>
          </w:p>
        </w:tc>
        <w:tc>
          <w:tcPr>
            <w:tcW w:w="1203" w:type="dxa"/>
          </w:tcPr>
          <w:p w:rsidR="004A2799" w:rsidRPr="004E7785" w:rsidRDefault="002E5736" w:rsidP="002E5559">
            <w:pPr>
              <w:spacing w:line="360" w:lineRule="auto"/>
              <w:contextualSpacing/>
              <w:jc w:val="both"/>
              <w:rPr>
                <w:sz w:val="20"/>
                <w:szCs w:val="20"/>
              </w:rPr>
            </w:pPr>
            <w:r>
              <w:rPr>
                <w:sz w:val="20"/>
                <w:szCs w:val="20"/>
              </w:rPr>
              <w:t>140</w:t>
            </w:r>
          </w:p>
        </w:tc>
        <w:tc>
          <w:tcPr>
            <w:tcW w:w="1672" w:type="dxa"/>
          </w:tcPr>
          <w:p w:rsidR="004A2799" w:rsidRPr="004E7785" w:rsidRDefault="002E5736" w:rsidP="002E5559">
            <w:pPr>
              <w:spacing w:line="360" w:lineRule="auto"/>
              <w:contextualSpacing/>
              <w:jc w:val="both"/>
              <w:rPr>
                <w:sz w:val="20"/>
                <w:szCs w:val="20"/>
              </w:rPr>
            </w:pPr>
            <w:r>
              <w:rPr>
                <w:sz w:val="20"/>
                <w:szCs w:val="20"/>
              </w:rPr>
              <w:t>3 819</w:t>
            </w:r>
          </w:p>
        </w:tc>
        <w:tc>
          <w:tcPr>
            <w:tcW w:w="1203" w:type="dxa"/>
          </w:tcPr>
          <w:p w:rsidR="004A2799" w:rsidRPr="004E7785" w:rsidRDefault="002E5736" w:rsidP="002E5559">
            <w:pPr>
              <w:spacing w:line="360" w:lineRule="auto"/>
              <w:contextualSpacing/>
              <w:jc w:val="both"/>
              <w:rPr>
                <w:sz w:val="20"/>
                <w:szCs w:val="20"/>
              </w:rPr>
            </w:pPr>
            <w:r>
              <w:rPr>
                <w:sz w:val="20"/>
                <w:szCs w:val="20"/>
              </w:rPr>
              <w:t>14 019</w:t>
            </w:r>
          </w:p>
        </w:tc>
        <w:tc>
          <w:tcPr>
            <w:tcW w:w="963" w:type="dxa"/>
          </w:tcPr>
          <w:p w:rsidR="004A2799" w:rsidRPr="004E7785" w:rsidRDefault="002E5736" w:rsidP="002E5559">
            <w:pPr>
              <w:spacing w:line="360" w:lineRule="auto"/>
              <w:contextualSpacing/>
              <w:jc w:val="both"/>
              <w:rPr>
                <w:sz w:val="20"/>
                <w:szCs w:val="20"/>
              </w:rPr>
            </w:pPr>
            <w:r>
              <w:rPr>
                <w:sz w:val="20"/>
                <w:szCs w:val="20"/>
              </w:rPr>
              <w:t>27%</w:t>
            </w:r>
          </w:p>
        </w:tc>
        <w:tc>
          <w:tcPr>
            <w:tcW w:w="1145" w:type="dxa"/>
          </w:tcPr>
          <w:p w:rsidR="004A2799" w:rsidRPr="004E7785" w:rsidRDefault="002E5736" w:rsidP="002E5559">
            <w:pPr>
              <w:spacing w:line="360" w:lineRule="auto"/>
              <w:contextualSpacing/>
              <w:jc w:val="both"/>
              <w:rPr>
                <w:sz w:val="20"/>
                <w:szCs w:val="20"/>
              </w:rPr>
            </w:pPr>
            <w:r>
              <w:rPr>
                <w:sz w:val="20"/>
                <w:szCs w:val="20"/>
              </w:rPr>
              <w:t>63</w:t>
            </w:r>
          </w:p>
        </w:tc>
        <w:tc>
          <w:tcPr>
            <w:tcW w:w="1222" w:type="dxa"/>
          </w:tcPr>
          <w:p w:rsidR="004A2799" w:rsidRPr="004E7785" w:rsidRDefault="002E5736" w:rsidP="002E5559">
            <w:pPr>
              <w:spacing w:line="360" w:lineRule="auto"/>
              <w:contextualSpacing/>
              <w:jc w:val="both"/>
              <w:rPr>
                <w:sz w:val="20"/>
                <w:szCs w:val="20"/>
              </w:rPr>
            </w:pPr>
            <w:r>
              <w:rPr>
                <w:sz w:val="20"/>
                <w:szCs w:val="20"/>
              </w:rPr>
              <w:t>1 961</w:t>
            </w:r>
          </w:p>
        </w:tc>
        <w:tc>
          <w:tcPr>
            <w:tcW w:w="1179" w:type="dxa"/>
          </w:tcPr>
          <w:p w:rsidR="004A2799" w:rsidRPr="004E7785" w:rsidRDefault="002E5736" w:rsidP="002E5559">
            <w:pPr>
              <w:spacing w:line="360" w:lineRule="auto"/>
              <w:contextualSpacing/>
              <w:jc w:val="both"/>
              <w:rPr>
                <w:sz w:val="20"/>
                <w:szCs w:val="20"/>
              </w:rPr>
            </w:pPr>
            <w:r>
              <w:rPr>
                <w:sz w:val="20"/>
                <w:szCs w:val="20"/>
              </w:rPr>
              <w:t>19%</w:t>
            </w:r>
          </w:p>
        </w:tc>
      </w:tr>
      <w:tr w:rsidR="004A2799" w:rsidTr="004E7785">
        <w:trPr>
          <w:trHeight w:val="526"/>
        </w:trPr>
        <w:tc>
          <w:tcPr>
            <w:tcW w:w="1052" w:type="dxa"/>
          </w:tcPr>
          <w:p w:rsidR="004A2799" w:rsidRPr="004E7785" w:rsidRDefault="004A2799" w:rsidP="004E7785">
            <w:pPr>
              <w:contextualSpacing/>
              <w:jc w:val="both"/>
              <w:rPr>
                <w:b/>
                <w:sz w:val="20"/>
                <w:szCs w:val="20"/>
              </w:rPr>
            </w:pPr>
            <w:r>
              <w:rPr>
                <w:b/>
                <w:sz w:val="20"/>
                <w:szCs w:val="20"/>
              </w:rPr>
              <w:t xml:space="preserve">Недвижимость и туризм </w:t>
            </w:r>
          </w:p>
        </w:tc>
        <w:tc>
          <w:tcPr>
            <w:tcW w:w="1203" w:type="dxa"/>
          </w:tcPr>
          <w:p w:rsidR="004A2799" w:rsidRPr="004E7785" w:rsidRDefault="002E5736" w:rsidP="002E5559">
            <w:pPr>
              <w:spacing w:line="360" w:lineRule="auto"/>
              <w:contextualSpacing/>
              <w:jc w:val="both"/>
              <w:rPr>
                <w:sz w:val="20"/>
                <w:szCs w:val="20"/>
              </w:rPr>
            </w:pPr>
            <w:r>
              <w:rPr>
                <w:sz w:val="20"/>
                <w:szCs w:val="20"/>
              </w:rPr>
              <w:t>25</w:t>
            </w:r>
          </w:p>
        </w:tc>
        <w:tc>
          <w:tcPr>
            <w:tcW w:w="1672" w:type="dxa"/>
          </w:tcPr>
          <w:p w:rsidR="004A2799" w:rsidRPr="004E7785" w:rsidRDefault="002E5736" w:rsidP="002E5559">
            <w:pPr>
              <w:spacing w:line="360" w:lineRule="auto"/>
              <w:contextualSpacing/>
              <w:jc w:val="both"/>
              <w:rPr>
                <w:sz w:val="20"/>
                <w:szCs w:val="20"/>
              </w:rPr>
            </w:pPr>
            <w:r>
              <w:rPr>
                <w:sz w:val="20"/>
                <w:szCs w:val="20"/>
              </w:rPr>
              <w:t>540</w:t>
            </w:r>
          </w:p>
        </w:tc>
        <w:tc>
          <w:tcPr>
            <w:tcW w:w="1203" w:type="dxa"/>
          </w:tcPr>
          <w:p w:rsidR="004A2799" w:rsidRPr="004E7785" w:rsidRDefault="002E5736" w:rsidP="002E5559">
            <w:pPr>
              <w:spacing w:line="360" w:lineRule="auto"/>
              <w:contextualSpacing/>
              <w:jc w:val="both"/>
              <w:rPr>
                <w:sz w:val="20"/>
                <w:szCs w:val="20"/>
              </w:rPr>
            </w:pPr>
            <w:r>
              <w:rPr>
                <w:sz w:val="20"/>
                <w:szCs w:val="20"/>
              </w:rPr>
              <w:t>1 702</w:t>
            </w:r>
          </w:p>
        </w:tc>
        <w:tc>
          <w:tcPr>
            <w:tcW w:w="963" w:type="dxa"/>
          </w:tcPr>
          <w:p w:rsidR="004A2799" w:rsidRPr="004E7785" w:rsidRDefault="002E5736" w:rsidP="002E5559">
            <w:pPr>
              <w:spacing w:line="360" w:lineRule="auto"/>
              <w:contextualSpacing/>
              <w:jc w:val="both"/>
              <w:rPr>
                <w:sz w:val="20"/>
                <w:szCs w:val="20"/>
              </w:rPr>
            </w:pPr>
            <w:r>
              <w:rPr>
                <w:sz w:val="20"/>
                <w:szCs w:val="20"/>
              </w:rPr>
              <w:t>32%</w:t>
            </w:r>
          </w:p>
        </w:tc>
        <w:tc>
          <w:tcPr>
            <w:tcW w:w="1145" w:type="dxa"/>
          </w:tcPr>
          <w:p w:rsidR="004A2799" w:rsidRPr="004E7785" w:rsidRDefault="002E5736" w:rsidP="002E5559">
            <w:pPr>
              <w:spacing w:line="360" w:lineRule="auto"/>
              <w:contextualSpacing/>
              <w:jc w:val="both"/>
              <w:rPr>
                <w:sz w:val="20"/>
                <w:szCs w:val="20"/>
              </w:rPr>
            </w:pPr>
            <w:r>
              <w:rPr>
                <w:sz w:val="20"/>
                <w:szCs w:val="20"/>
              </w:rPr>
              <w:t>20</w:t>
            </w:r>
          </w:p>
        </w:tc>
        <w:tc>
          <w:tcPr>
            <w:tcW w:w="1222" w:type="dxa"/>
          </w:tcPr>
          <w:p w:rsidR="004A2799" w:rsidRPr="004E7785" w:rsidRDefault="002E5736" w:rsidP="002E5559">
            <w:pPr>
              <w:spacing w:line="360" w:lineRule="auto"/>
              <w:contextualSpacing/>
              <w:jc w:val="both"/>
              <w:rPr>
                <w:sz w:val="20"/>
                <w:szCs w:val="20"/>
              </w:rPr>
            </w:pPr>
            <w:r>
              <w:rPr>
                <w:sz w:val="20"/>
                <w:szCs w:val="20"/>
              </w:rPr>
              <w:t>407</w:t>
            </w:r>
          </w:p>
        </w:tc>
        <w:tc>
          <w:tcPr>
            <w:tcW w:w="1179" w:type="dxa"/>
          </w:tcPr>
          <w:p w:rsidR="004A2799" w:rsidRPr="004E7785" w:rsidRDefault="002E5736" w:rsidP="002E5559">
            <w:pPr>
              <w:spacing w:line="360" w:lineRule="auto"/>
              <w:contextualSpacing/>
              <w:jc w:val="both"/>
              <w:rPr>
                <w:sz w:val="20"/>
                <w:szCs w:val="20"/>
              </w:rPr>
            </w:pPr>
            <w:r>
              <w:rPr>
                <w:sz w:val="20"/>
                <w:szCs w:val="20"/>
              </w:rPr>
              <w:t>4%</w:t>
            </w:r>
          </w:p>
        </w:tc>
      </w:tr>
      <w:tr w:rsidR="004A2799" w:rsidTr="004E7785">
        <w:trPr>
          <w:trHeight w:val="526"/>
        </w:trPr>
        <w:tc>
          <w:tcPr>
            <w:tcW w:w="1052" w:type="dxa"/>
          </w:tcPr>
          <w:p w:rsidR="004A2799" w:rsidRPr="004E7785" w:rsidRDefault="004A2799" w:rsidP="004E7785">
            <w:pPr>
              <w:contextualSpacing/>
              <w:jc w:val="both"/>
              <w:rPr>
                <w:b/>
                <w:sz w:val="20"/>
                <w:szCs w:val="20"/>
              </w:rPr>
            </w:pPr>
            <w:r>
              <w:rPr>
                <w:b/>
                <w:sz w:val="20"/>
                <w:szCs w:val="20"/>
              </w:rPr>
              <w:t>Информационные и коммуникационные технологии</w:t>
            </w:r>
          </w:p>
        </w:tc>
        <w:tc>
          <w:tcPr>
            <w:tcW w:w="1203" w:type="dxa"/>
          </w:tcPr>
          <w:p w:rsidR="004A2799" w:rsidRPr="004E7785" w:rsidRDefault="002E5736" w:rsidP="002E5559">
            <w:pPr>
              <w:spacing w:line="360" w:lineRule="auto"/>
              <w:contextualSpacing/>
              <w:jc w:val="both"/>
              <w:rPr>
                <w:sz w:val="20"/>
                <w:szCs w:val="20"/>
              </w:rPr>
            </w:pPr>
            <w:r>
              <w:rPr>
                <w:sz w:val="20"/>
                <w:szCs w:val="20"/>
              </w:rPr>
              <w:t>30</w:t>
            </w:r>
          </w:p>
        </w:tc>
        <w:tc>
          <w:tcPr>
            <w:tcW w:w="1672" w:type="dxa"/>
          </w:tcPr>
          <w:p w:rsidR="004A2799" w:rsidRPr="004E7785" w:rsidRDefault="002E5736" w:rsidP="002E5559">
            <w:pPr>
              <w:spacing w:line="360" w:lineRule="auto"/>
              <w:contextualSpacing/>
              <w:jc w:val="both"/>
              <w:rPr>
                <w:sz w:val="20"/>
                <w:szCs w:val="20"/>
              </w:rPr>
            </w:pPr>
            <w:r>
              <w:rPr>
                <w:sz w:val="20"/>
                <w:szCs w:val="20"/>
              </w:rPr>
              <w:t>636</w:t>
            </w:r>
          </w:p>
        </w:tc>
        <w:tc>
          <w:tcPr>
            <w:tcW w:w="1203" w:type="dxa"/>
          </w:tcPr>
          <w:p w:rsidR="004A2799" w:rsidRPr="004E7785" w:rsidRDefault="002E5736" w:rsidP="002E5559">
            <w:pPr>
              <w:spacing w:line="360" w:lineRule="auto"/>
              <w:contextualSpacing/>
              <w:jc w:val="both"/>
              <w:rPr>
                <w:sz w:val="20"/>
                <w:szCs w:val="20"/>
              </w:rPr>
            </w:pPr>
            <w:r>
              <w:rPr>
                <w:sz w:val="20"/>
                <w:szCs w:val="20"/>
              </w:rPr>
              <w:t>2 853</w:t>
            </w:r>
          </w:p>
        </w:tc>
        <w:tc>
          <w:tcPr>
            <w:tcW w:w="963" w:type="dxa"/>
          </w:tcPr>
          <w:p w:rsidR="004A2799" w:rsidRPr="004E7785" w:rsidRDefault="002E5736" w:rsidP="002E5559">
            <w:pPr>
              <w:spacing w:line="360" w:lineRule="auto"/>
              <w:contextualSpacing/>
              <w:jc w:val="both"/>
              <w:rPr>
                <w:sz w:val="20"/>
                <w:szCs w:val="20"/>
              </w:rPr>
            </w:pPr>
            <w:r>
              <w:rPr>
                <w:sz w:val="20"/>
                <w:szCs w:val="20"/>
              </w:rPr>
              <w:t>22%</w:t>
            </w:r>
          </w:p>
        </w:tc>
        <w:tc>
          <w:tcPr>
            <w:tcW w:w="1145" w:type="dxa"/>
          </w:tcPr>
          <w:p w:rsidR="004A2799" w:rsidRPr="004E7785" w:rsidRDefault="002E5736" w:rsidP="002E5559">
            <w:pPr>
              <w:spacing w:line="360" w:lineRule="auto"/>
              <w:contextualSpacing/>
              <w:jc w:val="both"/>
              <w:rPr>
                <w:sz w:val="20"/>
                <w:szCs w:val="20"/>
              </w:rPr>
            </w:pPr>
            <w:r>
              <w:rPr>
                <w:sz w:val="20"/>
                <w:szCs w:val="20"/>
              </w:rPr>
              <w:t>13</w:t>
            </w:r>
          </w:p>
        </w:tc>
        <w:tc>
          <w:tcPr>
            <w:tcW w:w="1222" w:type="dxa"/>
          </w:tcPr>
          <w:p w:rsidR="004A2799" w:rsidRPr="004E7785" w:rsidRDefault="002E5736" w:rsidP="002E5559">
            <w:pPr>
              <w:spacing w:line="360" w:lineRule="auto"/>
              <w:contextualSpacing/>
              <w:jc w:val="both"/>
              <w:rPr>
                <w:sz w:val="20"/>
                <w:szCs w:val="20"/>
              </w:rPr>
            </w:pPr>
            <w:r>
              <w:rPr>
                <w:sz w:val="20"/>
                <w:szCs w:val="20"/>
              </w:rPr>
              <w:t>199</w:t>
            </w:r>
          </w:p>
        </w:tc>
        <w:tc>
          <w:tcPr>
            <w:tcW w:w="1179" w:type="dxa"/>
          </w:tcPr>
          <w:p w:rsidR="004A2799" w:rsidRPr="004E7785" w:rsidRDefault="002E5736" w:rsidP="002E5559">
            <w:pPr>
              <w:spacing w:line="360" w:lineRule="auto"/>
              <w:contextualSpacing/>
              <w:jc w:val="both"/>
              <w:rPr>
                <w:sz w:val="20"/>
                <w:szCs w:val="20"/>
              </w:rPr>
            </w:pPr>
            <w:r>
              <w:rPr>
                <w:sz w:val="20"/>
                <w:szCs w:val="20"/>
              </w:rPr>
              <w:t>2%</w:t>
            </w:r>
          </w:p>
        </w:tc>
      </w:tr>
      <w:tr w:rsidR="004A2799" w:rsidTr="004E7785">
        <w:trPr>
          <w:trHeight w:val="526"/>
        </w:trPr>
        <w:tc>
          <w:tcPr>
            <w:tcW w:w="1052" w:type="dxa"/>
          </w:tcPr>
          <w:p w:rsidR="004A2799" w:rsidRPr="004E7785" w:rsidRDefault="002E5736" w:rsidP="004E7785">
            <w:pPr>
              <w:contextualSpacing/>
              <w:jc w:val="both"/>
              <w:rPr>
                <w:b/>
                <w:sz w:val="20"/>
                <w:szCs w:val="20"/>
              </w:rPr>
            </w:pPr>
            <w:r>
              <w:rPr>
                <w:b/>
                <w:sz w:val="20"/>
                <w:szCs w:val="20"/>
              </w:rPr>
              <w:t>Инфраструктура</w:t>
            </w:r>
          </w:p>
        </w:tc>
        <w:tc>
          <w:tcPr>
            <w:tcW w:w="1203" w:type="dxa"/>
          </w:tcPr>
          <w:p w:rsidR="004A2799" w:rsidRPr="002E5736" w:rsidRDefault="002E5736" w:rsidP="002E5559">
            <w:pPr>
              <w:spacing w:line="360" w:lineRule="auto"/>
              <w:contextualSpacing/>
              <w:jc w:val="both"/>
              <w:rPr>
                <w:b/>
                <w:sz w:val="20"/>
                <w:szCs w:val="20"/>
              </w:rPr>
            </w:pPr>
            <w:r w:rsidRPr="002E5736">
              <w:rPr>
                <w:b/>
                <w:sz w:val="20"/>
                <w:szCs w:val="20"/>
              </w:rPr>
              <w:t>84</w:t>
            </w:r>
          </w:p>
        </w:tc>
        <w:tc>
          <w:tcPr>
            <w:tcW w:w="1672" w:type="dxa"/>
          </w:tcPr>
          <w:p w:rsidR="004A2799" w:rsidRPr="002E5736" w:rsidRDefault="002E5736" w:rsidP="002E5559">
            <w:pPr>
              <w:spacing w:line="360" w:lineRule="auto"/>
              <w:contextualSpacing/>
              <w:jc w:val="both"/>
              <w:rPr>
                <w:b/>
                <w:sz w:val="20"/>
                <w:szCs w:val="20"/>
              </w:rPr>
            </w:pPr>
            <w:r w:rsidRPr="002E5736">
              <w:rPr>
                <w:b/>
                <w:sz w:val="20"/>
                <w:szCs w:val="20"/>
              </w:rPr>
              <w:t>3 748</w:t>
            </w:r>
          </w:p>
        </w:tc>
        <w:tc>
          <w:tcPr>
            <w:tcW w:w="1203" w:type="dxa"/>
          </w:tcPr>
          <w:p w:rsidR="004A2799" w:rsidRPr="002E5736" w:rsidRDefault="002E5736" w:rsidP="002E5559">
            <w:pPr>
              <w:spacing w:line="360" w:lineRule="auto"/>
              <w:contextualSpacing/>
              <w:jc w:val="both"/>
              <w:rPr>
                <w:b/>
                <w:sz w:val="20"/>
                <w:szCs w:val="20"/>
              </w:rPr>
            </w:pPr>
            <w:r w:rsidRPr="002E5736">
              <w:rPr>
                <w:b/>
                <w:sz w:val="20"/>
                <w:szCs w:val="20"/>
              </w:rPr>
              <w:t>15 384</w:t>
            </w:r>
          </w:p>
        </w:tc>
        <w:tc>
          <w:tcPr>
            <w:tcW w:w="963" w:type="dxa"/>
          </w:tcPr>
          <w:p w:rsidR="004A2799" w:rsidRPr="002E5736" w:rsidRDefault="002E5736" w:rsidP="002E5559">
            <w:pPr>
              <w:spacing w:line="360" w:lineRule="auto"/>
              <w:contextualSpacing/>
              <w:jc w:val="both"/>
              <w:rPr>
                <w:b/>
                <w:sz w:val="20"/>
                <w:szCs w:val="20"/>
              </w:rPr>
            </w:pPr>
            <w:r w:rsidRPr="002E5736">
              <w:rPr>
                <w:b/>
                <w:sz w:val="20"/>
                <w:szCs w:val="20"/>
              </w:rPr>
              <w:t>24%</w:t>
            </w:r>
          </w:p>
        </w:tc>
        <w:tc>
          <w:tcPr>
            <w:tcW w:w="1145" w:type="dxa"/>
          </w:tcPr>
          <w:p w:rsidR="004A2799" w:rsidRPr="002E5736" w:rsidRDefault="002E5736" w:rsidP="002E5559">
            <w:pPr>
              <w:spacing w:line="360" w:lineRule="auto"/>
              <w:contextualSpacing/>
              <w:jc w:val="both"/>
              <w:rPr>
                <w:b/>
                <w:sz w:val="20"/>
                <w:szCs w:val="20"/>
              </w:rPr>
            </w:pPr>
            <w:r w:rsidRPr="002E5736">
              <w:rPr>
                <w:b/>
                <w:sz w:val="20"/>
                <w:szCs w:val="20"/>
              </w:rPr>
              <w:t>57</w:t>
            </w:r>
          </w:p>
        </w:tc>
        <w:tc>
          <w:tcPr>
            <w:tcW w:w="1222" w:type="dxa"/>
          </w:tcPr>
          <w:p w:rsidR="004A2799" w:rsidRPr="002E5736" w:rsidRDefault="002E5736" w:rsidP="002E5559">
            <w:pPr>
              <w:spacing w:line="360" w:lineRule="auto"/>
              <w:contextualSpacing/>
              <w:jc w:val="both"/>
              <w:rPr>
                <w:b/>
                <w:sz w:val="20"/>
                <w:szCs w:val="20"/>
              </w:rPr>
            </w:pPr>
            <w:r w:rsidRPr="002E5736">
              <w:rPr>
                <w:b/>
                <w:sz w:val="20"/>
                <w:szCs w:val="20"/>
              </w:rPr>
              <w:t>2 208</w:t>
            </w:r>
          </w:p>
        </w:tc>
        <w:tc>
          <w:tcPr>
            <w:tcW w:w="1179" w:type="dxa"/>
          </w:tcPr>
          <w:p w:rsidR="004A2799" w:rsidRPr="002E5736" w:rsidRDefault="002E5736" w:rsidP="002E5559">
            <w:pPr>
              <w:spacing w:line="360" w:lineRule="auto"/>
              <w:contextualSpacing/>
              <w:jc w:val="both"/>
              <w:rPr>
                <w:b/>
                <w:sz w:val="20"/>
                <w:szCs w:val="20"/>
              </w:rPr>
            </w:pPr>
            <w:r w:rsidRPr="002E5736">
              <w:rPr>
                <w:b/>
                <w:sz w:val="20"/>
                <w:szCs w:val="20"/>
              </w:rPr>
              <w:t>22%</w:t>
            </w:r>
          </w:p>
        </w:tc>
      </w:tr>
      <w:tr w:rsidR="004A2799" w:rsidTr="004E7785">
        <w:trPr>
          <w:trHeight w:val="526"/>
        </w:trPr>
        <w:tc>
          <w:tcPr>
            <w:tcW w:w="1052" w:type="dxa"/>
          </w:tcPr>
          <w:p w:rsidR="004A2799" w:rsidRPr="004E7785" w:rsidRDefault="002E5736" w:rsidP="004E7785">
            <w:pPr>
              <w:contextualSpacing/>
              <w:jc w:val="both"/>
              <w:rPr>
                <w:b/>
                <w:sz w:val="20"/>
                <w:szCs w:val="20"/>
              </w:rPr>
            </w:pPr>
            <w:r>
              <w:rPr>
                <w:b/>
                <w:sz w:val="20"/>
                <w:szCs w:val="20"/>
              </w:rPr>
              <w:t>Муниципальная и экологическая инфраструктура</w:t>
            </w:r>
          </w:p>
        </w:tc>
        <w:tc>
          <w:tcPr>
            <w:tcW w:w="1203" w:type="dxa"/>
          </w:tcPr>
          <w:p w:rsidR="004A2799" w:rsidRPr="004E7785" w:rsidRDefault="002E5736" w:rsidP="002E5559">
            <w:pPr>
              <w:spacing w:line="360" w:lineRule="auto"/>
              <w:contextualSpacing/>
              <w:jc w:val="both"/>
              <w:rPr>
                <w:sz w:val="20"/>
                <w:szCs w:val="20"/>
              </w:rPr>
            </w:pPr>
            <w:r>
              <w:rPr>
                <w:sz w:val="20"/>
                <w:szCs w:val="20"/>
              </w:rPr>
              <w:t>41</w:t>
            </w:r>
          </w:p>
        </w:tc>
        <w:tc>
          <w:tcPr>
            <w:tcW w:w="1672" w:type="dxa"/>
          </w:tcPr>
          <w:p w:rsidR="004A2799" w:rsidRPr="004E7785" w:rsidRDefault="002E5736" w:rsidP="002E5559">
            <w:pPr>
              <w:spacing w:line="360" w:lineRule="auto"/>
              <w:contextualSpacing/>
              <w:jc w:val="both"/>
              <w:rPr>
                <w:sz w:val="20"/>
                <w:szCs w:val="20"/>
              </w:rPr>
            </w:pPr>
            <w:r>
              <w:rPr>
                <w:sz w:val="20"/>
                <w:szCs w:val="20"/>
              </w:rPr>
              <w:t>1 077</w:t>
            </w:r>
          </w:p>
        </w:tc>
        <w:tc>
          <w:tcPr>
            <w:tcW w:w="1203" w:type="dxa"/>
          </w:tcPr>
          <w:p w:rsidR="004A2799" w:rsidRPr="004E7785" w:rsidRDefault="002E5736" w:rsidP="002E5559">
            <w:pPr>
              <w:spacing w:line="360" w:lineRule="auto"/>
              <w:contextualSpacing/>
              <w:jc w:val="both"/>
              <w:rPr>
                <w:sz w:val="20"/>
                <w:szCs w:val="20"/>
              </w:rPr>
            </w:pPr>
            <w:r>
              <w:rPr>
                <w:sz w:val="20"/>
                <w:szCs w:val="20"/>
              </w:rPr>
              <w:t>4 318</w:t>
            </w:r>
          </w:p>
        </w:tc>
        <w:tc>
          <w:tcPr>
            <w:tcW w:w="963" w:type="dxa"/>
          </w:tcPr>
          <w:p w:rsidR="004A2799" w:rsidRPr="004E7785" w:rsidRDefault="002E5736" w:rsidP="002E5559">
            <w:pPr>
              <w:spacing w:line="360" w:lineRule="auto"/>
              <w:contextualSpacing/>
              <w:jc w:val="both"/>
              <w:rPr>
                <w:sz w:val="20"/>
                <w:szCs w:val="20"/>
              </w:rPr>
            </w:pPr>
            <w:r>
              <w:rPr>
                <w:sz w:val="20"/>
                <w:szCs w:val="20"/>
              </w:rPr>
              <w:t>25%</w:t>
            </w:r>
          </w:p>
        </w:tc>
        <w:tc>
          <w:tcPr>
            <w:tcW w:w="1145" w:type="dxa"/>
          </w:tcPr>
          <w:p w:rsidR="004A2799" w:rsidRPr="004E7785" w:rsidRDefault="002E5736" w:rsidP="002E5559">
            <w:pPr>
              <w:spacing w:line="360" w:lineRule="auto"/>
              <w:contextualSpacing/>
              <w:jc w:val="both"/>
              <w:rPr>
                <w:sz w:val="20"/>
                <w:szCs w:val="20"/>
              </w:rPr>
            </w:pPr>
            <w:r>
              <w:rPr>
                <w:sz w:val="20"/>
                <w:szCs w:val="20"/>
              </w:rPr>
              <w:t>34</w:t>
            </w:r>
          </w:p>
        </w:tc>
        <w:tc>
          <w:tcPr>
            <w:tcW w:w="1222" w:type="dxa"/>
          </w:tcPr>
          <w:p w:rsidR="004A2799" w:rsidRPr="004E7785" w:rsidRDefault="002E5736" w:rsidP="002E5559">
            <w:pPr>
              <w:spacing w:line="360" w:lineRule="auto"/>
              <w:contextualSpacing/>
              <w:jc w:val="both"/>
              <w:rPr>
                <w:sz w:val="20"/>
                <w:szCs w:val="20"/>
              </w:rPr>
            </w:pPr>
            <w:r>
              <w:rPr>
                <w:sz w:val="20"/>
                <w:szCs w:val="20"/>
              </w:rPr>
              <w:t>659</w:t>
            </w:r>
          </w:p>
        </w:tc>
        <w:tc>
          <w:tcPr>
            <w:tcW w:w="1179" w:type="dxa"/>
          </w:tcPr>
          <w:p w:rsidR="004A2799" w:rsidRPr="004E7785" w:rsidRDefault="002E5736" w:rsidP="002E5559">
            <w:pPr>
              <w:spacing w:line="360" w:lineRule="auto"/>
              <w:contextualSpacing/>
              <w:jc w:val="both"/>
              <w:rPr>
                <w:sz w:val="20"/>
                <w:szCs w:val="20"/>
              </w:rPr>
            </w:pPr>
            <w:r>
              <w:rPr>
                <w:sz w:val="20"/>
                <w:szCs w:val="20"/>
              </w:rPr>
              <w:t>6%</w:t>
            </w:r>
          </w:p>
        </w:tc>
      </w:tr>
      <w:tr w:rsidR="002E5736" w:rsidTr="004E7785">
        <w:trPr>
          <w:trHeight w:val="526"/>
        </w:trPr>
        <w:tc>
          <w:tcPr>
            <w:tcW w:w="1052" w:type="dxa"/>
          </w:tcPr>
          <w:p w:rsidR="002E5736" w:rsidRDefault="002E5736" w:rsidP="004E7785">
            <w:pPr>
              <w:contextualSpacing/>
              <w:jc w:val="both"/>
              <w:rPr>
                <w:b/>
                <w:sz w:val="20"/>
                <w:szCs w:val="20"/>
              </w:rPr>
            </w:pPr>
            <w:r>
              <w:rPr>
                <w:b/>
                <w:sz w:val="20"/>
                <w:szCs w:val="20"/>
              </w:rPr>
              <w:t>Транспорт</w:t>
            </w:r>
          </w:p>
        </w:tc>
        <w:tc>
          <w:tcPr>
            <w:tcW w:w="1203" w:type="dxa"/>
          </w:tcPr>
          <w:p w:rsidR="002E5736" w:rsidRPr="004E7785" w:rsidRDefault="002E5736" w:rsidP="002E5559">
            <w:pPr>
              <w:spacing w:line="360" w:lineRule="auto"/>
              <w:contextualSpacing/>
              <w:jc w:val="both"/>
              <w:rPr>
                <w:sz w:val="20"/>
                <w:szCs w:val="20"/>
              </w:rPr>
            </w:pPr>
            <w:r>
              <w:rPr>
                <w:sz w:val="20"/>
                <w:szCs w:val="20"/>
              </w:rPr>
              <w:t>43</w:t>
            </w:r>
          </w:p>
        </w:tc>
        <w:tc>
          <w:tcPr>
            <w:tcW w:w="1672" w:type="dxa"/>
          </w:tcPr>
          <w:p w:rsidR="002E5736" w:rsidRPr="004E7785" w:rsidRDefault="002E5736" w:rsidP="002E5559">
            <w:pPr>
              <w:spacing w:line="360" w:lineRule="auto"/>
              <w:contextualSpacing/>
              <w:jc w:val="both"/>
              <w:rPr>
                <w:sz w:val="20"/>
                <w:szCs w:val="20"/>
              </w:rPr>
            </w:pPr>
            <w:r>
              <w:rPr>
                <w:sz w:val="20"/>
                <w:szCs w:val="20"/>
              </w:rPr>
              <w:t>2 671</w:t>
            </w:r>
          </w:p>
        </w:tc>
        <w:tc>
          <w:tcPr>
            <w:tcW w:w="1203" w:type="dxa"/>
          </w:tcPr>
          <w:p w:rsidR="002E5736" w:rsidRPr="004E7785" w:rsidRDefault="002E5736" w:rsidP="002E5559">
            <w:pPr>
              <w:spacing w:line="360" w:lineRule="auto"/>
              <w:contextualSpacing/>
              <w:jc w:val="both"/>
              <w:rPr>
                <w:sz w:val="20"/>
                <w:szCs w:val="20"/>
              </w:rPr>
            </w:pPr>
            <w:r>
              <w:rPr>
                <w:sz w:val="20"/>
                <w:szCs w:val="20"/>
              </w:rPr>
              <w:t>11 065</w:t>
            </w:r>
          </w:p>
        </w:tc>
        <w:tc>
          <w:tcPr>
            <w:tcW w:w="963" w:type="dxa"/>
          </w:tcPr>
          <w:p w:rsidR="002E5736" w:rsidRPr="004E7785" w:rsidRDefault="002E5736" w:rsidP="002E5559">
            <w:pPr>
              <w:spacing w:line="360" w:lineRule="auto"/>
              <w:contextualSpacing/>
              <w:jc w:val="both"/>
              <w:rPr>
                <w:sz w:val="20"/>
                <w:szCs w:val="20"/>
              </w:rPr>
            </w:pPr>
            <w:r>
              <w:rPr>
                <w:sz w:val="20"/>
                <w:szCs w:val="20"/>
              </w:rPr>
              <w:t>24%</w:t>
            </w:r>
          </w:p>
        </w:tc>
        <w:tc>
          <w:tcPr>
            <w:tcW w:w="1145" w:type="dxa"/>
          </w:tcPr>
          <w:p w:rsidR="002E5736" w:rsidRPr="004E7785" w:rsidRDefault="002E5736" w:rsidP="002E5559">
            <w:pPr>
              <w:spacing w:line="360" w:lineRule="auto"/>
              <w:contextualSpacing/>
              <w:jc w:val="both"/>
              <w:rPr>
                <w:sz w:val="20"/>
                <w:szCs w:val="20"/>
              </w:rPr>
            </w:pPr>
            <w:r>
              <w:rPr>
                <w:sz w:val="20"/>
                <w:szCs w:val="20"/>
              </w:rPr>
              <w:t>23</w:t>
            </w:r>
          </w:p>
        </w:tc>
        <w:tc>
          <w:tcPr>
            <w:tcW w:w="1222" w:type="dxa"/>
          </w:tcPr>
          <w:p w:rsidR="002E5736" w:rsidRPr="004E7785" w:rsidRDefault="002E5736" w:rsidP="002E5559">
            <w:pPr>
              <w:spacing w:line="360" w:lineRule="auto"/>
              <w:contextualSpacing/>
              <w:jc w:val="both"/>
              <w:rPr>
                <w:sz w:val="20"/>
                <w:szCs w:val="20"/>
              </w:rPr>
            </w:pPr>
            <w:r>
              <w:rPr>
                <w:sz w:val="20"/>
                <w:szCs w:val="20"/>
              </w:rPr>
              <w:t>1 549</w:t>
            </w:r>
          </w:p>
        </w:tc>
        <w:tc>
          <w:tcPr>
            <w:tcW w:w="1179" w:type="dxa"/>
          </w:tcPr>
          <w:p w:rsidR="002E5736" w:rsidRPr="004E7785" w:rsidRDefault="002E5736" w:rsidP="002E5559">
            <w:pPr>
              <w:spacing w:line="360" w:lineRule="auto"/>
              <w:contextualSpacing/>
              <w:jc w:val="both"/>
              <w:rPr>
                <w:sz w:val="20"/>
                <w:szCs w:val="20"/>
              </w:rPr>
            </w:pPr>
            <w:r>
              <w:rPr>
                <w:sz w:val="20"/>
                <w:szCs w:val="20"/>
              </w:rPr>
              <w:t>15%</w:t>
            </w:r>
          </w:p>
        </w:tc>
      </w:tr>
      <w:tr w:rsidR="002E5736" w:rsidTr="004E7785">
        <w:trPr>
          <w:trHeight w:val="526"/>
        </w:trPr>
        <w:tc>
          <w:tcPr>
            <w:tcW w:w="1052" w:type="dxa"/>
          </w:tcPr>
          <w:p w:rsidR="002E5736" w:rsidRDefault="002E5736" w:rsidP="004E7785">
            <w:pPr>
              <w:contextualSpacing/>
              <w:jc w:val="both"/>
              <w:rPr>
                <w:b/>
                <w:sz w:val="20"/>
                <w:szCs w:val="20"/>
              </w:rPr>
            </w:pPr>
            <w:r>
              <w:rPr>
                <w:b/>
                <w:sz w:val="20"/>
                <w:szCs w:val="20"/>
              </w:rPr>
              <w:t>ИТОГО</w:t>
            </w:r>
          </w:p>
        </w:tc>
        <w:tc>
          <w:tcPr>
            <w:tcW w:w="1203" w:type="dxa"/>
          </w:tcPr>
          <w:p w:rsidR="002E5736" w:rsidRPr="002E5736" w:rsidRDefault="002E5736" w:rsidP="002E5559">
            <w:pPr>
              <w:spacing w:line="360" w:lineRule="auto"/>
              <w:contextualSpacing/>
              <w:jc w:val="both"/>
              <w:rPr>
                <w:b/>
                <w:sz w:val="20"/>
                <w:szCs w:val="20"/>
              </w:rPr>
            </w:pPr>
            <w:r w:rsidRPr="002E5736">
              <w:rPr>
                <w:b/>
                <w:sz w:val="20"/>
                <w:szCs w:val="20"/>
              </w:rPr>
              <w:t>726</w:t>
            </w:r>
          </w:p>
        </w:tc>
        <w:tc>
          <w:tcPr>
            <w:tcW w:w="1672" w:type="dxa"/>
          </w:tcPr>
          <w:p w:rsidR="002E5736" w:rsidRPr="002E5736" w:rsidRDefault="002E5736" w:rsidP="002E5559">
            <w:pPr>
              <w:spacing w:line="360" w:lineRule="auto"/>
              <w:contextualSpacing/>
              <w:jc w:val="both"/>
              <w:rPr>
                <w:b/>
                <w:sz w:val="20"/>
                <w:szCs w:val="20"/>
              </w:rPr>
            </w:pPr>
            <w:r w:rsidRPr="002E5736">
              <w:rPr>
                <w:b/>
                <w:sz w:val="20"/>
                <w:szCs w:val="20"/>
              </w:rPr>
              <w:t>22 342</w:t>
            </w:r>
          </w:p>
        </w:tc>
        <w:tc>
          <w:tcPr>
            <w:tcW w:w="1203" w:type="dxa"/>
          </w:tcPr>
          <w:p w:rsidR="002E5736" w:rsidRPr="002E5736" w:rsidRDefault="002E5736" w:rsidP="002E5559">
            <w:pPr>
              <w:spacing w:line="360" w:lineRule="auto"/>
              <w:contextualSpacing/>
              <w:jc w:val="both"/>
              <w:rPr>
                <w:b/>
                <w:sz w:val="20"/>
                <w:szCs w:val="20"/>
              </w:rPr>
            </w:pPr>
            <w:r w:rsidRPr="002E5736">
              <w:rPr>
                <w:b/>
                <w:sz w:val="20"/>
                <w:szCs w:val="20"/>
              </w:rPr>
              <w:t>64 671</w:t>
            </w:r>
          </w:p>
        </w:tc>
        <w:tc>
          <w:tcPr>
            <w:tcW w:w="963" w:type="dxa"/>
          </w:tcPr>
          <w:p w:rsidR="002E5736" w:rsidRPr="002E5736" w:rsidRDefault="002E5736" w:rsidP="002E5559">
            <w:pPr>
              <w:spacing w:line="360" w:lineRule="auto"/>
              <w:contextualSpacing/>
              <w:jc w:val="both"/>
              <w:rPr>
                <w:b/>
                <w:sz w:val="20"/>
                <w:szCs w:val="20"/>
              </w:rPr>
            </w:pPr>
            <w:r w:rsidRPr="002E5736">
              <w:rPr>
                <w:b/>
                <w:sz w:val="20"/>
                <w:szCs w:val="20"/>
              </w:rPr>
              <w:t>35%</w:t>
            </w:r>
          </w:p>
        </w:tc>
        <w:tc>
          <w:tcPr>
            <w:tcW w:w="1145" w:type="dxa"/>
          </w:tcPr>
          <w:p w:rsidR="002E5736" w:rsidRPr="002E5736" w:rsidRDefault="002E5736" w:rsidP="002E5559">
            <w:pPr>
              <w:spacing w:line="360" w:lineRule="auto"/>
              <w:contextualSpacing/>
              <w:jc w:val="both"/>
              <w:rPr>
                <w:b/>
                <w:sz w:val="20"/>
                <w:szCs w:val="20"/>
              </w:rPr>
            </w:pPr>
            <w:r w:rsidRPr="002E5736">
              <w:rPr>
                <w:b/>
                <w:sz w:val="20"/>
                <w:szCs w:val="20"/>
              </w:rPr>
              <w:t>338</w:t>
            </w:r>
          </w:p>
        </w:tc>
        <w:tc>
          <w:tcPr>
            <w:tcW w:w="1222" w:type="dxa"/>
          </w:tcPr>
          <w:p w:rsidR="002E5736" w:rsidRPr="002E5736" w:rsidRDefault="002E5736" w:rsidP="002E5559">
            <w:pPr>
              <w:spacing w:line="360" w:lineRule="auto"/>
              <w:contextualSpacing/>
              <w:jc w:val="both"/>
              <w:rPr>
                <w:b/>
                <w:sz w:val="20"/>
                <w:szCs w:val="20"/>
              </w:rPr>
            </w:pPr>
            <w:r w:rsidRPr="002E5736">
              <w:rPr>
                <w:b/>
                <w:sz w:val="20"/>
                <w:szCs w:val="20"/>
              </w:rPr>
              <w:t>10 250</w:t>
            </w:r>
          </w:p>
        </w:tc>
        <w:tc>
          <w:tcPr>
            <w:tcW w:w="1179" w:type="dxa"/>
          </w:tcPr>
          <w:p w:rsidR="002E5736" w:rsidRPr="002E5736" w:rsidRDefault="002E5736" w:rsidP="002E5559">
            <w:pPr>
              <w:spacing w:line="360" w:lineRule="auto"/>
              <w:contextualSpacing/>
              <w:jc w:val="both"/>
              <w:rPr>
                <w:b/>
                <w:sz w:val="20"/>
                <w:szCs w:val="20"/>
              </w:rPr>
            </w:pPr>
            <w:r w:rsidRPr="002E5736">
              <w:rPr>
                <w:b/>
                <w:sz w:val="20"/>
                <w:szCs w:val="20"/>
              </w:rPr>
              <w:t>100%</w:t>
            </w:r>
          </w:p>
        </w:tc>
      </w:tr>
    </w:tbl>
    <w:p w:rsidR="006424C7" w:rsidRPr="002E5559" w:rsidRDefault="006424C7" w:rsidP="002E5559">
      <w:pPr>
        <w:spacing w:line="360" w:lineRule="auto"/>
        <w:ind w:firstLine="709"/>
        <w:contextualSpacing/>
        <w:jc w:val="both"/>
        <w:rPr>
          <w:sz w:val="28"/>
          <w:szCs w:val="28"/>
        </w:rPr>
      </w:pPr>
    </w:p>
    <w:p w:rsidR="002E5559" w:rsidRDefault="002E5559" w:rsidP="002E5736">
      <w:pPr>
        <w:spacing w:line="360" w:lineRule="auto"/>
        <w:ind w:firstLine="709"/>
        <w:contextualSpacing/>
        <w:jc w:val="both"/>
        <w:rPr>
          <w:sz w:val="28"/>
          <w:szCs w:val="28"/>
        </w:rPr>
      </w:pPr>
      <w:r w:rsidRPr="002E5559">
        <w:rPr>
          <w:sz w:val="28"/>
          <w:szCs w:val="28"/>
        </w:rPr>
        <w:t xml:space="preserve"> </w:t>
      </w:r>
      <w:proofErr w:type="gramStart"/>
      <w:r w:rsidRPr="002E5559">
        <w:rPr>
          <w:sz w:val="28"/>
          <w:szCs w:val="28"/>
        </w:rPr>
        <w:t>За период действия пред</w:t>
      </w:r>
      <w:r w:rsidR="001716C5">
        <w:rPr>
          <w:sz w:val="28"/>
          <w:szCs w:val="28"/>
        </w:rPr>
        <w:t>ыдущей стратегии, начиная с 2010</w:t>
      </w:r>
      <w:r w:rsidRPr="002E5559">
        <w:rPr>
          <w:sz w:val="28"/>
          <w:szCs w:val="28"/>
        </w:rPr>
        <w:t xml:space="preserve"> года по конец июня 2012 года, Банк подписал 169 проектов с годовым объемом вложений на сумму 2,3 млрд. евро в </w:t>
      </w:r>
      <w:r w:rsidR="002E5736">
        <w:rPr>
          <w:sz w:val="28"/>
          <w:szCs w:val="28"/>
        </w:rPr>
        <w:t xml:space="preserve"> </w:t>
      </w:r>
      <w:r w:rsidR="001716C5">
        <w:rPr>
          <w:sz w:val="28"/>
          <w:szCs w:val="28"/>
        </w:rPr>
        <w:t>2010</w:t>
      </w:r>
      <w:r w:rsidRPr="002E5559">
        <w:rPr>
          <w:sz w:val="28"/>
          <w:szCs w:val="28"/>
        </w:rPr>
        <w:t xml:space="preserve"> году по 63 проектам, 2,9 </w:t>
      </w:r>
      <w:r w:rsidR="001716C5">
        <w:rPr>
          <w:sz w:val="28"/>
          <w:szCs w:val="28"/>
        </w:rPr>
        <w:t>млрд. евро в 2010</w:t>
      </w:r>
      <w:r w:rsidRPr="002E5559">
        <w:rPr>
          <w:sz w:val="28"/>
          <w:szCs w:val="28"/>
        </w:rPr>
        <w:t xml:space="preserve"> году по 74 проектам, и 1,3 млрд. евро по 32 проектам в первой половине 2012 года.</w:t>
      </w:r>
      <w:r w:rsidR="003507EB" w:rsidRPr="00C03419">
        <w:rPr>
          <w:sz w:val="28"/>
          <w:szCs w:val="28"/>
        </w:rPr>
        <w:t>[7]</w:t>
      </w:r>
      <w:r w:rsidRPr="002E5559">
        <w:rPr>
          <w:sz w:val="28"/>
          <w:szCs w:val="28"/>
        </w:rPr>
        <w:t xml:space="preserve"> </w:t>
      </w:r>
      <w:proofErr w:type="gramEnd"/>
    </w:p>
    <w:p w:rsidR="001716C5" w:rsidRDefault="001716C5" w:rsidP="002E5736">
      <w:pPr>
        <w:spacing w:line="360" w:lineRule="auto"/>
        <w:ind w:firstLine="709"/>
        <w:contextualSpacing/>
        <w:jc w:val="both"/>
        <w:rPr>
          <w:sz w:val="28"/>
          <w:szCs w:val="28"/>
        </w:rPr>
      </w:pPr>
      <w:r>
        <w:rPr>
          <w:sz w:val="28"/>
          <w:szCs w:val="28"/>
        </w:rPr>
        <w:t>Приведем пример.</w:t>
      </w:r>
    </w:p>
    <w:p w:rsidR="003D32BC" w:rsidRDefault="001716C5" w:rsidP="003D32BC">
      <w:pPr>
        <w:spacing w:line="360" w:lineRule="auto"/>
        <w:ind w:firstLine="709"/>
        <w:contextualSpacing/>
        <w:jc w:val="both"/>
        <w:rPr>
          <w:sz w:val="28"/>
          <w:szCs w:val="28"/>
        </w:rPr>
      </w:pPr>
      <w:proofErr w:type="gramStart"/>
      <w:r>
        <w:rPr>
          <w:sz w:val="28"/>
          <w:szCs w:val="28"/>
        </w:rPr>
        <w:t>На создание современных систем теплоснабж</w:t>
      </w:r>
      <w:r w:rsidRPr="001716C5">
        <w:rPr>
          <w:sz w:val="28"/>
          <w:szCs w:val="28"/>
        </w:rPr>
        <w:t xml:space="preserve">ения </w:t>
      </w:r>
      <w:r w:rsidR="003D32BC">
        <w:rPr>
          <w:sz w:val="28"/>
          <w:szCs w:val="28"/>
        </w:rPr>
        <w:t xml:space="preserve">России ЕБРР выделил </w:t>
      </w:r>
      <w:r w:rsidRPr="001716C5">
        <w:rPr>
          <w:sz w:val="28"/>
          <w:szCs w:val="28"/>
        </w:rPr>
        <w:t xml:space="preserve"> 3 млрд. рублей (75 млн. евро в эквиваленте) на цели модернизации и повышения эффективности систем централизованного теплоснабжения в зоне вечной мерзлоты на дальнем востоке России, где отопительный сезон продолжается 10 месяцев в году, а температура зимой в течение длительного времени держится на отметке ниже минус 50 градусов по Цельсию.</w:t>
      </w:r>
      <w:proofErr w:type="gramEnd"/>
      <w:r w:rsidRPr="001716C5">
        <w:rPr>
          <w:sz w:val="28"/>
          <w:szCs w:val="28"/>
        </w:rPr>
        <w:t xml:space="preserve"> Средства 13-летнего кредита Банка позволят профинансировать программу капиталовложений в ряде северных поселе</w:t>
      </w:r>
      <w:r w:rsidR="003D32BC">
        <w:rPr>
          <w:sz w:val="28"/>
          <w:szCs w:val="28"/>
        </w:rPr>
        <w:t>ний в Республике Соха (Якутия).</w:t>
      </w:r>
    </w:p>
    <w:p w:rsidR="001716C5" w:rsidRDefault="001716C5" w:rsidP="003D32BC">
      <w:pPr>
        <w:spacing w:line="360" w:lineRule="auto"/>
        <w:ind w:firstLine="709"/>
        <w:contextualSpacing/>
        <w:jc w:val="both"/>
        <w:rPr>
          <w:sz w:val="28"/>
          <w:szCs w:val="28"/>
        </w:rPr>
      </w:pPr>
      <w:r w:rsidRPr="001716C5">
        <w:rPr>
          <w:sz w:val="28"/>
          <w:szCs w:val="28"/>
        </w:rPr>
        <w:t>Стоимость отопительных услуг на 1 квадратный метр в Якутии самая высокая в России. На топливо и транспорт приходи</w:t>
      </w:r>
      <w:r w:rsidR="003D32BC">
        <w:rPr>
          <w:sz w:val="28"/>
          <w:szCs w:val="28"/>
        </w:rPr>
        <w:t>тся 75% этих текущих издержек. В</w:t>
      </w:r>
      <w:r w:rsidRPr="001716C5">
        <w:rPr>
          <w:sz w:val="28"/>
          <w:szCs w:val="28"/>
        </w:rPr>
        <w:t xml:space="preserve">месте с тем существует значительный потенциал для экономии средств, которой можно добиться, в частности, путем замены дорогостоящих поставок нефти морем на топливо, добываемое на месте. Кредит, в частности, позволит профинансировать </w:t>
      </w:r>
      <w:proofErr w:type="gramStart"/>
      <w:r w:rsidRPr="001716C5">
        <w:rPr>
          <w:sz w:val="28"/>
          <w:szCs w:val="28"/>
        </w:rPr>
        <w:t>замену</w:t>
      </w:r>
      <w:proofErr w:type="gramEnd"/>
      <w:r w:rsidRPr="001716C5">
        <w:rPr>
          <w:sz w:val="28"/>
          <w:szCs w:val="28"/>
        </w:rPr>
        <w:t xml:space="preserve"> как теплогенерирующих установок, так и теплораспределительных систем в портах тикси и черский в арктике.</w:t>
      </w:r>
      <w:r w:rsidR="003D32BC">
        <w:rPr>
          <w:sz w:val="28"/>
          <w:szCs w:val="28"/>
        </w:rPr>
        <w:t xml:space="preserve"> </w:t>
      </w:r>
      <w:r w:rsidRPr="001716C5">
        <w:rPr>
          <w:sz w:val="28"/>
          <w:szCs w:val="28"/>
        </w:rPr>
        <w:t>Эти два порта обеспечивают жизненно важные коммуникации для труднодоступных, расположенных вдали от моря поселений, позволяя складировать поступающие морем запасы в течение летнего периода для их последующей транспортировки вглубь территории по замерзшим дорогам после наступления зимы. Из-за вечной мерзлоты в остальную часть года дороги не действуют.</w:t>
      </w:r>
    </w:p>
    <w:p w:rsidR="003D32BC" w:rsidRDefault="003D32BC" w:rsidP="003D32BC">
      <w:pPr>
        <w:spacing w:line="360" w:lineRule="auto"/>
        <w:ind w:firstLine="709"/>
        <w:contextualSpacing/>
        <w:jc w:val="both"/>
        <w:rPr>
          <w:sz w:val="28"/>
          <w:szCs w:val="28"/>
        </w:rPr>
      </w:pPr>
    </w:p>
    <w:p w:rsidR="003D32BC" w:rsidRDefault="003D32BC" w:rsidP="003D32BC">
      <w:pPr>
        <w:spacing w:line="360" w:lineRule="auto"/>
        <w:ind w:firstLine="709"/>
        <w:contextualSpacing/>
        <w:jc w:val="both"/>
        <w:rPr>
          <w:sz w:val="28"/>
          <w:szCs w:val="28"/>
        </w:rPr>
      </w:pPr>
    </w:p>
    <w:p w:rsidR="003D32BC" w:rsidRDefault="003D32BC" w:rsidP="003D32BC">
      <w:pPr>
        <w:spacing w:line="360" w:lineRule="auto"/>
        <w:ind w:firstLine="709"/>
        <w:contextualSpacing/>
        <w:jc w:val="both"/>
        <w:rPr>
          <w:sz w:val="28"/>
          <w:szCs w:val="28"/>
        </w:rPr>
      </w:pPr>
    </w:p>
    <w:p w:rsidR="003D32BC" w:rsidRDefault="003D32BC" w:rsidP="003D32BC">
      <w:pPr>
        <w:spacing w:line="360" w:lineRule="auto"/>
        <w:ind w:firstLine="709"/>
        <w:contextualSpacing/>
        <w:jc w:val="both"/>
        <w:rPr>
          <w:sz w:val="28"/>
          <w:szCs w:val="28"/>
        </w:rPr>
      </w:pPr>
    </w:p>
    <w:p w:rsidR="003D32BC" w:rsidRDefault="003D32BC" w:rsidP="003D32BC">
      <w:pPr>
        <w:spacing w:line="360" w:lineRule="auto"/>
        <w:ind w:firstLine="709"/>
        <w:contextualSpacing/>
        <w:jc w:val="both"/>
        <w:rPr>
          <w:sz w:val="28"/>
          <w:szCs w:val="28"/>
        </w:rPr>
      </w:pPr>
    </w:p>
    <w:p w:rsidR="003D32BC" w:rsidRDefault="003D32BC" w:rsidP="003D32BC">
      <w:pPr>
        <w:spacing w:line="360" w:lineRule="auto"/>
        <w:ind w:firstLine="709"/>
        <w:contextualSpacing/>
        <w:jc w:val="both"/>
        <w:rPr>
          <w:sz w:val="28"/>
          <w:szCs w:val="28"/>
        </w:rPr>
      </w:pPr>
    </w:p>
    <w:p w:rsidR="003D32BC" w:rsidRDefault="003D32BC" w:rsidP="003D32BC">
      <w:pPr>
        <w:spacing w:line="360" w:lineRule="auto"/>
        <w:ind w:firstLine="709"/>
        <w:contextualSpacing/>
        <w:jc w:val="both"/>
        <w:rPr>
          <w:sz w:val="28"/>
          <w:szCs w:val="28"/>
        </w:rPr>
      </w:pPr>
    </w:p>
    <w:p w:rsidR="003D32BC" w:rsidRDefault="003D32BC" w:rsidP="003D32BC">
      <w:pPr>
        <w:spacing w:line="360" w:lineRule="auto"/>
        <w:ind w:firstLine="709"/>
        <w:contextualSpacing/>
        <w:jc w:val="both"/>
        <w:rPr>
          <w:sz w:val="28"/>
          <w:szCs w:val="28"/>
        </w:rPr>
      </w:pPr>
    </w:p>
    <w:p w:rsidR="003D32BC" w:rsidRDefault="003D32BC" w:rsidP="00C03419">
      <w:pPr>
        <w:spacing w:line="360" w:lineRule="auto"/>
        <w:contextualSpacing/>
        <w:jc w:val="center"/>
        <w:rPr>
          <w:b/>
          <w:sz w:val="32"/>
          <w:szCs w:val="32"/>
        </w:rPr>
      </w:pPr>
      <w:r w:rsidRPr="003D32BC">
        <w:rPr>
          <w:b/>
          <w:sz w:val="32"/>
          <w:szCs w:val="32"/>
        </w:rPr>
        <w:t xml:space="preserve">Глава 3. Проблемы и перспективы </w:t>
      </w:r>
      <w:r w:rsidR="007B6096">
        <w:rPr>
          <w:b/>
          <w:sz w:val="32"/>
          <w:szCs w:val="32"/>
        </w:rPr>
        <w:t xml:space="preserve">развития </w:t>
      </w:r>
      <w:r w:rsidRPr="003D32BC">
        <w:rPr>
          <w:b/>
          <w:sz w:val="32"/>
          <w:szCs w:val="32"/>
        </w:rPr>
        <w:t xml:space="preserve">политики ЕБРР в </w:t>
      </w:r>
      <w:r>
        <w:rPr>
          <w:b/>
          <w:sz w:val="32"/>
          <w:szCs w:val="32"/>
        </w:rPr>
        <w:t>России</w:t>
      </w:r>
    </w:p>
    <w:p w:rsidR="00091311" w:rsidRDefault="00E47107" w:rsidP="003D32BC">
      <w:pPr>
        <w:spacing w:line="360" w:lineRule="auto"/>
        <w:ind w:firstLine="709"/>
        <w:contextualSpacing/>
        <w:jc w:val="center"/>
        <w:rPr>
          <w:b/>
          <w:sz w:val="32"/>
          <w:szCs w:val="32"/>
        </w:rPr>
      </w:pPr>
      <w:r>
        <w:rPr>
          <w:b/>
          <w:sz w:val="32"/>
          <w:szCs w:val="32"/>
        </w:rPr>
        <w:t>3.1 Проблемы политики</w:t>
      </w:r>
      <w:r w:rsidR="0006530C">
        <w:rPr>
          <w:b/>
          <w:sz w:val="32"/>
          <w:szCs w:val="32"/>
        </w:rPr>
        <w:t>, осуществляемой</w:t>
      </w:r>
      <w:r w:rsidR="001F666A">
        <w:rPr>
          <w:b/>
          <w:sz w:val="32"/>
          <w:szCs w:val="32"/>
        </w:rPr>
        <w:t xml:space="preserve"> ЕБРР в России</w:t>
      </w:r>
    </w:p>
    <w:p w:rsidR="00091311" w:rsidRPr="00ED31DA" w:rsidRDefault="00091311" w:rsidP="00091311">
      <w:pPr>
        <w:spacing w:line="360" w:lineRule="auto"/>
        <w:ind w:firstLine="709"/>
        <w:contextualSpacing/>
        <w:jc w:val="both"/>
        <w:rPr>
          <w:sz w:val="28"/>
          <w:szCs w:val="28"/>
        </w:rPr>
      </w:pPr>
      <w:r w:rsidRPr="00091311">
        <w:rPr>
          <w:sz w:val="28"/>
          <w:szCs w:val="28"/>
        </w:rPr>
        <w:t xml:space="preserve">Банк будет поддерживать предприятия, внедряющие новые современные технологии или переходящие на международные стандарты в таких сферах, как корпоративное </w:t>
      </w:r>
      <w:r>
        <w:rPr>
          <w:sz w:val="28"/>
          <w:szCs w:val="28"/>
        </w:rPr>
        <w:t xml:space="preserve"> </w:t>
      </w:r>
      <w:r w:rsidRPr="00091311">
        <w:rPr>
          <w:sz w:val="28"/>
          <w:szCs w:val="28"/>
        </w:rPr>
        <w:t>управление, экология, безопасность труда, передача новых технологий и навыков, устойчивая энергетика, вовлечение заинтересованных сторон в решение социальных вопросов, гендерная проблематика. Банк также будет рассматривать проекты, направленные на модернизацию транспорта, энергетики, муниципальной и экологической инфраструктуры, наряду с совершенствованием методики тарифообразования и проведением реформ в данных секторах. Первоочередное внимание Банк будет уделять проектам, способствующим инновациям</w:t>
      </w:r>
      <w:r w:rsidR="007B6096">
        <w:rPr>
          <w:sz w:val="28"/>
          <w:szCs w:val="28"/>
        </w:rPr>
        <w:t>.</w:t>
      </w:r>
      <w:r w:rsidR="003507EB" w:rsidRPr="003507EB">
        <w:rPr>
          <w:sz w:val="28"/>
          <w:szCs w:val="28"/>
        </w:rPr>
        <w:t>[</w:t>
      </w:r>
      <w:r w:rsidR="003507EB" w:rsidRPr="00ED31DA">
        <w:rPr>
          <w:sz w:val="28"/>
          <w:szCs w:val="28"/>
        </w:rPr>
        <w:t>6]</w:t>
      </w:r>
    </w:p>
    <w:p w:rsidR="001716C5" w:rsidRDefault="00E47107" w:rsidP="00091311">
      <w:pPr>
        <w:spacing w:line="360" w:lineRule="auto"/>
        <w:ind w:firstLine="709"/>
        <w:contextualSpacing/>
        <w:jc w:val="both"/>
        <w:rPr>
          <w:sz w:val="28"/>
          <w:szCs w:val="28"/>
        </w:rPr>
      </w:pPr>
      <w:r>
        <w:rPr>
          <w:sz w:val="28"/>
          <w:szCs w:val="28"/>
        </w:rPr>
        <w:t>Проблемы в сфере диверсификации:</w:t>
      </w:r>
    </w:p>
    <w:p w:rsidR="00091311" w:rsidRPr="00E47107" w:rsidRDefault="00091311" w:rsidP="00E47107">
      <w:pPr>
        <w:pStyle w:val="a3"/>
        <w:numPr>
          <w:ilvl w:val="0"/>
          <w:numId w:val="3"/>
        </w:numPr>
        <w:spacing w:line="360" w:lineRule="auto"/>
        <w:jc w:val="both"/>
        <w:rPr>
          <w:sz w:val="28"/>
          <w:szCs w:val="28"/>
        </w:rPr>
      </w:pPr>
      <w:r w:rsidRPr="00E47107">
        <w:rPr>
          <w:sz w:val="28"/>
          <w:szCs w:val="28"/>
        </w:rPr>
        <w:t xml:space="preserve">Улучшение инвестиционного климата является ключом к привлечению российских и иностранных инвестиций в несырьевые отрасли экономики, особенно на региональном уровне. Несмотря на некоторое улучшение, достигнутое в последнее время, Россия по-прежнему имеет низкие показатели в рейтингах делового климата, особенно по таким позициям, как коррупция и доступ к финансированию, квалифицированным кадрам и подключению к электросетям. Эти факторы наряду с недостатками в нормативно-правовой базе сдерживают инвестиции и ограничивают вход и выход с рынка. </w:t>
      </w:r>
    </w:p>
    <w:p w:rsidR="00091311" w:rsidRPr="00E47107" w:rsidRDefault="00091311" w:rsidP="00E47107">
      <w:pPr>
        <w:pStyle w:val="a3"/>
        <w:numPr>
          <w:ilvl w:val="0"/>
          <w:numId w:val="3"/>
        </w:numPr>
        <w:spacing w:line="360" w:lineRule="auto"/>
        <w:jc w:val="both"/>
        <w:rPr>
          <w:sz w:val="28"/>
          <w:szCs w:val="28"/>
        </w:rPr>
      </w:pPr>
      <w:r w:rsidRPr="00E47107">
        <w:rPr>
          <w:sz w:val="28"/>
          <w:szCs w:val="28"/>
        </w:rPr>
        <w:t xml:space="preserve">Недостаток конкуренции во многих отраслях по-прежнему служит основным препятствием на пути развития несырьевой экономики. В рейтингах конкуренции Россия все еще занимает более низкие места, чем другие страны БРИКС и страны ОЭСР, причем за последние годы интенсивность конкуренции снизилась, так как доминирование отдельных игроков на рынке укрепилось. Частично это может быть связано с заметной ролью государства и политикой, направленной на защиту некоторых отраслей отечественной промышленности от конкуренции со стороны импорта и прямых иностранных инвестиций, например, через установление субсидируемых нетарифных барьеров. Если вступление в ВТО будет сопровождаться поведением необходимых структурных реформ, оно создаст новые стимулы для повышения конкурентоспособности, увеличения производительности труда и эффективности через привлечение ПИИ, новых технологий и более эффективное использование информационно-телекоммуникационных технологий (ИКТ). </w:t>
      </w:r>
    </w:p>
    <w:p w:rsidR="00091311" w:rsidRPr="00E47107" w:rsidRDefault="00091311" w:rsidP="00E47107">
      <w:pPr>
        <w:pStyle w:val="a3"/>
        <w:numPr>
          <w:ilvl w:val="0"/>
          <w:numId w:val="3"/>
        </w:numPr>
        <w:spacing w:line="360" w:lineRule="auto"/>
        <w:jc w:val="both"/>
        <w:rPr>
          <w:sz w:val="28"/>
          <w:szCs w:val="28"/>
        </w:rPr>
      </w:pPr>
      <w:r w:rsidRPr="00E47107">
        <w:rPr>
          <w:sz w:val="28"/>
          <w:szCs w:val="28"/>
        </w:rPr>
        <w:t xml:space="preserve">Банковский сектор нуждается в укреплении с тем, чтобы повысить доступность финансирования и более эффективно перенаправлять доходы из сырьевого сектора в несырьевые отрасли. Многие банки по-прежнему недокапитализированы и не способны удовлетворять спрос на кредитные ресурсы со стороны несырьевого сектора. </w:t>
      </w:r>
    </w:p>
    <w:p w:rsidR="00091311" w:rsidRPr="00E47107" w:rsidRDefault="00091311" w:rsidP="00E47107">
      <w:pPr>
        <w:pStyle w:val="a3"/>
        <w:numPr>
          <w:ilvl w:val="0"/>
          <w:numId w:val="3"/>
        </w:numPr>
        <w:spacing w:line="360" w:lineRule="auto"/>
        <w:jc w:val="both"/>
        <w:rPr>
          <w:sz w:val="28"/>
          <w:szCs w:val="28"/>
        </w:rPr>
      </w:pPr>
      <w:r w:rsidRPr="00E47107">
        <w:rPr>
          <w:sz w:val="28"/>
          <w:szCs w:val="28"/>
        </w:rPr>
        <w:t xml:space="preserve">Серьезные недостатки сохраняются в производственно-сбытовой цепочке агропромышленного комплекса, включая не отвечающую потребностям логистическую инфраструктуру и недостаточное соблюдение требований гигиены и стандартов качества. Для повышения производительности труда необходимо повышать стандарты в сельском хозяйстве. Требуется также соответствующее законодательство по развитию механизмов финансирования, в которых в качестве залога используется сельскохозяйственная продукция («мягкие товары»). </w:t>
      </w:r>
    </w:p>
    <w:p w:rsidR="001716C5" w:rsidRDefault="00091311" w:rsidP="00E47107">
      <w:pPr>
        <w:pStyle w:val="a3"/>
        <w:numPr>
          <w:ilvl w:val="0"/>
          <w:numId w:val="3"/>
        </w:numPr>
        <w:spacing w:line="360" w:lineRule="auto"/>
        <w:jc w:val="both"/>
        <w:rPr>
          <w:sz w:val="28"/>
          <w:szCs w:val="28"/>
        </w:rPr>
      </w:pPr>
      <w:r w:rsidRPr="00E47107">
        <w:rPr>
          <w:sz w:val="28"/>
          <w:szCs w:val="28"/>
        </w:rPr>
        <w:t>Необходимы дальнейшие шаги для развития индустрии прямых инвестиций с привлечением квалифицированных управляющих институциональными фондами.</w:t>
      </w:r>
    </w:p>
    <w:p w:rsidR="00E47107" w:rsidRDefault="00E47107" w:rsidP="00E47107">
      <w:pPr>
        <w:spacing w:line="360" w:lineRule="auto"/>
        <w:ind w:left="709"/>
        <w:jc w:val="both"/>
        <w:rPr>
          <w:sz w:val="28"/>
          <w:szCs w:val="28"/>
        </w:rPr>
      </w:pPr>
      <w:r>
        <w:rPr>
          <w:sz w:val="28"/>
          <w:szCs w:val="28"/>
        </w:rPr>
        <w:t>Проблемы в сфере модернизации и инновации:</w:t>
      </w:r>
    </w:p>
    <w:p w:rsidR="00E47107" w:rsidRDefault="00E47107" w:rsidP="00E47107">
      <w:pPr>
        <w:pStyle w:val="a3"/>
        <w:numPr>
          <w:ilvl w:val="0"/>
          <w:numId w:val="5"/>
        </w:numPr>
        <w:spacing w:line="360" w:lineRule="auto"/>
        <w:jc w:val="both"/>
        <w:rPr>
          <w:sz w:val="28"/>
          <w:szCs w:val="28"/>
        </w:rPr>
      </w:pPr>
      <w:r w:rsidRPr="00E47107">
        <w:rPr>
          <w:sz w:val="28"/>
          <w:szCs w:val="28"/>
        </w:rPr>
        <w:t xml:space="preserve">Важной задачей во всех секторах остается повышение стандартов делового оборота, корпоративного управления и прозрачности. Хотя действующие в России стандарты в этой сфере совершенствуются, их выполнение в целом все еще находится </w:t>
      </w:r>
      <w:proofErr w:type="gramStart"/>
      <w:r w:rsidRPr="00E47107">
        <w:rPr>
          <w:sz w:val="28"/>
          <w:szCs w:val="28"/>
        </w:rPr>
        <w:t>на</w:t>
      </w:r>
      <w:proofErr w:type="gramEnd"/>
      <w:r w:rsidRPr="00E47107">
        <w:rPr>
          <w:sz w:val="28"/>
          <w:szCs w:val="28"/>
        </w:rPr>
        <w:t xml:space="preserve"> гораздо более </w:t>
      </w:r>
      <w:proofErr w:type="gramStart"/>
      <w:r w:rsidRPr="00E47107">
        <w:rPr>
          <w:sz w:val="28"/>
          <w:szCs w:val="28"/>
        </w:rPr>
        <w:t>низком</w:t>
      </w:r>
      <w:proofErr w:type="gramEnd"/>
      <w:r w:rsidRPr="00E47107">
        <w:rPr>
          <w:sz w:val="28"/>
          <w:szCs w:val="28"/>
        </w:rPr>
        <w:t xml:space="preserve"> уровне, чем в более передовых странах и в новых странах-членах ЕС. Российскому бизнесу также нужны более сильные стимулы к переводу регистрации в местную юрисдикцию. В добывающих отраслях особенно важно повышать прозрачность и доводить до международных стандартов объемы раскрываемой информации о платежах в бюджеты всех уровней. </w:t>
      </w:r>
    </w:p>
    <w:p w:rsidR="00E47107" w:rsidRDefault="00E47107" w:rsidP="00E47107">
      <w:pPr>
        <w:pStyle w:val="a3"/>
        <w:numPr>
          <w:ilvl w:val="0"/>
          <w:numId w:val="5"/>
        </w:numPr>
        <w:spacing w:line="360" w:lineRule="auto"/>
        <w:jc w:val="both"/>
        <w:rPr>
          <w:sz w:val="28"/>
          <w:szCs w:val="28"/>
        </w:rPr>
      </w:pPr>
      <w:r w:rsidRPr="00E47107">
        <w:rPr>
          <w:sz w:val="28"/>
          <w:szCs w:val="28"/>
        </w:rPr>
        <w:t xml:space="preserve">Еще одним важным элементом модернизации является обеспечение равных </w:t>
      </w:r>
      <w:r>
        <w:rPr>
          <w:sz w:val="28"/>
          <w:szCs w:val="28"/>
        </w:rPr>
        <w:t xml:space="preserve"> </w:t>
      </w:r>
      <w:r w:rsidRPr="00E47107">
        <w:rPr>
          <w:sz w:val="28"/>
          <w:szCs w:val="28"/>
        </w:rPr>
        <w:t xml:space="preserve">возможностей для женщин и других потенциально уязвимых групп населения, поскольку Россия все еще отстает от других стран с переходной экономикой с точки зрения выполнения трудовых норм по обеспечению равной оплаты труда и недискриминационного подхода. </w:t>
      </w:r>
    </w:p>
    <w:p w:rsidR="00E47107" w:rsidRDefault="00E47107" w:rsidP="00E47107">
      <w:pPr>
        <w:pStyle w:val="a3"/>
        <w:numPr>
          <w:ilvl w:val="0"/>
          <w:numId w:val="5"/>
        </w:numPr>
        <w:spacing w:line="360" w:lineRule="auto"/>
        <w:jc w:val="both"/>
        <w:rPr>
          <w:sz w:val="28"/>
          <w:szCs w:val="28"/>
        </w:rPr>
      </w:pPr>
      <w:r w:rsidRPr="00E47107">
        <w:rPr>
          <w:sz w:val="28"/>
          <w:szCs w:val="28"/>
        </w:rPr>
        <w:t>Поддержка инноваций и создание конкурентоспособных высокотехнологических секторов требует активизации реформ, позволяющих на практике устранить серьезные препятствия на пути к инновациям, включая недостаток финансирования на самых ранних этапах инновационного цикла, что наиболее эффективно может быть решено посредством развития частных венчурных фондов. Хотя правительством учрежден ряд государственных институтов развития для поддержки инноваций, государство должно играть не направляющую роль, а скорее поддерживать этот процесс, в том числе путем создания надлежащих рыночных стимулов и через обеспечение защиты прав интеллектуальной собственности.</w:t>
      </w:r>
    </w:p>
    <w:p w:rsidR="00E47107" w:rsidRDefault="00E47107" w:rsidP="00E47107">
      <w:pPr>
        <w:pStyle w:val="a3"/>
        <w:numPr>
          <w:ilvl w:val="0"/>
          <w:numId w:val="5"/>
        </w:numPr>
        <w:spacing w:line="360" w:lineRule="auto"/>
        <w:jc w:val="both"/>
        <w:rPr>
          <w:sz w:val="28"/>
          <w:szCs w:val="28"/>
        </w:rPr>
      </w:pPr>
      <w:r w:rsidRPr="00E47107">
        <w:rPr>
          <w:sz w:val="28"/>
          <w:szCs w:val="28"/>
        </w:rPr>
        <w:t xml:space="preserve">Для создания дополнительных стимулов к модернизации и развитию коммунального хозяйства приоритетным направлением деятельности в секторе муниципальной и экологической инфраструктуры (МЭИ) будет совершенствование регулирования, реформа тарифообразования и более широкая коммерциализация коммунальных услуг. В сфере городского транспорта необходимо добиться дальнейшего укрепления нормативно-правовой базы, в том числе предусмотрев выставление маршрутов на тендеры, и содействовать совершенствованию системы закупок услуг городского транспорта за счет внедрения </w:t>
      </w:r>
      <w:proofErr w:type="gramStart"/>
      <w:r w:rsidRPr="00E47107">
        <w:rPr>
          <w:sz w:val="28"/>
          <w:szCs w:val="28"/>
        </w:rPr>
        <w:t>сервис-ориентированных</w:t>
      </w:r>
      <w:proofErr w:type="gramEnd"/>
      <w:r w:rsidRPr="00E47107">
        <w:rPr>
          <w:sz w:val="28"/>
          <w:szCs w:val="28"/>
        </w:rPr>
        <w:t xml:space="preserve"> и экономически обоснованных муниципальных договоров. </w:t>
      </w:r>
    </w:p>
    <w:p w:rsidR="00E47107" w:rsidRDefault="00E47107" w:rsidP="00E47107">
      <w:pPr>
        <w:pStyle w:val="a3"/>
        <w:numPr>
          <w:ilvl w:val="0"/>
          <w:numId w:val="5"/>
        </w:numPr>
        <w:spacing w:line="360" w:lineRule="auto"/>
        <w:jc w:val="both"/>
        <w:rPr>
          <w:sz w:val="28"/>
          <w:szCs w:val="28"/>
        </w:rPr>
      </w:pPr>
      <w:r w:rsidRPr="00E47107">
        <w:rPr>
          <w:sz w:val="28"/>
          <w:szCs w:val="28"/>
        </w:rPr>
        <w:t xml:space="preserve">Среди ключевых задач по модернизации сектора электроэнергетики – дальнейшее развитие долгосрочного рынка мощности, разработка механизма внедрения рыночных систем и тонкая настройка существующих правил. </w:t>
      </w:r>
    </w:p>
    <w:p w:rsidR="00E47107" w:rsidRPr="00E47107" w:rsidRDefault="00E47107" w:rsidP="007B6096">
      <w:pPr>
        <w:spacing w:line="360" w:lineRule="auto"/>
        <w:ind w:left="709"/>
        <w:jc w:val="both"/>
        <w:rPr>
          <w:sz w:val="28"/>
          <w:szCs w:val="28"/>
        </w:rPr>
      </w:pPr>
      <w:r>
        <w:rPr>
          <w:sz w:val="28"/>
          <w:szCs w:val="28"/>
        </w:rPr>
        <w:t>Проблемы в сфере развития частного сектора:</w:t>
      </w:r>
    </w:p>
    <w:p w:rsidR="00E47107" w:rsidRPr="007B6096" w:rsidRDefault="00E47107" w:rsidP="007B6096">
      <w:pPr>
        <w:pStyle w:val="a3"/>
        <w:numPr>
          <w:ilvl w:val="0"/>
          <w:numId w:val="6"/>
        </w:numPr>
        <w:spacing w:line="360" w:lineRule="auto"/>
        <w:jc w:val="both"/>
        <w:rPr>
          <w:sz w:val="28"/>
          <w:szCs w:val="28"/>
        </w:rPr>
      </w:pPr>
      <w:r w:rsidRPr="007B6096">
        <w:rPr>
          <w:sz w:val="28"/>
          <w:szCs w:val="28"/>
        </w:rPr>
        <w:t>Несмотря на достигнутый прогре</w:t>
      </w:r>
      <w:proofErr w:type="gramStart"/>
      <w:r w:rsidRPr="007B6096">
        <w:rPr>
          <w:sz w:val="28"/>
          <w:szCs w:val="28"/>
        </w:rPr>
        <w:t>сс в пр</w:t>
      </w:r>
      <w:proofErr w:type="gramEnd"/>
      <w:r w:rsidRPr="007B6096">
        <w:rPr>
          <w:sz w:val="28"/>
          <w:szCs w:val="28"/>
        </w:rPr>
        <w:t xml:space="preserve">оцессе перехода к хорошо функционирующей рыночной экономике, государство продолжает играть большую роль во многих секторах российской экономики как через организации с госсобственностью, так и через формальное и неформальное вмешательство в хозяйственную деятельность. Это ограничивало развитие частного сектора и конкуренции. </w:t>
      </w:r>
    </w:p>
    <w:p w:rsidR="007B6096" w:rsidRDefault="00E47107" w:rsidP="007B6096">
      <w:pPr>
        <w:pStyle w:val="a3"/>
        <w:numPr>
          <w:ilvl w:val="0"/>
          <w:numId w:val="6"/>
        </w:numPr>
        <w:spacing w:line="360" w:lineRule="auto"/>
        <w:jc w:val="both"/>
        <w:rPr>
          <w:sz w:val="28"/>
          <w:szCs w:val="28"/>
        </w:rPr>
      </w:pPr>
      <w:r w:rsidRPr="007B6096">
        <w:rPr>
          <w:sz w:val="28"/>
          <w:szCs w:val="28"/>
        </w:rPr>
        <w:t xml:space="preserve">В банковском секторе сохраняется высокая концентрация и доминирование государства, причем на долю крупнейшего государственного банка – «Сбербанка» – приходится почти половина всех депозитов физических лиц, а 6 из 7 крупнейших банков контролируются государством, и на их долю приходится почти 60% всех активов. Для усиления конкуренции крайне важно увеличить долю частного сектора путем укрепления частных банков (в том числе посредством капитализации и поощрения консолидации небольших частных банков) и осуществления стратегий приватизации для государственных банков. </w:t>
      </w:r>
    </w:p>
    <w:p w:rsidR="007B6096" w:rsidRDefault="00E47107" w:rsidP="007B6096">
      <w:pPr>
        <w:pStyle w:val="a3"/>
        <w:numPr>
          <w:ilvl w:val="0"/>
          <w:numId w:val="6"/>
        </w:numPr>
        <w:spacing w:line="360" w:lineRule="auto"/>
        <w:jc w:val="both"/>
        <w:rPr>
          <w:sz w:val="28"/>
          <w:szCs w:val="28"/>
        </w:rPr>
      </w:pPr>
      <w:r w:rsidRPr="007B6096">
        <w:rPr>
          <w:sz w:val="28"/>
          <w:szCs w:val="28"/>
        </w:rPr>
        <w:t xml:space="preserve">Дальнейшее развитие частного сектора требует улучшения доступности небанковских финансовых услуг, в том числе страхования жизни и других видов страхования, а также перестрахования. </w:t>
      </w:r>
    </w:p>
    <w:p w:rsidR="007B6096" w:rsidRDefault="00E47107" w:rsidP="007B6096">
      <w:pPr>
        <w:pStyle w:val="a3"/>
        <w:numPr>
          <w:ilvl w:val="0"/>
          <w:numId w:val="6"/>
        </w:numPr>
        <w:spacing w:line="360" w:lineRule="auto"/>
        <w:jc w:val="both"/>
        <w:rPr>
          <w:sz w:val="28"/>
          <w:szCs w:val="28"/>
        </w:rPr>
      </w:pPr>
      <w:r w:rsidRPr="007B6096">
        <w:rPr>
          <w:sz w:val="28"/>
          <w:szCs w:val="28"/>
        </w:rPr>
        <w:t xml:space="preserve">Дальнейшее развитие местных рынков капитала требует улучшения нормативно-правовой базы, модернизации физической инфраструктуры рынка капитала, укрепления местных операторов и расширения присутствия местных институциональных инвесторов, в том числе пенсионных фондов, на рынках капитала и частных прямых инвестиций. </w:t>
      </w:r>
    </w:p>
    <w:p w:rsidR="007B6096" w:rsidRDefault="00E47107" w:rsidP="007B6096">
      <w:pPr>
        <w:pStyle w:val="a3"/>
        <w:numPr>
          <w:ilvl w:val="0"/>
          <w:numId w:val="6"/>
        </w:numPr>
        <w:spacing w:line="360" w:lineRule="auto"/>
        <w:jc w:val="both"/>
        <w:rPr>
          <w:sz w:val="28"/>
          <w:szCs w:val="28"/>
        </w:rPr>
      </w:pPr>
      <w:r w:rsidRPr="007B6096">
        <w:rPr>
          <w:sz w:val="28"/>
          <w:szCs w:val="28"/>
        </w:rPr>
        <w:t>Сохраняется задача по расширению доли частног</w:t>
      </w:r>
      <w:r w:rsidR="007B6096" w:rsidRPr="007B6096">
        <w:rPr>
          <w:sz w:val="28"/>
          <w:szCs w:val="28"/>
        </w:rPr>
        <w:t xml:space="preserve">о сектора в отрасли энергетики. </w:t>
      </w:r>
      <w:r w:rsidRPr="007B6096">
        <w:rPr>
          <w:sz w:val="28"/>
          <w:szCs w:val="28"/>
        </w:rPr>
        <w:t xml:space="preserve">Следует повышать конкуренцию путем дальнейшей коммерциализации и приватизации государственных компаний и расширения </w:t>
      </w:r>
      <w:proofErr w:type="gramStart"/>
      <w:r w:rsidRPr="007B6096">
        <w:rPr>
          <w:sz w:val="28"/>
          <w:szCs w:val="28"/>
        </w:rPr>
        <w:t>деятельности</w:t>
      </w:r>
      <w:proofErr w:type="gramEnd"/>
      <w:r w:rsidRPr="007B6096">
        <w:rPr>
          <w:sz w:val="28"/>
          <w:szCs w:val="28"/>
        </w:rPr>
        <w:t xml:space="preserve"> независимых астных операторов. В секторе природных ресурсов для этого требуется: обеспечение прозрачности процесса выдачи лицензий на добычу минеральных ресурсов; дальнейшая либерализация рынка газа; устранение препятствий для доступа к инфраструктуре третьих лиц. </w:t>
      </w:r>
    </w:p>
    <w:p w:rsidR="002E5559" w:rsidRDefault="00E47107" w:rsidP="007B6096">
      <w:pPr>
        <w:pStyle w:val="a3"/>
        <w:numPr>
          <w:ilvl w:val="0"/>
          <w:numId w:val="6"/>
        </w:numPr>
        <w:spacing w:line="360" w:lineRule="auto"/>
        <w:jc w:val="both"/>
        <w:rPr>
          <w:sz w:val="28"/>
          <w:szCs w:val="28"/>
        </w:rPr>
      </w:pPr>
      <w:r w:rsidRPr="007B6096">
        <w:rPr>
          <w:sz w:val="28"/>
          <w:szCs w:val="28"/>
        </w:rPr>
        <w:t>В секторе природных ресурсов доля малых и средних региональных независимых производителей нефти и газа и горнодобывающих компаний должна быть увеличена, в частности, путем обеспечения прозрачного процесса выдачи лицензий на добычу полезных ископаемых.</w:t>
      </w:r>
    </w:p>
    <w:p w:rsidR="007B6096" w:rsidRDefault="007B6096" w:rsidP="007B6096">
      <w:pPr>
        <w:spacing w:line="360" w:lineRule="auto"/>
        <w:ind w:left="709"/>
        <w:jc w:val="both"/>
        <w:rPr>
          <w:sz w:val="28"/>
          <w:szCs w:val="28"/>
        </w:rPr>
      </w:pPr>
    </w:p>
    <w:p w:rsidR="00F72CD6" w:rsidRDefault="007B6096" w:rsidP="00F72CD6">
      <w:pPr>
        <w:spacing w:line="360" w:lineRule="auto"/>
        <w:ind w:left="709"/>
        <w:jc w:val="center"/>
        <w:rPr>
          <w:b/>
          <w:sz w:val="28"/>
          <w:szCs w:val="28"/>
        </w:rPr>
      </w:pPr>
      <w:r w:rsidRPr="00F72CD6">
        <w:rPr>
          <w:b/>
          <w:sz w:val="28"/>
          <w:szCs w:val="28"/>
        </w:rPr>
        <w:t xml:space="preserve">3.2 </w:t>
      </w:r>
      <w:r w:rsidR="00C73E18" w:rsidRPr="00F72CD6">
        <w:rPr>
          <w:b/>
          <w:sz w:val="28"/>
          <w:szCs w:val="28"/>
        </w:rPr>
        <w:t>Приори</w:t>
      </w:r>
      <w:r w:rsidR="00F72CD6" w:rsidRPr="00F72CD6">
        <w:rPr>
          <w:b/>
          <w:sz w:val="28"/>
          <w:szCs w:val="28"/>
        </w:rPr>
        <w:t>тетны</w:t>
      </w:r>
      <w:r w:rsidR="001F666A">
        <w:rPr>
          <w:b/>
          <w:sz w:val="28"/>
          <w:szCs w:val="28"/>
        </w:rPr>
        <w:t>е направления деятельности ЕБРР</w:t>
      </w:r>
    </w:p>
    <w:p w:rsidR="00F72CD6" w:rsidRPr="00F72CD6" w:rsidRDefault="00F72CD6" w:rsidP="00F72CD6">
      <w:pPr>
        <w:spacing w:line="360" w:lineRule="auto"/>
        <w:ind w:left="709"/>
        <w:jc w:val="center"/>
        <w:rPr>
          <w:b/>
          <w:sz w:val="28"/>
          <w:szCs w:val="28"/>
        </w:rPr>
      </w:pPr>
    </w:p>
    <w:p w:rsidR="00F72CD6" w:rsidRDefault="00F72CD6" w:rsidP="00F72CD6">
      <w:pPr>
        <w:spacing w:line="360" w:lineRule="auto"/>
        <w:ind w:left="709" w:firstLine="709"/>
        <w:contextualSpacing/>
        <w:jc w:val="both"/>
        <w:rPr>
          <w:sz w:val="28"/>
          <w:szCs w:val="28"/>
        </w:rPr>
      </w:pPr>
      <w:r>
        <w:rPr>
          <w:sz w:val="28"/>
          <w:szCs w:val="28"/>
        </w:rPr>
        <w:t xml:space="preserve">В настоящее время </w:t>
      </w:r>
      <w:r w:rsidR="00C73E18" w:rsidRPr="00C73E18">
        <w:rPr>
          <w:sz w:val="28"/>
          <w:szCs w:val="28"/>
        </w:rPr>
        <w:t xml:space="preserve"> деятельность Банка </w:t>
      </w:r>
      <w:r>
        <w:rPr>
          <w:sz w:val="28"/>
          <w:szCs w:val="28"/>
        </w:rPr>
        <w:t>ориентирована</w:t>
      </w:r>
      <w:r w:rsidR="00C73E18" w:rsidRPr="00C73E18">
        <w:rPr>
          <w:sz w:val="28"/>
          <w:szCs w:val="28"/>
        </w:rPr>
        <w:t xml:space="preserve"> на решение </w:t>
      </w:r>
      <w:r>
        <w:rPr>
          <w:sz w:val="28"/>
          <w:szCs w:val="28"/>
        </w:rPr>
        <w:t xml:space="preserve"> </w:t>
      </w:r>
      <w:r w:rsidR="00C73E18" w:rsidRPr="00C73E18">
        <w:rPr>
          <w:sz w:val="28"/>
          <w:szCs w:val="28"/>
        </w:rPr>
        <w:t xml:space="preserve">долгосрочных ключевых проблем российской экономики. </w:t>
      </w:r>
    </w:p>
    <w:p w:rsidR="00F72CD6" w:rsidRDefault="00C73E18" w:rsidP="00F72CD6">
      <w:pPr>
        <w:spacing w:line="360" w:lineRule="auto"/>
        <w:ind w:left="709" w:firstLine="709"/>
        <w:contextualSpacing/>
        <w:jc w:val="both"/>
        <w:rPr>
          <w:sz w:val="28"/>
          <w:szCs w:val="28"/>
        </w:rPr>
      </w:pPr>
      <w:r w:rsidRPr="00C73E18">
        <w:rPr>
          <w:sz w:val="28"/>
          <w:szCs w:val="28"/>
        </w:rPr>
        <w:t>Главные стратегические направления деятельности Банка соответствуют оценке ключевых проблем переходного процесса и полностью совпадают с намерениями правительства по проведению реформ. Стратегическими приоритетами Банка будут следующие направления деятельности:</w:t>
      </w:r>
      <w:r w:rsidR="003507EB">
        <w:rPr>
          <w:sz w:val="28"/>
          <w:szCs w:val="28"/>
          <w:lang w:val="en-US"/>
        </w:rPr>
        <w:t>[5]</w:t>
      </w:r>
      <w:r w:rsidRPr="00C73E18">
        <w:rPr>
          <w:sz w:val="28"/>
          <w:szCs w:val="28"/>
        </w:rPr>
        <w:t xml:space="preserve"> </w:t>
      </w:r>
    </w:p>
    <w:p w:rsidR="00F72CD6" w:rsidRDefault="00C73E18" w:rsidP="00F72CD6">
      <w:pPr>
        <w:pStyle w:val="a3"/>
        <w:numPr>
          <w:ilvl w:val="0"/>
          <w:numId w:val="7"/>
        </w:numPr>
        <w:spacing w:line="360" w:lineRule="auto"/>
        <w:ind w:left="352" w:firstLine="709"/>
        <w:jc w:val="both"/>
        <w:rPr>
          <w:sz w:val="28"/>
          <w:szCs w:val="28"/>
        </w:rPr>
      </w:pPr>
      <w:r w:rsidRPr="00F72CD6">
        <w:rPr>
          <w:sz w:val="28"/>
          <w:szCs w:val="28"/>
        </w:rPr>
        <w:t xml:space="preserve">Диверсификация экономики. Банк будет поддерживать диверсификацию, направляя инвестиции в первую очередь в частные предприятия и частные финансовые институты, которые поддерживают рост несырьевого сектора. Банк также будет использовать диалог с государственными органами и TC для содействия улучшению делового климата, что имеет решающее значение для успешной диверсификации. </w:t>
      </w:r>
    </w:p>
    <w:p w:rsidR="00F72CD6" w:rsidRDefault="00C73E18" w:rsidP="00F72CD6">
      <w:pPr>
        <w:pStyle w:val="a3"/>
        <w:numPr>
          <w:ilvl w:val="0"/>
          <w:numId w:val="7"/>
        </w:numPr>
        <w:spacing w:line="360" w:lineRule="auto"/>
        <w:ind w:left="352" w:firstLine="850"/>
        <w:jc w:val="both"/>
        <w:rPr>
          <w:sz w:val="28"/>
          <w:szCs w:val="28"/>
        </w:rPr>
      </w:pPr>
      <w:r w:rsidRPr="00F72CD6">
        <w:rPr>
          <w:sz w:val="28"/>
          <w:szCs w:val="28"/>
        </w:rPr>
        <w:t xml:space="preserve">Инвестиции в модернизацию и инновации и формирование стандартов для них. Банк будет поддерживать предприятия, которые осуществляют инновации, внедряют современные новые технологии, или переходят на международные стандарты, в частности в вопросах корпоративного управления, прозрачности, вовлечения и учета интересов всех заинтересованных сторон, социальной интеграции и гендерных вопросах. Банк будет стремиться укреплять свои партнерские отношения с международными и российскими партнерами, работающими в сфере высоких технологий, технопарками, надежными и компетентными менеджерами фондов прямых инвестиций и фондов венчурного капитала. Банк также будет рассматривать проекты по модернизации транспортной, энергетической и муниципальной и экологической инфраструктуры. Повышение энергоэффективности будет одним из ключевых аспектов модернизации в различных секторах экономики. </w:t>
      </w:r>
    </w:p>
    <w:p w:rsidR="00F72CD6" w:rsidRDefault="00C73E18" w:rsidP="00F72CD6">
      <w:pPr>
        <w:pStyle w:val="a3"/>
        <w:numPr>
          <w:ilvl w:val="0"/>
          <w:numId w:val="7"/>
        </w:numPr>
        <w:spacing w:line="360" w:lineRule="auto"/>
        <w:ind w:left="352" w:firstLine="850"/>
        <w:jc w:val="both"/>
        <w:rPr>
          <w:sz w:val="28"/>
          <w:szCs w:val="28"/>
        </w:rPr>
      </w:pPr>
      <w:r w:rsidRPr="00F72CD6">
        <w:rPr>
          <w:sz w:val="28"/>
          <w:szCs w:val="28"/>
        </w:rPr>
        <w:t xml:space="preserve">Поддержка приватизации и развития частного сектора. Банк будет оказывать поддержку развитию частного сектора непосредственно через свои проекты с участием частных предприятий и банков в виде целевых кредитных линий и через фонды прямых инвестиций в поддержку ММСП, и потенциально через редприватизационные сделки, при условии, что они являются прозрачными и способствуют повышению конкуренции. </w:t>
      </w:r>
      <w:proofErr w:type="gramStart"/>
      <w:r w:rsidRPr="00F72CD6">
        <w:rPr>
          <w:sz w:val="28"/>
          <w:szCs w:val="28"/>
        </w:rPr>
        <w:t>Основной целью Банка будет повышение роли частного сектора путем укрепления существующих частных операторов; увеличение роли ММСП в экономике; реализация планов прозрачной и конкурентной риватизации государственных компаний; проведение диалога с государственными органами по вопросам приватизации; а также поощрение ГЧП как инструмента для обеспечения дополнительного притока инвестиций из частного сектора в отрасли, в которых доминирует государство.</w:t>
      </w:r>
      <w:proofErr w:type="gramEnd"/>
      <w:r w:rsidRPr="00F72CD6">
        <w:rPr>
          <w:sz w:val="28"/>
          <w:szCs w:val="28"/>
        </w:rPr>
        <w:t xml:space="preserve"> Развитие и углубление внутренних рынков капитала также будет одним из приоритетов для удовлетворения растущих потребностей частного сектора в финансировании. </w:t>
      </w:r>
    </w:p>
    <w:p w:rsidR="007B6096" w:rsidRDefault="00C73E18" w:rsidP="00F72CD6">
      <w:pPr>
        <w:pStyle w:val="a3"/>
        <w:numPr>
          <w:ilvl w:val="0"/>
          <w:numId w:val="7"/>
        </w:numPr>
        <w:spacing w:line="360" w:lineRule="auto"/>
        <w:ind w:left="352" w:firstLine="850"/>
        <w:jc w:val="both"/>
        <w:rPr>
          <w:sz w:val="28"/>
          <w:szCs w:val="28"/>
        </w:rPr>
      </w:pPr>
      <w:r w:rsidRPr="00F72CD6">
        <w:rPr>
          <w:sz w:val="28"/>
          <w:szCs w:val="28"/>
        </w:rPr>
        <w:t>Расширение экономических возможностей в регионах России. Для поддержки развития в регионах Банк будет отдавать приоритет проектам и реформам, которые способствуют переходным процессам в регионах, менее развитых по сравнению с Москвой и Санкт-Петербургом, но стремящихся осуществлять мероприятия по улучшению своего инвестиционного климата. С использованием средств ТС, которые будут предоставлены правительством России, Банк будет продвигать коммерчески приемлемые решения в тех регионах, где есть неудовлетворенные потребности в финансировании и где до сих пор было трудно найти проекты, в которых возможно</w:t>
      </w:r>
      <w:r w:rsidR="00F72CD6">
        <w:rPr>
          <w:sz w:val="28"/>
          <w:szCs w:val="28"/>
        </w:rPr>
        <w:t xml:space="preserve"> </w:t>
      </w:r>
      <w:r w:rsidRPr="00F72CD6">
        <w:rPr>
          <w:sz w:val="28"/>
          <w:szCs w:val="28"/>
        </w:rPr>
        <w:t>банковское финансирование. Одновременно с этим будет проводиться активный диалог с региональными властями по улучшению инвестиционного климата. Банк будет уделять особое внимание проектам, которые повышают экономические возможности для формирующегося среднего класса в регионах путем расширения доступа региональных малых и средних предприятий к финансированию, оказания поддержки модернизации городского хозяйства и повышения качества рабочих мест и оказываемых услуг.</w:t>
      </w:r>
    </w:p>
    <w:p w:rsidR="00F72CD6" w:rsidRDefault="00F72CD6" w:rsidP="00F72CD6">
      <w:pPr>
        <w:pStyle w:val="a3"/>
        <w:spacing w:line="360" w:lineRule="auto"/>
        <w:ind w:left="426" w:firstLine="708"/>
        <w:jc w:val="both"/>
        <w:rPr>
          <w:sz w:val="28"/>
          <w:szCs w:val="28"/>
        </w:rPr>
      </w:pPr>
      <w:r w:rsidRPr="00F72CD6">
        <w:rPr>
          <w:sz w:val="28"/>
          <w:szCs w:val="28"/>
        </w:rPr>
        <w:t>На всех этих направлениях деятельность Банка в России будет осуществляться в увязке с общими первоочередными задачами правительст</w:t>
      </w:r>
      <w:r>
        <w:rPr>
          <w:sz w:val="28"/>
          <w:szCs w:val="28"/>
        </w:rPr>
        <w:t xml:space="preserve">ва по диверсификации экономики, </w:t>
      </w:r>
      <w:r w:rsidRPr="00F72CD6">
        <w:rPr>
          <w:sz w:val="28"/>
          <w:szCs w:val="28"/>
        </w:rPr>
        <w:t xml:space="preserve">повышению производительности труда и конкурентоспособности российских компаний, особенно МСП, и повышению качества и надежности государственных услуг. Долевые инвестиции могут </w:t>
      </w:r>
      <w:proofErr w:type="gramStart"/>
      <w:r w:rsidRPr="00F72CD6">
        <w:rPr>
          <w:sz w:val="28"/>
          <w:szCs w:val="28"/>
        </w:rPr>
        <w:t>стать</w:t>
      </w:r>
      <w:proofErr w:type="gramEnd"/>
      <w:r w:rsidRPr="00F72CD6">
        <w:rPr>
          <w:sz w:val="28"/>
          <w:szCs w:val="28"/>
        </w:rPr>
        <w:t xml:space="preserve"> особенно мощным инструментом стимулирования переходных процессов на уровне предприятий с учетом соотношения рисков/доходности и состояния рынка.</w:t>
      </w: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F72CD6">
      <w:pPr>
        <w:pStyle w:val="a3"/>
        <w:spacing w:line="360" w:lineRule="auto"/>
        <w:ind w:left="426" w:firstLine="708"/>
        <w:jc w:val="both"/>
        <w:rPr>
          <w:sz w:val="28"/>
          <w:szCs w:val="28"/>
        </w:rPr>
      </w:pPr>
    </w:p>
    <w:p w:rsidR="00561C13" w:rsidRDefault="00561C13" w:rsidP="00561C13">
      <w:pPr>
        <w:pStyle w:val="a3"/>
        <w:spacing w:line="360" w:lineRule="auto"/>
        <w:ind w:left="426" w:firstLine="708"/>
        <w:jc w:val="center"/>
        <w:rPr>
          <w:b/>
          <w:sz w:val="32"/>
          <w:szCs w:val="32"/>
        </w:rPr>
      </w:pPr>
      <w:r w:rsidRPr="00561C13">
        <w:rPr>
          <w:b/>
          <w:sz w:val="32"/>
          <w:szCs w:val="32"/>
        </w:rPr>
        <w:t>Заключение</w:t>
      </w:r>
    </w:p>
    <w:p w:rsidR="00FF769F" w:rsidRDefault="00FF769F" w:rsidP="00561C13">
      <w:pPr>
        <w:pStyle w:val="a3"/>
        <w:spacing w:line="360" w:lineRule="auto"/>
        <w:ind w:left="426" w:firstLine="708"/>
        <w:jc w:val="center"/>
        <w:rPr>
          <w:b/>
          <w:sz w:val="32"/>
          <w:szCs w:val="32"/>
        </w:rPr>
      </w:pPr>
    </w:p>
    <w:p w:rsidR="00561C13" w:rsidRDefault="00561C13" w:rsidP="00561C13">
      <w:pPr>
        <w:spacing w:line="360" w:lineRule="auto"/>
        <w:ind w:firstLine="709"/>
        <w:contextualSpacing/>
        <w:jc w:val="both"/>
        <w:rPr>
          <w:sz w:val="28"/>
          <w:szCs w:val="28"/>
        </w:rPr>
      </w:pPr>
      <w:r w:rsidRPr="00561C13">
        <w:rPr>
          <w:sz w:val="28"/>
          <w:szCs w:val="28"/>
        </w:rPr>
        <w:t>ЕБРР является организацией, сочетающей в себе признаки политической организации и функционирующего на коммерческой основе регионального банка развития. ЕБРР был создан для содействия процессу перехода к демократии и открытой экономике в странах ЦВЕ, развитию частного сектора и инфраструктуры, проведению рыночных реформ и структурных преобразований в указанных странах и является скорее региональной, чем глобальной организацией, созданной, в основном, странами Западной Европы.</w:t>
      </w:r>
    </w:p>
    <w:p w:rsidR="00F630A0" w:rsidRDefault="00561C13" w:rsidP="00F630A0">
      <w:pPr>
        <w:spacing w:line="360" w:lineRule="auto"/>
        <w:ind w:firstLine="709"/>
        <w:contextualSpacing/>
        <w:jc w:val="both"/>
        <w:rPr>
          <w:sz w:val="28"/>
          <w:szCs w:val="28"/>
        </w:rPr>
      </w:pPr>
      <w:r w:rsidRPr="00561C13">
        <w:rPr>
          <w:sz w:val="28"/>
          <w:szCs w:val="28"/>
        </w:rPr>
        <w:t>ЕБРР является крупнейшим инвестором, работающим в странах ЦВЕ и СНГ. Крупные проекты могут кредитоваться Банком напрямую, а малые практически всегда кредитуются с привлечением финансовых посредников. Оказывая поддержку коммерческим банкам в странах операций, банкам микрокредитования, фондам акционерного капитала, своими инвестициями ЕБРР содействует развитию частного сектора, укреплению финансовых учреждений и правовых систем, а также развитию инфраструктуры, необходимой для поддержки частного сектора.</w:t>
      </w:r>
    </w:p>
    <w:p w:rsidR="00F630A0" w:rsidRDefault="00F630A0" w:rsidP="00F630A0">
      <w:pPr>
        <w:spacing w:line="360" w:lineRule="auto"/>
        <w:ind w:firstLine="709"/>
        <w:contextualSpacing/>
        <w:jc w:val="both"/>
        <w:rPr>
          <w:color w:val="000000"/>
          <w:sz w:val="28"/>
          <w:szCs w:val="28"/>
        </w:rPr>
      </w:pPr>
      <w:r w:rsidRPr="00F630A0">
        <w:rPr>
          <w:color w:val="000000"/>
          <w:sz w:val="28"/>
          <w:szCs w:val="28"/>
        </w:rPr>
        <w:t>В своей деятельности</w:t>
      </w:r>
      <w:r w:rsidRPr="00F630A0">
        <w:rPr>
          <w:rStyle w:val="apple-converted-space"/>
          <w:color w:val="000000"/>
          <w:sz w:val="28"/>
          <w:szCs w:val="28"/>
        </w:rPr>
        <w:t> </w:t>
      </w:r>
      <w:r w:rsidRPr="00F630A0">
        <w:rPr>
          <w:rStyle w:val="found"/>
          <w:color w:val="000000"/>
          <w:sz w:val="28"/>
          <w:szCs w:val="28"/>
        </w:rPr>
        <w:t>ЕБРР</w:t>
      </w:r>
      <w:r w:rsidRPr="00F630A0">
        <w:rPr>
          <w:rStyle w:val="apple-converted-space"/>
          <w:color w:val="000000"/>
          <w:sz w:val="28"/>
          <w:szCs w:val="28"/>
        </w:rPr>
        <w:t> </w:t>
      </w:r>
      <w:r w:rsidRPr="00F630A0">
        <w:rPr>
          <w:color w:val="000000"/>
          <w:sz w:val="28"/>
          <w:szCs w:val="28"/>
        </w:rPr>
        <w:t>использует следующие формы операций для предприятий частного и государственного сектора, переходящих на рыночные методы хозяйствования:</w:t>
      </w:r>
    </w:p>
    <w:p w:rsidR="00F630A0" w:rsidRDefault="00F630A0" w:rsidP="00F630A0">
      <w:pPr>
        <w:spacing w:line="360" w:lineRule="auto"/>
        <w:ind w:firstLine="709"/>
        <w:contextualSpacing/>
        <w:jc w:val="both"/>
        <w:rPr>
          <w:color w:val="000000"/>
          <w:sz w:val="28"/>
          <w:szCs w:val="28"/>
        </w:rPr>
      </w:pPr>
      <w:r w:rsidRPr="00F630A0">
        <w:rPr>
          <w:color w:val="000000"/>
          <w:sz w:val="28"/>
          <w:szCs w:val="28"/>
        </w:rPr>
        <w:t>1) предоставление кредитов (включая совместное финансирование) на развитие производства</w:t>
      </w:r>
      <w:r>
        <w:rPr>
          <w:color w:val="000000"/>
          <w:sz w:val="28"/>
          <w:szCs w:val="28"/>
        </w:rPr>
        <w:t>;</w:t>
      </w:r>
    </w:p>
    <w:p w:rsidR="00F630A0" w:rsidRDefault="00F630A0" w:rsidP="00F630A0">
      <w:pPr>
        <w:spacing w:line="360" w:lineRule="auto"/>
        <w:ind w:firstLine="709"/>
        <w:contextualSpacing/>
        <w:jc w:val="both"/>
        <w:rPr>
          <w:color w:val="000000"/>
          <w:sz w:val="28"/>
          <w:szCs w:val="28"/>
        </w:rPr>
      </w:pPr>
      <w:r w:rsidRPr="00F630A0">
        <w:rPr>
          <w:color w:val="000000"/>
          <w:sz w:val="28"/>
          <w:szCs w:val="28"/>
        </w:rPr>
        <w:t>2) инвестирование в капитал;</w:t>
      </w:r>
    </w:p>
    <w:p w:rsidR="00F630A0" w:rsidRDefault="00F630A0" w:rsidP="00F630A0">
      <w:pPr>
        <w:spacing w:line="360" w:lineRule="auto"/>
        <w:ind w:firstLine="709"/>
        <w:contextualSpacing/>
        <w:jc w:val="both"/>
        <w:rPr>
          <w:color w:val="000000"/>
          <w:sz w:val="28"/>
          <w:szCs w:val="28"/>
        </w:rPr>
      </w:pPr>
      <w:r w:rsidRPr="00F630A0">
        <w:rPr>
          <w:color w:val="000000"/>
          <w:sz w:val="28"/>
          <w:szCs w:val="28"/>
        </w:rPr>
        <w:t>3) гарантированное размещение ценных бумаг</w:t>
      </w:r>
      <w:r>
        <w:rPr>
          <w:color w:val="000000"/>
          <w:sz w:val="28"/>
          <w:szCs w:val="28"/>
        </w:rPr>
        <w:t>;</w:t>
      </w:r>
    </w:p>
    <w:p w:rsidR="00F630A0" w:rsidRDefault="00F630A0" w:rsidP="00F630A0">
      <w:pPr>
        <w:spacing w:line="360" w:lineRule="auto"/>
        <w:ind w:firstLine="709"/>
        <w:contextualSpacing/>
        <w:jc w:val="both"/>
        <w:rPr>
          <w:color w:val="000000"/>
          <w:sz w:val="28"/>
          <w:szCs w:val="28"/>
        </w:rPr>
      </w:pPr>
      <w:r w:rsidRPr="00F630A0">
        <w:rPr>
          <w:color w:val="000000"/>
          <w:sz w:val="28"/>
          <w:szCs w:val="28"/>
        </w:rPr>
        <w:t>4) облегчение доступа на рынки капитала путем предоставления гарантий и оказания содействия в других формах</w:t>
      </w:r>
      <w:r>
        <w:rPr>
          <w:color w:val="000000"/>
          <w:sz w:val="28"/>
          <w:szCs w:val="28"/>
        </w:rPr>
        <w:t>;</w:t>
      </w:r>
    </w:p>
    <w:p w:rsidR="00F630A0" w:rsidRDefault="00F630A0" w:rsidP="00F630A0">
      <w:pPr>
        <w:spacing w:line="360" w:lineRule="auto"/>
        <w:ind w:firstLine="709"/>
        <w:contextualSpacing/>
        <w:jc w:val="both"/>
        <w:rPr>
          <w:color w:val="000000"/>
          <w:sz w:val="28"/>
          <w:szCs w:val="28"/>
        </w:rPr>
      </w:pPr>
      <w:r w:rsidRPr="00F630A0">
        <w:rPr>
          <w:color w:val="000000"/>
          <w:sz w:val="28"/>
          <w:szCs w:val="28"/>
        </w:rPr>
        <w:t>5) размещение ресурсов специальных фондов в соответствии с соглашениями, определяющими их использование;</w:t>
      </w:r>
    </w:p>
    <w:p w:rsidR="00F630A0" w:rsidRDefault="00F630A0" w:rsidP="00F630A0">
      <w:pPr>
        <w:spacing w:line="360" w:lineRule="auto"/>
        <w:ind w:firstLine="709"/>
        <w:contextualSpacing/>
        <w:jc w:val="both"/>
        <w:rPr>
          <w:sz w:val="28"/>
          <w:szCs w:val="28"/>
        </w:rPr>
      </w:pPr>
      <w:r>
        <w:rPr>
          <w:color w:val="000000"/>
          <w:sz w:val="28"/>
          <w:szCs w:val="28"/>
        </w:rPr>
        <w:t xml:space="preserve">6) предоставление займов </w:t>
      </w:r>
      <w:r w:rsidRPr="00F630A0">
        <w:rPr>
          <w:color w:val="000000"/>
          <w:sz w:val="28"/>
          <w:szCs w:val="28"/>
        </w:rPr>
        <w:t xml:space="preserve">и оказание технического содействия под </w:t>
      </w:r>
      <w:proofErr w:type="gramStart"/>
      <w:r w:rsidRPr="00F630A0">
        <w:rPr>
          <w:color w:val="000000"/>
          <w:sz w:val="28"/>
          <w:szCs w:val="28"/>
        </w:rPr>
        <w:t>реконструкцию</w:t>
      </w:r>
      <w:proofErr w:type="gramEnd"/>
      <w:r w:rsidRPr="00F630A0">
        <w:rPr>
          <w:color w:val="000000"/>
          <w:sz w:val="28"/>
          <w:szCs w:val="28"/>
        </w:rPr>
        <w:t xml:space="preserve"> и развитие инфраструктуры.</w:t>
      </w:r>
    </w:p>
    <w:p w:rsidR="00561C13" w:rsidRDefault="00561C13" w:rsidP="00F630A0">
      <w:pPr>
        <w:spacing w:line="360" w:lineRule="auto"/>
        <w:ind w:firstLine="709"/>
        <w:contextualSpacing/>
        <w:jc w:val="both"/>
        <w:rPr>
          <w:sz w:val="28"/>
          <w:szCs w:val="28"/>
        </w:rPr>
      </w:pPr>
      <w:r w:rsidRPr="00561C13">
        <w:rPr>
          <w:sz w:val="28"/>
          <w:szCs w:val="28"/>
        </w:rPr>
        <w:t>Во всей своей деятельности Банк применяет здравые банковские и инвестиционные принципы. При этом победа в конкурентной борьбе по кредитованию актуальной задачей для ЕБРР не является. Более того, Банк стремится без необходимости в ней не участвовать, т.к. рассматривает себя как «кредитора на всякий случай» и предназначен для финансирования лишь тех проектов, которые не могут получить средства из других источников на приемлемых, по мнению ЕБРР, условиях.</w:t>
      </w:r>
    </w:p>
    <w:p w:rsidR="00561C13" w:rsidRDefault="00561C13" w:rsidP="00561C13">
      <w:pPr>
        <w:spacing w:line="360" w:lineRule="auto"/>
        <w:ind w:firstLine="709"/>
        <w:contextualSpacing/>
        <w:jc w:val="both"/>
        <w:rPr>
          <w:sz w:val="28"/>
          <w:szCs w:val="28"/>
        </w:rPr>
      </w:pPr>
      <w:r w:rsidRPr="00561C13">
        <w:rPr>
          <w:sz w:val="28"/>
          <w:szCs w:val="28"/>
        </w:rPr>
        <w:t>Россия является одним из основных направлений инвестиционной деятельности Банка, и ожидается, что его роль в обозримый период будет увеличиваться. Большое значение в развитии российской экономики сыграл Фонд поддержки малого бизнеса в России, созданный ЕБРР. Его успехи в области кредитования малых предприятий послужили примером для аналогичных программ в других странах.</w:t>
      </w: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561C13">
      <w:pPr>
        <w:spacing w:line="360" w:lineRule="auto"/>
        <w:ind w:firstLine="709"/>
        <w:contextualSpacing/>
        <w:jc w:val="both"/>
        <w:rPr>
          <w:sz w:val="28"/>
          <w:szCs w:val="28"/>
        </w:rPr>
      </w:pPr>
    </w:p>
    <w:p w:rsidR="008E782D" w:rsidRDefault="008E782D" w:rsidP="008E782D">
      <w:pPr>
        <w:spacing w:line="360" w:lineRule="auto"/>
        <w:ind w:firstLine="709"/>
        <w:contextualSpacing/>
        <w:jc w:val="center"/>
        <w:rPr>
          <w:b/>
          <w:sz w:val="28"/>
          <w:szCs w:val="28"/>
        </w:rPr>
      </w:pPr>
      <w:r w:rsidRPr="008E782D">
        <w:rPr>
          <w:b/>
          <w:sz w:val="28"/>
          <w:szCs w:val="28"/>
        </w:rPr>
        <w:t>Список использованной литературы.</w:t>
      </w:r>
    </w:p>
    <w:p w:rsidR="008E782D" w:rsidRDefault="008E782D" w:rsidP="008E782D">
      <w:pPr>
        <w:spacing w:line="360" w:lineRule="auto"/>
        <w:ind w:firstLine="709"/>
        <w:contextualSpacing/>
        <w:jc w:val="center"/>
        <w:rPr>
          <w:b/>
          <w:sz w:val="28"/>
          <w:szCs w:val="28"/>
        </w:rPr>
      </w:pPr>
    </w:p>
    <w:p w:rsidR="008E782D" w:rsidRDefault="008E782D" w:rsidP="008E782D">
      <w:pPr>
        <w:pStyle w:val="a3"/>
        <w:numPr>
          <w:ilvl w:val="0"/>
          <w:numId w:val="12"/>
        </w:numPr>
        <w:spacing w:line="360" w:lineRule="auto"/>
        <w:ind w:left="357" w:firstLine="709"/>
        <w:jc w:val="both"/>
        <w:rPr>
          <w:sz w:val="28"/>
          <w:szCs w:val="28"/>
        </w:rPr>
      </w:pPr>
      <w:r w:rsidRPr="008E782D">
        <w:rPr>
          <w:sz w:val="28"/>
          <w:szCs w:val="28"/>
        </w:rPr>
        <w:t>Косьмин А.Д. Мировая экономика и внешнеэкономическая деятельность; учебно</w:t>
      </w:r>
      <w:r>
        <w:rPr>
          <w:sz w:val="28"/>
          <w:szCs w:val="28"/>
        </w:rPr>
        <w:t>е пособие. - М.: Экономика, 2009</w:t>
      </w:r>
      <w:r w:rsidRPr="008E782D">
        <w:rPr>
          <w:sz w:val="28"/>
          <w:szCs w:val="28"/>
        </w:rPr>
        <w:t>.</w:t>
      </w:r>
    </w:p>
    <w:p w:rsidR="008E782D" w:rsidRPr="008E782D" w:rsidRDefault="008E782D" w:rsidP="008E782D">
      <w:pPr>
        <w:pStyle w:val="a3"/>
        <w:numPr>
          <w:ilvl w:val="0"/>
          <w:numId w:val="12"/>
        </w:numPr>
        <w:spacing w:line="360" w:lineRule="auto"/>
        <w:ind w:left="357" w:firstLine="709"/>
        <w:jc w:val="both"/>
        <w:rPr>
          <w:sz w:val="28"/>
          <w:szCs w:val="28"/>
        </w:rPr>
      </w:pPr>
      <w:r w:rsidRPr="008E782D">
        <w:rPr>
          <w:sz w:val="28"/>
          <w:szCs w:val="28"/>
        </w:rPr>
        <w:t>Саввина О.В. Международные финансовые организации; учебное пособие. - М.: Российская ак</w:t>
      </w:r>
      <w:r w:rsidR="00BC0D96">
        <w:rPr>
          <w:sz w:val="28"/>
          <w:szCs w:val="28"/>
        </w:rPr>
        <w:t>адемия предпринимательства, 2012</w:t>
      </w:r>
      <w:r w:rsidRPr="008E782D">
        <w:rPr>
          <w:sz w:val="28"/>
          <w:szCs w:val="28"/>
        </w:rPr>
        <w:t>.</w:t>
      </w:r>
    </w:p>
    <w:p w:rsidR="008E782D" w:rsidRDefault="00BC0D96" w:rsidP="008E782D">
      <w:pPr>
        <w:pStyle w:val="a3"/>
        <w:numPr>
          <w:ilvl w:val="0"/>
          <w:numId w:val="12"/>
        </w:numPr>
        <w:spacing w:line="360" w:lineRule="auto"/>
        <w:ind w:left="357" w:firstLine="709"/>
        <w:jc w:val="both"/>
        <w:rPr>
          <w:sz w:val="28"/>
          <w:szCs w:val="28"/>
        </w:rPr>
      </w:pPr>
      <w:r>
        <w:rPr>
          <w:sz w:val="28"/>
          <w:szCs w:val="28"/>
        </w:rPr>
        <w:t xml:space="preserve">Свободная энциклопедия // режим доступа - </w:t>
      </w:r>
      <w:hyperlink r:id="rId10" w:history="1">
        <w:r w:rsidRPr="00EA2149">
          <w:rPr>
            <w:rStyle w:val="a9"/>
            <w:sz w:val="28"/>
            <w:szCs w:val="28"/>
          </w:rPr>
          <w:t>http://ru.wikipedia.org/</w:t>
        </w:r>
      </w:hyperlink>
    </w:p>
    <w:p w:rsidR="00BC0D96" w:rsidRDefault="00BC0D96" w:rsidP="008E782D">
      <w:pPr>
        <w:pStyle w:val="a3"/>
        <w:numPr>
          <w:ilvl w:val="0"/>
          <w:numId w:val="12"/>
        </w:numPr>
        <w:spacing w:line="360" w:lineRule="auto"/>
        <w:ind w:left="357" w:firstLine="709"/>
        <w:jc w:val="both"/>
        <w:rPr>
          <w:sz w:val="28"/>
          <w:szCs w:val="28"/>
        </w:rPr>
      </w:pPr>
      <w:r>
        <w:rPr>
          <w:sz w:val="28"/>
          <w:szCs w:val="28"/>
        </w:rPr>
        <w:t xml:space="preserve">Сайт ЕБРР // режим доступа - </w:t>
      </w:r>
      <w:hyperlink r:id="rId11" w:history="1">
        <w:r w:rsidRPr="00EA2149">
          <w:rPr>
            <w:rStyle w:val="a9"/>
            <w:sz w:val="28"/>
            <w:szCs w:val="28"/>
          </w:rPr>
          <w:t>http://www.ebrd.com/russian/pages/about.shtml</w:t>
        </w:r>
      </w:hyperlink>
    </w:p>
    <w:p w:rsidR="00BC0D96" w:rsidRDefault="00BC0D96" w:rsidP="008E782D">
      <w:pPr>
        <w:pStyle w:val="a3"/>
        <w:numPr>
          <w:ilvl w:val="0"/>
          <w:numId w:val="12"/>
        </w:numPr>
        <w:spacing w:line="360" w:lineRule="auto"/>
        <w:ind w:left="357" w:firstLine="709"/>
        <w:jc w:val="both"/>
        <w:rPr>
          <w:sz w:val="28"/>
          <w:szCs w:val="28"/>
        </w:rPr>
      </w:pPr>
      <w:r>
        <w:rPr>
          <w:sz w:val="28"/>
          <w:szCs w:val="28"/>
        </w:rPr>
        <w:t xml:space="preserve">Документ ЕБРР «Стратегия для РФ» // режим доступа - </w:t>
      </w:r>
      <w:hyperlink r:id="rId12" w:history="1">
        <w:r w:rsidRPr="00EA2149">
          <w:rPr>
            <w:rStyle w:val="a9"/>
            <w:sz w:val="28"/>
            <w:szCs w:val="28"/>
          </w:rPr>
          <w:t>http://www.ebrd.com/downloads/country/strategy/russia_l.pdf</w:t>
        </w:r>
      </w:hyperlink>
    </w:p>
    <w:p w:rsidR="00BC0D96" w:rsidRDefault="00BC0D96" w:rsidP="00BC0D96">
      <w:pPr>
        <w:pStyle w:val="a3"/>
        <w:numPr>
          <w:ilvl w:val="0"/>
          <w:numId w:val="12"/>
        </w:numPr>
        <w:spacing w:line="360" w:lineRule="auto"/>
        <w:ind w:left="357" w:firstLine="709"/>
        <w:jc w:val="both"/>
        <w:rPr>
          <w:sz w:val="28"/>
          <w:szCs w:val="28"/>
        </w:rPr>
      </w:pPr>
      <w:r>
        <w:rPr>
          <w:sz w:val="28"/>
          <w:szCs w:val="28"/>
        </w:rPr>
        <w:t xml:space="preserve">Годовой отчет ЕБРР за 2012 год // режим доступа - </w:t>
      </w:r>
      <w:hyperlink r:id="rId13" w:history="1">
        <w:r w:rsidRPr="00EA2149">
          <w:rPr>
            <w:rStyle w:val="a9"/>
            <w:sz w:val="28"/>
            <w:szCs w:val="28"/>
          </w:rPr>
          <w:t>http://www.ebrd.com/russian/pages/research/publications/flagships/annual.shtml</w:t>
        </w:r>
      </w:hyperlink>
    </w:p>
    <w:p w:rsidR="00BC0D96" w:rsidRDefault="00BC0D96" w:rsidP="00BC0D96">
      <w:pPr>
        <w:pStyle w:val="a3"/>
        <w:numPr>
          <w:ilvl w:val="0"/>
          <w:numId w:val="12"/>
        </w:numPr>
        <w:spacing w:line="360" w:lineRule="auto"/>
        <w:ind w:left="357" w:firstLine="709"/>
        <w:jc w:val="both"/>
        <w:rPr>
          <w:sz w:val="28"/>
          <w:szCs w:val="28"/>
        </w:rPr>
      </w:pPr>
      <w:r>
        <w:rPr>
          <w:sz w:val="28"/>
          <w:szCs w:val="28"/>
        </w:rPr>
        <w:t xml:space="preserve">Сайт МИД РФ // режим доступа - </w:t>
      </w:r>
      <w:hyperlink r:id="rId14" w:history="1">
        <w:r w:rsidRPr="00EA2149">
          <w:rPr>
            <w:rStyle w:val="a9"/>
            <w:sz w:val="28"/>
            <w:szCs w:val="28"/>
          </w:rPr>
          <w:t>www.mid.ru</w:t>
        </w:r>
      </w:hyperlink>
    </w:p>
    <w:p w:rsidR="00BC0D96" w:rsidRPr="00BC0D96" w:rsidRDefault="00BC0D96" w:rsidP="00BC0D96">
      <w:pPr>
        <w:pStyle w:val="a3"/>
        <w:spacing w:line="360" w:lineRule="auto"/>
        <w:ind w:left="1066"/>
        <w:jc w:val="both"/>
        <w:rPr>
          <w:sz w:val="28"/>
          <w:szCs w:val="28"/>
        </w:rPr>
      </w:pPr>
    </w:p>
    <w:sectPr w:rsidR="00BC0D96" w:rsidRPr="00BC0D96" w:rsidSect="00196EE6">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F72" w:rsidRDefault="00943F72" w:rsidP="00196EE6">
      <w:r>
        <w:separator/>
      </w:r>
    </w:p>
  </w:endnote>
  <w:endnote w:type="continuationSeparator" w:id="0">
    <w:p w:rsidR="00943F72" w:rsidRDefault="00943F72" w:rsidP="00196E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54211"/>
      <w:docPartObj>
        <w:docPartGallery w:val="Page Numbers (Bottom of Page)"/>
        <w:docPartUnique/>
      </w:docPartObj>
    </w:sdtPr>
    <w:sdtContent>
      <w:p w:rsidR="00196EE6" w:rsidRDefault="00A715F4">
        <w:pPr>
          <w:pStyle w:val="ac"/>
          <w:jc w:val="right"/>
        </w:pPr>
        <w:fldSimple w:instr=" PAGE   \* MERGEFORMAT ">
          <w:r w:rsidR="00ED31DA">
            <w:rPr>
              <w:noProof/>
            </w:rPr>
            <w:t>5</w:t>
          </w:r>
        </w:fldSimple>
      </w:p>
    </w:sdtContent>
  </w:sdt>
  <w:p w:rsidR="00196EE6" w:rsidRDefault="00196EE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F72" w:rsidRDefault="00943F72" w:rsidP="00196EE6">
      <w:r>
        <w:separator/>
      </w:r>
    </w:p>
  </w:footnote>
  <w:footnote w:type="continuationSeparator" w:id="0">
    <w:p w:rsidR="00943F72" w:rsidRDefault="00943F72" w:rsidP="00196E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31C5"/>
    <w:multiLevelType w:val="hybridMultilevel"/>
    <w:tmpl w:val="56C662A4"/>
    <w:lvl w:ilvl="0" w:tplc="5BBEEE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896AE1"/>
    <w:multiLevelType w:val="hybridMultilevel"/>
    <w:tmpl w:val="5610093C"/>
    <w:lvl w:ilvl="0" w:tplc="033EAD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BD022A"/>
    <w:multiLevelType w:val="multilevel"/>
    <w:tmpl w:val="549C5DA6"/>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1DEE6732"/>
    <w:multiLevelType w:val="hybridMultilevel"/>
    <w:tmpl w:val="74AC54E2"/>
    <w:lvl w:ilvl="0" w:tplc="96E201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3EF0E6B"/>
    <w:multiLevelType w:val="hybridMultilevel"/>
    <w:tmpl w:val="EA3ED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D96B86"/>
    <w:multiLevelType w:val="hybridMultilevel"/>
    <w:tmpl w:val="0C28A428"/>
    <w:lvl w:ilvl="0" w:tplc="665C4E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3926A1D"/>
    <w:multiLevelType w:val="hybridMultilevel"/>
    <w:tmpl w:val="27203C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BB47DC2"/>
    <w:multiLevelType w:val="hybridMultilevel"/>
    <w:tmpl w:val="F350DCAA"/>
    <w:lvl w:ilvl="0" w:tplc="7BB2E28E">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4C4A7639"/>
    <w:multiLevelType w:val="hybridMultilevel"/>
    <w:tmpl w:val="56D80516"/>
    <w:lvl w:ilvl="0" w:tplc="F27E783E">
      <w:start w:val="1"/>
      <w:numFmt w:val="decimal"/>
      <w:lvlText w:val="%1)"/>
      <w:lvlJc w:val="left"/>
      <w:pPr>
        <w:ind w:left="1069" w:hanging="360"/>
      </w:pPr>
      <w:rPr>
        <w:rFonts w:hint="default"/>
        <w:u w:val="singl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106257C"/>
    <w:multiLevelType w:val="hybridMultilevel"/>
    <w:tmpl w:val="F1E0C1DC"/>
    <w:lvl w:ilvl="0" w:tplc="56846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22762B8"/>
    <w:multiLevelType w:val="hybridMultilevel"/>
    <w:tmpl w:val="B60A3D5E"/>
    <w:lvl w:ilvl="0" w:tplc="F94A2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F490880"/>
    <w:multiLevelType w:val="hybridMultilevel"/>
    <w:tmpl w:val="0F7AFEFA"/>
    <w:lvl w:ilvl="0" w:tplc="D53620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11"/>
  </w:num>
  <w:num w:numId="4">
    <w:abstractNumId w:val="0"/>
  </w:num>
  <w:num w:numId="5">
    <w:abstractNumId w:val="10"/>
  </w:num>
  <w:num w:numId="6">
    <w:abstractNumId w:val="3"/>
  </w:num>
  <w:num w:numId="7">
    <w:abstractNumId w:val="7"/>
  </w:num>
  <w:num w:numId="8">
    <w:abstractNumId w:val="9"/>
  </w:num>
  <w:num w:numId="9">
    <w:abstractNumId w:val="6"/>
  </w:num>
  <w:num w:numId="10">
    <w:abstractNumId w:val="8"/>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D2259"/>
    <w:rsid w:val="0006530C"/>
    <w:rsid w:val="00091311"/>
    <w:rsid w:val="00171121"/>
    <w:rsid w:val="001716C5"/>
    <w:rsid w:val="00196EE6"/>
    <w:rsid w:val="001D2259"/>
    <w:rsid w:val="001F666A"/>
    <w:rsid w:val="00201A26"/>
    <w:rsid w:val="00267A87"/>
    <w:rsid w:val="0027005B"/>
    <w:rsid w:val="002863BB"/>
    <w:rsid w:val="002E5559"/>
    <w:rsid w:val="002E5736"/>
    <w:rsid w:val="00331778"/>
    <w:rsid w:val="0034337B"/>
    <w:rsid w:val="003507EB"/>
    <w:rsid w:val="00385DE5"/>
    <w:rsid w:val="003D32BC"/>
    <w:rsid w:val="00464C45"/>
    <w:rsid w:val="004A2799"/>
    <w:rsid w:val="004E7785"/>
    <w:rsid w:val="00561C13"/>
    <w:rsid w:val="00615861"/>
    <w:rsid w:val="0063034C"/>
    <w:rsid w:val="00641CAC"/>
    <w:rsid w:val="006424C7"/>
    <w:rsid w:val="00776A5D"/>
    <w:rsid w:val="00792FFC"/>
    <w:rsid w:val="007B6096"/>
    <w:rsid w:val="007C07E3"/>
    <w:rsid w:val="00811A1F"/>
    <w:rsid w:val="0082642D"/>
    <w:rsid w:val="008E782D"/>
    <w:rsid w:val="00943F72"/>
    <w:rsid w:val="00995D94"/>
    <w:rsid w:val="00A02D3A"/>
    <w:rsid w:val="00A715F4"/>
    <w:rsid w:val="00B02813"/>
    <w:rsid w:val="00BC0D96"/>
    <w:rsid w:val="00C03419"/>
    <w:rsid w:val="00C73E18"/>
    <w:rsid w:val="00E354B3"/>
    <w:rsid w:val="00E47107"/>
    <w:rsid w:val="00ED31DA"/>
    <w:rsid w:val="00ED7C33"/>
    <w:rsid w:val="00F630A0"/>
    <w:rsid w:val="00F65B33"/>
    <w:rsid w:val="00F72CD6"/>
    <w:rsid w:val="00FF76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2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2642D"/>
  </w:style>
  <w:style w:type="paragraph" w:styleId="a3">
    <w:name w:val="List Paragraph"/>
    <w:basedOn w:val="a"/>
    <w:uiPriority w:val="34"/>
    <w:qFormat/>
    <w:rsid w:val="00385DE5"/>
    <w:pPr>
      <w:ind w:left="720"/>
      <w:contextualSpacing/>
    </w:pPr>
  </w:style>
  <w:style w:type="paragraph" w:styleId="a4">
    <w:name w:val="Normal (Web)"/>
    <w:basedOn w:val="a"/>
    <w:uiPriority w:val="99"/>
    <w:semiHidden/>
    <w:unhideWhenUsed/>
    <w:rsid w:val="00385DE5"/>
    <w:pPr>
      <w:spacing w:before="100" w:beforeAutospacing="1" w:after="100" w:afterAutospacing="1"/>
    </w:pPr>
  </w:style>
  <w:style w:type="character" w:styleId="a5">
    <w:name w:val="Strong"/>
    <w:basedOn w:val="a0"/>
    <w:uiPriority w:val="22"/>
    <w:qFormat/>
    <w:rsid w:val="00385DE5"/>
    <w:rPr>
      <w:b/>
      <w:bCs/>
    </w:rPr>
  </w:style>
  <w:style w:type="table" w:styleId="a6">
    <w:name w:val="Table Grid"/>
    <w:basedOn w:val="a1"/>
    <w:uiPriority w:val="59"/>
    <w:rsid w:val="006424C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792FFC"/>
    <w:rPr>
      <w:rFonts w:ascii="Tahoma" w:hAnsi="Tahoma" w:cs="Tahoma"/>
      <w:sz w:val="16"/>
      <w:szCs w:val="16"/>
    </w:rPr>
  </w:style>
  <w:style w:type="character" w:customStyle="1" w:styleId="a8">
    <w:name w:val="Текст выноски Знак"/>
    <w:basedOn w:val="a0"/>
    <w:link w:val="a7"/>
    <w:uiPriority w:val="99"/>
    <w:semiHidden/>
    <w:rsid w:val="00792FFC"/>
    <w:rPr>
      <w:rFonts w:ascii="Tahoma" w:eastAsia="Times New Roman" w:hAnsi="Tahoma" w:cs="Tahoma"/>
      <w:sz w:val="16"/>
      <w:szCs w:val="16"/>
      <w:lang w:eastAsia="ru-RU"/>
    </w:rPr>
  </w:style>
  <w:style w:type="character" w:styleId="a9">
    <w:name w:val="Hyperlink"/>
    <w:basedOn w:val="a0"/>
    <w:uiPriority w:val="99"/>
    <w:unhideWhenUsed/>
    <w:rsid w:val="0034337B"/>
    <w:rPr>
      <w:color w:val="0000FF"/>
      <w:u w:val="single"/>
    </w:rPr>
  </w:style>
  <w:style w:type="character" w:customStyle="1" w:styleId="found">
    <w:name w:val="found"/>
    <w:basedOn w:val="a0"/>
    <w:rsid w:val="00F630A0"/>
  </w:style>
  <w:style w:type="paragraph" w:styleId="aa">
    <w:name w:val="header"/>
    <w:basedOn w:val="a"/>
    <w:link w:val="ab"/>
    <w:uiPriority w:val="99"/>
    <w:semiHidden/>
    <w:unhideWhenUsed/>
    <w:rsid w:val="00196EE6"/>
    <w:pPr>
      <w:tabs>
        <w:tab w:val="center" w:pos="4677"/>
        <w:tab w:val="right" w:pos="9355"/>
      </w:tabs>
    </w:pPr>
  </w:style>
  <w:style w:type="character" w:customStyle="1" w:styleId="ab">
    <w:name w:val="Верхний колонтитул Знак"/>
    <w:basedOn w:val="a0"/>
    <w:link w:val="aa"/>
    <w:uiPriority w:val="99"/>
    <w:semiHidden/>
    <w:rsid w:val="00196EE6"/>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96EE6"/>
    <w:pPr>
      <w:tabs>
        <w:tab w:val="center" w:pos="4677"/>
        <w:tab w:val="right" w:pos="9355"/>
      </w:tabs>
    </w:pPr>
  </w:style>
  <w:style w:type="character" w:customStyle="1" w:styleId="ad">
    <w:name w:val="Нижний колонтитул Знак"/>
    <w:basedOn w:val="a0"/>
    <w:link w:val="ac"/>
    <w:uiPriority w:val="99"/>
    <w:rsid w:val="00196EE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79281252">
      <w:bodyDiv w:val="1"/>
      <w:marLeft w:val="0"/>
      <w:marRight w:val="0"/>
      <w:marTop w:val="0"/>
      <w:marBottom w:val="0"/>
      <w:divBdr>
        <w:top w:val="none" w:sz="0" w:space="0" w:color="auto"/>
        <w:left w:val="none" w:sz="0" w:space="0" w:color="auto"/>
        <w:bottom w:val="none" w:sz="0" w:space="0" w:color="auto"/>
        <w:right w:val="none" w:sz="0" w:space="0" w:color="auto"/>
      </w:divBdr>
    </w:div>
    <w:div w:id="904293930">
      <w:bodyDiv w:val="1"/>
      <w:marLeft w:val="0"/>
      <w:marRight w:val="0"/>
      <w:marTop w:val="0"/>
      <w:marBottom w:val="0"/>
      <w:divBdr>
        <w:top w:val="none" w:sz="0" w:space="0" w:color="auto"/>
        <w:left w:val="none" w:sz="0" w:space="0" w:color="auto"/>
        <w:bottom w:val="none" w:sz="0" w:space="0" w:color="auto"/>
        <w:right w:val="none" w:sz="0" w:space="0" w:color="auto"/>
      </w:divBdr>
    </w:div>
    <w:div w:id="1679304411">
      <w:bodyDiv w:val="1"/>
      <w:marLeft w:val="0"/>
      <w:marRight w:val="0"/>
      <w:marTop w:val="0"/>
      <w:marBottom w:val="0"/>
      <w:divBdr>
        <w:top w:val="none" w:sz="0" w:space="0" w:color="auto"/>
        <w:left w:val="none" w:sz="0" w:space="0" w:color="auto"/>
        <w:bottom w:val="none" w:sz="0" w:space="0" w:color="auto"/>
        <w:right w:val="none" w:sz="0" w:space="0" w:color="auto"/>
      </w:divBdr>
    </w:div>
    <w:div w:id="203799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ki.ru/wikibank/%C8%ED%EE%F1%F2%F0%E0%ED%ED%FB%E5+%E8%ED%E2%E5%F1%F2%E8%F6%E8%E8/" TargetMode="External"/><Relationship Id="rId13" Type="http://schemas.openxmlformats.org/officeDocument/2006/relationships/hyperlink" Target="http://www.ebrd.com/russian/pages/research/publications/flagships/annual.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brd.com/downloads/country/strategy/russia_l.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brd.com/russian/pages/about.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ru.wikipedia.org/"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www.mid.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4"/>
  <c:chart>
    <c:autoTitleDeleted val="1"/>
    <c:view3D>
      <c:rotX val="75"/>
      <c:perspective val="30"/>
    </c:view3D>
    <c:plotArea>
      <c:layout>
        <c:manualLayout>
          <c:layoutTarget val="inner"/>
          <c:xMode val="edge"/>
          <c:yMode val="edge"/>
          <c:x val="9.842054279297574E-2"/>
          <c:y val="0.11974997970614502"/>
          <c:w val="0.81439404785145653"/>
          <c:h val="0.67764591281759978"/>
        </c:manualLayout>
      </c:layout>
      <c:pie3DChart>
        <c:varyColors val="1"/>
        <c:ser>
          <c:idx val="0"/>
          <c:order val="0"/>
          <c:tx>
            <c:strRef>
              <c:f>Лист1!$B$1</c:f>
              <c:strCache>
                <c:ptCount val="1"/>
                <c:pt idx="0">
                  <c:v>отрасли</c:v>
                </c:pt>
              </c:strCache>
            </c:strRef>
          </c:tx>
          <c:cat>
            <c:numRef>
              <c:f>Лист1!$A$2:$A$5</c:f>
              <c:numCache>
                <c:formatCode>General</c:formatCode>
                <c:ptCount val="4"/>
                <c:pt idx="0">
                  <c:v>1</c:v>
                </c:pt>
                <c:pt idx="1">
                  <c:v>2</c:v>
                </c:pt>
                <c:pt idx="2">
                  <c:v>3</c:v>
                </c:pt>
                <c:pt idx="3">
                  <c:v>4</c:v>
                </c:pt>
              </c:numCache>
            </c:numRef>
          </c:cat>
          <c:val>
            <c:numRef>
              <c:f>Лист1!$B$2:$B$5</c:f>
              <c:numCache>
                <c:formatCode>0%</c:formatCode>
                <c:ptCount val="4"/>
                <c:pt idx="0">
                  <c:v>0.38000000000000017</c:v>
                </c:pt>
                <c:pt idx="1">
                  <c:v>0.16000000000000003</c:v>
                </c:pt>
                <c:pt idx="2">
                  <c:v>0.25</c:v>
                </c:pt>
                <c:pt idx="3">
                  <c:v>0.21000000000000008</c:v>
                </c:pt>
              </c:numCache>
            </c:numRef>
          </c:val>
        </c:ser>
        <c:dLbls>
          <c:showPercent val="1"/>
        </c:dLbls>
      </c:pie3DChart>
    </c:plotArea>
    <c:legend>
      <c:legendPos val="b"/>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F5E5F-2121-434C-8F2A-91698370F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8194</Words>
  <Characters>46710</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2014-11-22T14:04:00Z</dcterms:created>
  <dcterms:modified xsi:type="dcterms:W3CDTF">2014-11-22T14:04:00Z</dcterms:modified>
</cp:coreProperties>
</file>