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D2" w:rsidRDefault="000C30D2" w:rsidP="000C3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0C30D2" w:rsidRDefault="000C30D2" w:rsidP="000C3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1………………………………………………………………………..3</w:t>
      </w: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2………………………………………………………………………..6</w:t>
      </w: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3………………………………………………………………………..8</w:t>
      </w: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1</w:t>
      </w:r>
    </w:p>
    <w:p w:rsidR="000C30D2" w:rsidRDefault="000C30D2" w:rsidP="000C30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D2" w:rsidRPr="000C30D2" w:rsidRDefault="000C30D2" w:rsidP="000C30D2">
      <w:pPr>
        <w:pStyle w:val="a3"/>
        <w:spacing w:line="360" w:lineRule="auto"/>
        <w:ind w:left="0" w:firstLine="567"/>
        <w:rPr>
          <w:position w:val="-10"/>
          <w:sz w:val="28"/>
          <w:szCs w:val="28"/>
        </w:rPr>
      </w:pPr>
      <w:r w:rsidRPr="000C30D2">
        <w:rPr>
          <w:position w:val="-10"/>
          <w:sz w:val="28"/>
          <w:szCs w:val="28"/>
        </w:rPr>
        <w:t>Фирма функционирует в условиях совершенной конкуренции. Определите объем выпуска, при котором фирма максимизирует прибыль. Заполните таблицу. Постройте графики функций. Определите цену, при которой фирма будет предельной, т.е. полу</w:t>
      </w:r>
      <w:r w:rsidR="0013465C">
        <w:rPr>
          <w:position w:val="-10"/>
          <w:sz w:val="28"/>
          <w:szCs w:val="28"/>
        </w:rPr>
        <w:t>чать только нормальную прибыль.</w:t>
      </w:r>
    </w:p>
    <w:p w:rsidR="000C30D2" w:rsidRPr="000C30D2" w:rsidRDefault="000C30D2" w:rsidP="000C30D2">
      <w:pPr>
        <w:pStyle w:val="a3"/>
        <w:spacing w:line="360" w:lineRule="auto"/>
        <w:ind w:left="0" w:firstLine="567"/>
        <w:rPr>
          <w:position w:val="-10"/>
          <w:sz w:val="28"/>
          <w:szCs w:val="28"/>
        </w:rPr>
      </w:pPr>
      <w:r w:rsidRPr="000C30D2">
        <w:rPr>
          <w:position w:val="-10"/>
          <w:sz w:val="28"/>
          <w:szCs w:val="28"/>
        </w:rPr>
        <w:t xml:space="preserve">Определите точку безубыточности фирмы (т.е. значение </w:t>
      </w:r>
      <w:r w:rsidRPr="000C30D2">
        <w:rPr>
          <w:position w:val="-10"/>
          <w:sz w:val="28"/>
          <w:szCs w:val="28"/>
          <w:lang w:val="en-US"/>
        </w:rPr>
        <w:t>Q</w:t>
      </w:r>
      <w:r w:rsidRPr="000C30D2">
        <w:rPr>
          <w:position w:val="-10"/>
          <w:sz w:val="28"/>
          <w:szCs w:val="28"/>
        </w:rPr>
        <w:t>, при котором ТС=ТR). Отметьте на графике фигуру, отражающую прибыль фирмы.</w:t>
      </w:r>
    </w:p>
    <w:p w:rsidR="000C30D2" w:rsidRDefault="000C30D2" w:rsidP="000C30D2">
      <w:pPr>
        <w:pStyle w:val="a3"/>
        <w:spacing w:line="360" w:lineRule="auto"/>
        <w:ind w:left="0" w:firstLine="567"/>
        <w:rPr>
          <w:position w:val="-10"/>
          <w:sz w:val="28"/>
          <w:szCs w:val="28"/>
        </w:rPr>
      </w:pPr>
      <w:r w:rsidRPr="000C30D2">
        <w:rPr>
          <w:position w:val="-10"/>
          <w:sz w:val="28"/>
          <w:szCs w:val="28"/>
        </w:rPr>
        <w:t>ТС=0,5Q</w:t>
      </w:r>
      <w:r w:rsidRPr="00187F41">
        <w:rPr>
          <w:position w:val="-10"/>
          <w:sz w:val="28"/>
          <w:szCs w:val="28"/>
          <w:vertAlign w:val="superscript"/>
        </w:rPr>
        <w:t>3</w:t>
      </w:r>
      <w:r w:rsidRPr="000C30D2">
        <w:rPr>
          <w:position w:val="-10"/>
          <w:sz w:val="28"/>
          <w:szCs w:val="28"/>
        </w:rPr>
        <w:t>+7Q</w:t>
      </w:r>
      <w:r w:rsidRPr="00187F41">
        <w:rPr>
          <w:position w:val="-10"/>
          <w:sz w:val="28"/>
          <w:szCs w:val="28"/>
          <w:vertAlign w:val="superscript"/>
        </w:rPr>
        <w:t>2</w:t>
      </w:r>
      <w:r w:rsidRPr="000C30D2">
        <w:rPr>
          <w:position w:val="-10"/>
          <w:sz w:val="28"/>
          <w:szCs w:val="28"/>
        </w:rPr>
        <w:t>+500Q+2500. Цена составляет 840 руб./шт.</w:t>
      </w:r>
    </w:p>
    <w:p w:rsidR="00874A7D" w:rsidRPr="00E566EF" w:rsidRDefault="00874A7D" w:rsidP="000C30D2">
      <w:pPr>
        <w:pStyle w:val="a3"/>
        <w:spacing w:line="360" w:lineRule="auto"/>
        <w:ind w:left="0" w:firstLine="567"/>
        <w:rPr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Решение:</w:t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Таблица 1 – Расчетная таблица</w:t>
      </w:r>
    </w:p>
    <w:p w:rsidR="000C30D2" w:rsidRDefault="00482076" w:rsidP="000C30D2">
      <w:pPr>
        <w:tabs>
          <w:tab w:val="num" w:pos="0"/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5937164" cy="2712038"/>
            <wp:effectExtent l="19050" t="0" r="6436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55" t="20159" r="35459" b="33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164" cy="271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Общие издержки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: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ТС=0,</w:t>
      </w:r>
      <w:r w:rsidRPr="00B46240">
        <w:rPr>
          <w:rFonts w:ascii="Times New Roman" w:hAnsi="Times New Roman" w:cs="Times New Roman"/>
          <w:position w:val="-10"/>
          <w:sz w:val="28"/>
          <w:szCs w:val="28"/>
        </w:rPr>
        <w:t>5Q</w:t>
      </w:r>
      <w:r w:rsidRPr="00B46240">
        <w:rPr>
          <w:rFonts w:ascii="Times New Roman" w:hAnsi="Times New Roman" w:cs="Times New Roman"/>
          <w:position w:val="-10"/>
          <w:sz w:val="28"/>
          <w:szCs w:val="28"/>
          <w:vertAlign w:val="superscript"/>
        </w:rPr>
        <w:t>3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+7</w:t>
      </w:r>
      <w:r w:rsidRPr="00B46240">
        <w:rPr>
          <w:rFonts w:ascii="Times New Roman" w:hAnsi="Times New Roman" w:cs="Times New Roman"/>
          <w:position w:val="-10"/>
          <w:sz w:val="28"/>
          <w:szCs w:val="28"/>
          <w:lang w:val="en-US"/>
        </w:rPr>
        <w:t>Q</w:t>
      </w:r>
      <w:r w:rsidRPr="00B46240">
        <w:rPr>
          <w:rFonts w:ascii="Times New Roman" w:hAnsi="Times New Roman" w:cs="Times New Roman"/>
          <w:position w:val="-10"/>
          <w:sz w:val="28"/>
          <w:szCs w:val="28"/>
          <w:vertAlign w:val="superscript"/>
        </w:rPr>
        <w:t>2</w:t>
      </w:r>
      <w:r w:rsidRPr="00B46240">
        <w:rPr>
          <w:rFonts w:ascii="Times New Roman" w:hAnsi="Times New Roman" w:cs="Times New Roman"/>
          <w:position w:val="-10"/>
          <w:sz w:val="28"/>
          <w:szCs w:val="28"/>
        </w:rPr>
        <w:t>+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500</w:t>
      </w:r>
      <w:r w:rsidRPr="00B46240">
        <w:rPr>
          <w:rFonts w:ascii="Times New Roman" w:hAnsi="Times New Roman" w:cs="Times New Roman"/>
          <w:position w:val="-10"/>
          <w:sz w:val="28"/>
          <w:szCs w:val="28"/>
          <w:lang w:val="en-US"/>
        </w:rPr>
        <w:t>Q</w:t>
      </w:r>
      <w:r w:rsidRPr="00B46240">
        <w:rPr>
          <w:rFonts w:ascii="Times New Roman" w:hAnsi="Times New Roman" w:cs="Times New Roman"/>
          <w:position w:val="-10"/>
          <w:sz w:val="28"/>
          <w:szCs w:val="28"/>
        </w:rPr>
        <w:t>+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 xml:space="preserve">2500. Постоянные издержки – </w:t>
      </w:r>
      <w:r>
        <w:rPr>
          <w:rFonts w:ascii="Times New Roman" w:hAnsi="Times New Roman" w:cs="Times New Roman"/>
          <w:position w:val="-10"/>
          <w:sz w:val="28"/>
          <w:szCs w:val="28"/>
        </w:rPr>
        <w:t>равны свободному члену переменных издержек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 xml:space="preserve"> (2500). Переменные издержки – разница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между общими и переменными издержками. Средние общие, постоянные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10"/>
          <w:sz w:val="28"/>
          <w:szCs w:val="28"/>
        </w:rPr>
        <w:t>и переменные издержки</w:t>
      </w:r>
      <w:r w:rsidRPr="00BB583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10"/>
          <w:sz w:val="28"/>
          <w:szCs w:val="28"/>
        </w:rPr>
        <w:t>найдем, разделив соответственно общие, постоянные и переменные издержки на объем выпуска.</w:t>
      </w:r>
      <w:r w:rsidRPr="00781353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Предельные издержки найдем по формуле 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MC</w:t>
      </w:r>
      <w:r w:rsidRPr="00674E1B">
        <w:rPr>
          <w:rFonts w:ascii="Times New Roman" w:hAnsi="Times New Roman" w:cs="Times New Roman"/>
          <w:position w:val="-10"/>
          <w:sz w:val="28"/>
          <w:szCs w:val="28"/>
        </w:rPr>
        <w:t xml:space="preserve"> = 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TC</w:t>
      </w:r>
      <w:r w:rsidRPr="00674E1B">
        <w:rPr>
          <w:rFonts w:ascii="Times New Roman" w:hAnsi="Times New Roman" w:cs="Times New Roman"/>
          <w:position w:val="-10"/>
          <w:sz w:val="28"/>
          <w:szCs w:val="28"/>
        </w:rPr>
        <w:t>’=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1,5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Q</w:t>
      </w:r>
      <w:r w:rsidRPr="00674E1B">
        <w:rPr>
          <w:rFonts w:ascii="Times New Roman" w:hAnsi="Times New Roman" w:cs="Times New Roman"/>
          <w:position w:val="-10"/>
          <w:sz w:val="28"/>
          <w:szCs w:val="28"/>
          <w:vertAlign w:val="superscript"/>
        </w:rPr>
        <w:t>2</w:t>
      </w:r>
      <w:r w:rsidRPr="00674E1B">
        <w:rPr>
          <w:rFonts w:ascii="Times New Roman" w:hAnsi="Times New Roman" w:cs="Times New Roman"/>
          <w:position w:val="-10"/>
          <w:sz w:val="28"/>
          <w:szCs w:val="28"/>
        </w:rPr>
        <w:t>+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14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Q</w:t>
      </w:r>
      <w:r w:rsidRPr="00674E1B">
        <w:rPr>
          <w:rFonts w:ascii="Times New Roman" w:hAnsi="Times New Roman" w:cs="Times New Roman"/>
          <w:position w:val="-10"/>
          <w:sz w:val="28"/>
          <w:szCs w:val="28"/>
        </w:rPr>
        <w:t>+</w:t>
      </w:r>
      <w:r w:rsidR="003139B3">
        <w:rPr>
          <w:rFonts w:ascii="Times New Roman" w:hAnsi="Times New Roman" w:cs="Times New Roman"/>
          <w:position w:val="-10"/>
          <w:sz w:val="28"/>
          <w:szCs w:val="28"/>
        </w:rPr>
        <w:t>500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. Предельные издержки так же можно найти </w:t>
      </w:r>
      <w:r w:rsidR="007C2605">
        <w:rPr>
          <w:rFonts w:ascii="Times New Roman" w:hAnsi="Times New Roman" w:cs="Times New Roman"/>
          <w:position w:val="-10"/>
          <w:sz w:val="28"/>
          <w:szCs w:val="28"/>
        </w:rPr>
        <w:t>как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разность между текущим и предыдущем показателем общих издержек.</w:t>
      </w:r>
      <w:r w:rsidR="00482076">
        <w:rPr>
          <w:rFonts w:ascii="Times New Roman" w:hAnsi="Times New Roman" w:cs="Times New Roman"/>
          <w:position w:val="-10"/>
          <w:sz w:val="28"/>
          <w:szCs w:val="28"/>
        </w:rPr>
        <w:t xml:space="preserve"> Цена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7C2605">
        <w:rPr>
          <w:rFonts w:ascii="Times New Roman" w:hAnsi="Times New Roman" w:cs="Times New Roman"/>
          <w:position w:val="-10"/>
          <w:sz w:val="28"/>
          <w:szCs w:val="28"/>
        </w:rPr>
        <w:t>равна 840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. Общий доход найдем, умножив цену на количество. </w:t>
      </w:r>
      <w:r w:rsidR="007C2605">
        <w:rPr>
          <w:rFonts w:ascii="Times New Roman" w:hAnsi="Times New Roman" w:cs="Times New Roman"/>
          <w:position w:val="-10"/>
          <w:sz w:val="28"/>
          <w:szCs w:val="28"/>
        </w:rPr>
        <w:t>В условиях совершенной конкуренции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предельный доход </w:t>
      </w:r>
      <w:r w:rsidR="007C2605">
        <w:rPr>
          <w:rFonts w:ascii="Times New Roman" w:hAnsi="Times New Roman" w:cs="Times New Roman"/>
          <w:position w:val="-10"/>
          <w:sz w:val="28"/>
          <w:szCs w:val="28"/>
        </w:rPr>
        <w:t>равен цене, т.е. 840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. </w:t>
      </w:r>
      <w:r>
        <w:rPr>
          <w:rFonts w:ascii="Times New Roman" w:hAnsi="Times New Roman" w:cs="Times New Roman"/>
          <w:position w:val="-10"/>
          <w:sz w:val="28"/>
          <w:szCs w:val="28"/>
        </w:rPr>
        <w:lastRenderedPageBreak/>
        <w:t xml:space="preserve">Прибыль </w:t>
      </w:r>
      <w:r w:rsidR="00F5662D">
        <w:rPr>
          <w:rFonts w:ascii="Times New Roman" w:hAnsi="Times New Roman" w:cs="Times New Roman"/>
          <w:position w:val="-10"/>
          <w:sz w:val="28"/>
          <w:szCs w:val="28"/>
        </w:rPr>
        <w:t>– разность между общим доходом и общими издержками</w:t>
      </w:r>
      <w:r>
        <w:rPr>
          <w:rFonts w:ascii="Times New Roman" w:hAnsi="Times New Roman" w:cs="Times New Roman"/>
          <w:position w:val="-10"/>
          <w:sz w:val="28"/>
          <w:szCs w:val="28"/>
        </w:rPr>
        <w:t>. Рентабельность найдем, разделив доход на общие издержки.</w:t>
      </w:r>
    </w:p>
    <w:p w:rsidR="000C30D2" w:rsidRDefault="0006439A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О</w:t>
      </w:r>
      <w:r w:rsidRPr="0006439A">
        <w:rPr>
          <w:rFonts w:ascii="Times New Roman" w:hAnsi="Times New Roman" w:cs="Times New Roman"/>
          <w:position w:val="-10"/>
          <w:sz w:val="28"/>
          <w:szCs w:val="28"/>
        </w:rPr>
        <w:t>бъем выпуска, при котором фирма максимизирует прибыль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0C30D2">
        <w:rPr>
          <w:rFonts w:ascii="Times New Roman" w:hAnsi="Times New Roman" w:cs="Times New Roman"/>
          <w:position w:val="-10"/>
          <w:sz w:val="28"/>
          <w:szCs w:val="28"/>
        </w:rPr>
        <w:t xml:space="preserve">– </w:t>
      </w:r>
      <w:r w:rsidR="00B2289C">
        <w:rPr>
          <w:rFonts w:ascii="Times New Roman" w:hAnsi="Times New Roman" w:cs="Times New Roman"/>
          <w:position w:val="-10"/>
          <w:sz w:val="28"/>
          <w:szCs w:val="28"/>
        </w:rPr>
        <w:t>12</w:t>
      </w:r>
      <w:r w:rsidR="000C30D2">
        <w:rPr>
          <w:rFonts w:ascii="Times New Roman" w:hAnsi="Times New Roman" w:cs="Times New Roman"/>
          <w:position w:val="-10"/>
          <w:sz w:val="28"/>
          <w:szCs w:val="28"/>
        </w:rPr>
        <w:t xml:space="preserve"> единиц продукции.</w:t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Построим графики.</w:t>
      </w:r>
    </w:p>
    <w:p w:rsidR="000C30D2" w:rsidRDefault="00CA6B2A" w:rsidP="000C30D2">
      <w:pPr>
        <w:tabs>
          <w:tab w:val="num" w:pos="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position w:val="-10"/>
          <w:sz w:val="28"/>
          <w:szCs w:val="28"/>
        </w:rPr>
      </w:pPr>
      <w:r w:rsidRPr="00CA6B2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6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Рис. 1.</w:t>
      </w:r>
    </w:p>
    <w:p w:rsidR="000C30D2" w:rsidRPr="0013465C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 xml:space="preserve">Точки пересечения 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TC</w:t>
      </w:r>
      <w:r w:rsidRPr="001F3403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и </w:t>
      </w:r>
      <w:r>
        <w:rPr>
          <w:rFonts w:ascii="Times New Roman" w:hAnsi="Times New Roman" w:cs="Times New Roman"/>
          <w:position w:val="-10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– точки безубыточности, прибыль заключается межу точками безубыточности.</w:t>
      </w:r>
      <w:r w:rsidR="00273A96">
        <w:rPr>
          <w:rFonts w:ascii="Times New Roman" w:hAnsi="Times New Roman" w:cs="Times New Roman"/>
          <w:position w:val="-10"/>
          <w:sz w:val="28"/>
          <w:szCs w:val="28"/>
        </w:rPr>
        <w:t xml:space="preserve"> В данном случае </w:t>
      </w:r>
      <w:r w:rsidR="00273A96">
        <w:rPr>
          <w:rFonts w:ascii="Times New Roman" w:hAnsi="Times New Roman" w:cs="Times New Roman"/>
          <w:position w:val="-10"/>
          <w:sz w:val="28"/>
          <w:szCs w:val="28"/>
          <w:lang w:val="en-US"/>
        </w:rPr>
        <w:t>TC</w:t>
      </w:r>
      <w:r w:rsidR="00273A96" w:rsidRPr="001F3403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273A96">
        <w:rPr>
          <w:rFonts w:ascii="Times New Roman" w:hAnsi="Times New Roman" w:cs="Times New Roman"/>
          <w:position w:val="-10"/>
          <w:sz w:val="28"/>
          <w:szCs w:val="28"/>
        </w:rPr>
        <w:t xml:space="preserve">и </w:t>
      </w:r>
      <w:r w:rsidR="00273A96">
        <w:rPr>
          <w:rFonts w:ascii="Times New Roman" w:hAnsi="Times New Roman" w:cs="Times New Roman"/>
          <w:position w:val="-10"/>
          <w:sz w:val="28"/>
          <w:szCs w:val="28"/>
          <w:lang w:val="en-US"/>
        </w:rPr>
        <w:t>TR</w:t>
      </w:r>
      <w:r w:rsidR="00273A96">
        <w:rPr>
          <w:rFonts w:ascii="Times New Roman" w:hAnsi="Times New Roman" w:cs="Times New Roman"/>
          <w:position w:val="-10"/>
          <w:sz w:val="28"/>
          <w:szCs w:val="28"/>
        </w:rPr>
        <w:t xml:space="preserve"> не пересекаются</w:t>
      </w:r>
      <w:r w:rsidR="0013465C">
        <w:rPr>
          <w:rFonts w:ascii="Times New Roman" w:hAnsi="Times New Roman" w:cs="Times New Roman"/>
          <w:position w:val="-10"/>
          <w:sz w:val="28"/>
          <w:szCs w:val="28"/>
        </w:rPr>
        <w:t>, следовательно, точек безубыточности и фигуры</w:t>
      </w:r>
      <w:r w:rsidR="0013465C" w:rsidRPr="0013465C">
        <w:rPr>
          <w:rFonts w:ascii="Times New Roman" w:hAnsi="Times New Roman" w:cs="Times New Roman"/>
          <w:position w:val="-10"/>
          <w:sz w:val="28"/>
          <w:szCs w:val="28"/>
        </w:rPr>
        <w:t>, отражающую прибыль фирмы нет</w:t>
      </w:r>
      <w:r w:rsidR="0013465C">
        <w:rPr>
          <w:rFonts w:ascii="Times New Roman" w:hAnsi="Times New Roman" w:cs="Times New Roman"/>
          <w:position w:val="-10"/>
          <w:sz w:val="28"/>
          <w:szCs w:val="28"/>
        </w:rPr>
        <w:t>.</w:t>
      </w:r>
    </w:p>
    <w:p w:rsidR="000C30D2" w:rsidRDefault="00CA6B2A" w:rsidP="000C30D2">
      <w:pPr>
        <w:tabs>
          <w:tab w:val="num" w:pos="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position w:val="-10"/>
          <w:sz w:val="28"/>
          <w:szCs w:val="28"/>
        </w:rPr>
      </w:pPr>
      <w:r w:rsidRPr="00CA6B2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lastRenderedPageBreak/>
        <w:drawing>
          <wp:inline distT="0" distB="0" distL="0" distR="0">
            <wp:extent cx="5038725" cy="4695825"/>
            <wp:effectExtent l="19050" t="0" r="9525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Рис. 2.</w:t>
      </w:r>
    </w:p>
    <w:p w:rsidR="000C30D2" w:rsidRPr="00A66301" w:rsidRDefault="00373145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373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цена совпадает со средними и предельными издержками, то экономическая прибыль фирмы будет равна нулю</w:t>
      </w:r>
      <w:r w:rsidR="00A66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т.е</w:t>
      </w:r>
      <w:r w:rsidR="00A66301" w:rsidRPr="00A66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фирма получает только нормальную прибыль</w:t>
      </w:r>
      <w:r w:rsidR="00F577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64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68F4"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цена ниже </w:t>
      </w:r>
      <w:r w:rsid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общих </w:t>
      </w:r>
      <w:r w:rsidR="008B68F4"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средних издержек, то фирма терпит убыток</w:t>
      </w:r>
      <w:r w:rsid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64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данном случае </w:t>
      </w:r>
      <w:r w:rsid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цена ниже общих средних издержек, следовательно фирма не получает </w:t>
      </w:r>
      <w:r w:rsidR="000B1C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нормальную</w:t>
      </w:r>
      <w:r w:rsid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прибыль.</w:t>
      </w: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874A7D" w:rsidRDefault="00874A7D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874A7D" w:rsidRDefault="00874A7D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0C30D2" w:rsidRDefault="000C30D2" w:rsidP="000C30D2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352D1C" w:rsidRDefault="000C30D2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lastRenderedPageBreak/>
        <w:t>Задание 2</w:t>
      </w:r>
    </w:p>
    <w:p w:rsidR="008B68F4" w:rsidRDefault="008B68F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3E1081" w:rsidRDefault="008B68F4" w:rsidP="008B68F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Россия – чемпион по концентрации производства?</w:t>
      </w:r>
    </w:p>
    <w:p w:rsidR="003E1081" w:rsidRDefault="008B68F4" w:rsidP="008B68F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октябре 1995 г. Журнал «Эксперт» впервые опубликовал список 200 крупнейших промышленных компаний России. Во всех странах публикация подоб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списков за каждый год (не говоря уже о первом в истории!) обязательно становится событием. В России же пришло совершенно незаметно, разве что розничные торговцы стали продавать этот номер журнала почти вдвое дешевле обычного – обывателю в нем читать не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чего: одни цифры.</w:t>
      </w:r>
    </w:p>
    <w:p w:rsidR="003E1081" w:rsidRDefault="008B68F4" w:rsidP="008B68F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 тем информация оказалась крайне интерес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ной. Даже в момент тяжелейшего кризиса в России дей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ствуют национальные фирмы, чья мощь выдерживает самое жесткое интернациональное сравнение. Так, две крупнейшие компании «РАО ЕЭС России» и РАО «Газ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пром» имеют больший оборот (каждая примерно по 18 млрд. долл.), чем такие всемирно известные американ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ские гиганты как «Ксерокс», «Кока-кола», «Локхид». И это при том, что их продукция внутри страны продается по ценам ниже мировых. Если же продукцию того же «Газпрома» оценить в мировых ценах, то он превосхо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дил бы все американские фирмы, кроме 5 самых круп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ных.</w:t>
      </w:r>
    </w:p>
    <w:p w:rsidR="003E1081" w:rsidRDefault="008B68F4" w:rsidP="008B68F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Восемнадцать из двадцати крупнейших российских фирм действуют в сырьевом секторе, что, разумеется, не соответствует статусу высокоразвитой индустриаль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ной державы. С друго</w:t>
      </w:r>
      <w:r w:rsidR="00A906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стороны, кризис российской об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рабатывающей промышленности не может длиться веч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 и, следовательно, в будущем надо ожидать быстрого пополнения списка фирмами обрабатывающих отраслей. Особенно важно,</w:t>
      </w:r>
      <w:r w:rsidR="00A906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при всей специфике экономи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 России, «пирамида компаний» в ней сложилась дос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таточно явно. Разрыв между лидерами и следующими за ними фирмами даже более выражен в США. Так, на долю 20 крупнейших фирм приходится 83% выпуска продукции всех 200 компаний. У американцев же на долю 20 лидеров приходится лишь 37%, т.е. в 2,2 раза меньше.</w:t>
      </w:r>
    </w:p>
    <w:p w:rsidR="003E1081" w:rsidRDefault="008B68F4" w:rsidP="003E108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Вопросы для ситуационного анализа</w:t>
      </w:r>
      <w:r w:rsidRPr="008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8B68F4" w:rsidRPr="003E1081" w:rsidRDefault="008B68F4" w:rsidP="003E108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8F4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Можно ли считать высокий уровень концентра</w:t>
      </w:r>
      <w:r w:rsidRPr="008B68F4">
        <w:rPr>
          <w:rFonts w:ascii="Times New Roman" w:hAnsi="Times New Roman" w:cs="Times New Roman"/>
          <w:color w:val="000000"/>
          <w:sz w:val="28"/>
          <w:szCs w:val="28"/>
        </w:rPr>
        <w:softHyphen/>
        <w:t>ции российской промышленности естественным результатом рыночного развития? Сохранится ли он в дальнейшем?</w:t>
      </w:r>
    </w:p>
    <w:p w:rsidR="008B68F4" w:rsidRDefault="008B68F4" w:rsidP="008B68F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8F4">
        <w:rPr>
          <w:rFonts w:ascii="Times New Roman" w:hAnsi="Times New Roman" w:cs="Times New Roman"/>
          <w:color w:val="000000"/>
          <w:sz w:val="28"/>
          <w:szCs w:val="28"/>
        </w:rPr>
        <w:t>Обсудите шансы российских виолентов на мировом рынке.</w:t>
      </w:r>
    </w:p>
    <w:p w:rsidR="00874A7D" w:rsidRDefault="00874A7D" w:rsidP="008B68F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5A17" w:rsidRPr="008B68F4" w:rsidRDefault="00FA5A17" w:rsidP="008B68F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</w:p>
    <w:p w:rsidR="00A90660" w:rsidRDefault="00A90660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 xml:space="preserve">Высокий уровень </w:t>
      </w:r>
      <w:r w:rsidR="000B1CB3">
        <w:rPr>
          <w:rFonts w:ascii="Times New Roman" w:hAnsi="Times New Roman" w:cs="Times New Roman"/>
          <w:position w:val="-10"/>
          <w:sz w:val="28"/>
          <w:szCs w:val="28"/>
        </w:rPr>
        <w:t>концентрации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российской промышленности не является результатом рыночного развития, так как все крупные промышленные компании были </w:t>
      </w:r>
      <w:r w:rsidR="000B1CB3">
        <w:rPr>
          <w:rFonts w:ascii="Times New Roman" w:hAnsi="Times New Roman" w:cs="Times New Roman"/>
          <w:position w:val="-10"/>
          <w:sz w:val="28"/>
          <w:szCs w:val="28"/>
        </w:rPr>
        <w:t>созданы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при помощи государства в период советской власти, когда рынка как </w:t>
      </w:r>
      <w:r w:rsidR="000B1CB3">
        <w:rPr>
          <w:rFonts w:ascii="Times New Roman" w:hAnsi="Times New Roman" w:cs="Times New Roman"/>
          <w:position w:val="-10"/>
          <w:sz w:val="28"/>
          <w:szCs w:val="28"/>
        </w:rPr>
        <w:t>такового не было.</w:t>
      </w:r>
      <w:r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CB03D8">
        <w:rPr>
          <w:rFonts w:ascii="Times New Roman" w:hAnsi="Times New Roman" w:cs="Times New Roman"/>
          <w:position w:val="-10"/>
          <w:sz w:val="28"/>
          <w:szCs w:val="28"/>
        </w:rPr>
        <w:t xml:space="preserve">Следует отметить, что в условия рыночного развития такой концентрации производста произойти немогло, поэтому и приводится пример США. </w:t>
      </w:r>
    </w:p>
    <w:p w:rsidR="00CB03D8" w:rsidRDefault="00CB03D8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 xml:space="preserve">В настоящие время крупные промышленные компании в той или иной мере поддерживаются государством. Поэтому </w:t>
      </w:r>
      <w:r w:rsidR="003A4F3C">
        <w:rPr>
          <w:rFonts w:ascii="Times New Roman" w:hAnsi="Times New Roman" w:cs="Times New Roman"/>
          <w:position w:val="-10"/>
          <w:sz w:val="28"/>
          <w:szCs w:val="28"/>
        </w:rPr>
        <w:t>высокий уровень концентрации российской промышленности скорее всего сохранится. Кроме того создание новых промышленных компаний требует больших издержек, а так же уже существующие гиганты непозволят</w:t>
      </w:r>
      <w:r w:rsidR="00BB5A18">
        <w:rPr>
          <w:rFonts w:ascii="Times New Roman" w:hAnsi="Times New Roman" w:cs="Times New Roman"/>
          <w:position w:val="-10"/>
          <w:sz w:val="28"/>
          <w:szCs w:val="28"/>
        </w:rPr>
        <w:t xml:space="preserve"> выжить конкурентам.</w:t>
      </w:r>
    </w:p>
    <w:p w:rsidR="00B70BE2" w:rsidRDefault="00B70BE2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Шансы российских виолентов на мировом рынке очень малы, это связано с меньшей конкурентноспособностью, низким качеством и высокой ценой.</w:t>
      </w: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lastRenderedPageBreak/>
        <w:t>Задание 3</w:t>
      </w:r>
    </w:p>
    <w:p w:rsidR="00F90F64" w:rsidRDefault="00F90F64" w:rsidP="008B68F4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Решение:</w:t>
      </w:r>
    </w:p>
    <w:p w:rsidR="00A40D8D" w:rsidRDefault="00A40D8D" w:rsidP="00A40D8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Фирма – </w:t>
      </w:r>
      <w:r w:rsidR="006044C5">
        <w:rPr>
          <w:rFonts w:ascii="Times New Roman" w:hAnsi="Times New Roman" w:cs="Times New Roman"/>
          <w:sz w:val="28"/>
          <w:szCs w:val="28"/>
        </w:rPr>
        <w:t>Газпром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A18" w:rsidRDefault="00A40D8D" w:rsidP="006044C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– виолент.</w:t>
      </w:r>
    </w:p>
    <w:p w:rsidR="006044C5" w:rsidRPr="006044C5" w:rsidRDefault="006044C5" w:rsidP="006044C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Следовательно, будем использовать тест-таблицу №1.</w:t>
      </w:r>
    </w:p>
    <w:p w:rsidR="006044C5" w:rsidRPr="00A72853" w:rsidRDefault="006044C5" w:rsidP="006044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8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№ 1. Таблица соответствия основных параметров работы фирмы требованиям виолентной стратегии</w:t>
      </w:r>
    </w:p>
    <w:tbl>
      <w:tblPr>
        <w:tblW w:w="0" w:type="auto"/>
        <w:jc w:val="center"/>
        <w:tblCellSpacing w:w="15" w:type="dxa"/>
        <w:tblBorders>
          <w:top w:val="single" w:sz="4" w:space="0" w:color="CCCCCC"/>
          <w:left w:val="single" w:sz="4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3"/>
        <w:gridCol w:w="2268"/>
        <w:gridCol w:w="5577"/>
      </w:tblGrid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Оценки, рекомендации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ИЗДЕРЖКИ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опасности! Необходимы экстренные меры по снижению расходов: введение жесткого режима экономии, закрытие убыточных производств и т.п.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Средние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Положение неустойчиво. Надо проверить всю цепочку производства и сбыта с целью поиска резервов снижения расходов.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благоприятно. Для сохранения низких издержек надо помнить об их взаимосвязи с качеством продукции, объемом производства и ассортиментом.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ПРОДУКЦИИ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качество желательно, только если не ведет к чрезмерным издержкам. Проверьте, доступен ли Ваш товар по ценам, введите в ассортимент менее качественные (упрощенные), но дешевые модели.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Среднее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Положение благоприятно. Ваш товар должен быть доброкачественным, но без «наворотов».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Низкое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опасности! Возможна утрата массового рынка. Необходимо наведение порядка на производстве.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Широкий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Опасность: разнообразие стоит денег, могут возрасти издержки. Нужна концентрация на основном производстве. Выгодные побочные производства стоит выделить в самостоятельные подразделения.</w:t>
            </w:r>
          </w:p>
        </w:tc>
      </w:tr>
      <w:tr w:rsidR="006044C5" w:rsidRPr="00A72853" w:rsidTr="007020F5">
        <w:trPr>
          <w:trHeight w:val="756"/>
          <w:tblCellSpacing w:w="15" w:type="dxa"/>
          <w:jc w:val="center"/>
        </w:trPr>
        <w:tc>
          <w:tcPr>
            <w:tcW w:w="1848" w:type="dxa"/>
            <w:vMerge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Средний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Положение благоприятно. Ваш ассортимент должен включать все пользующиеся массовым спросом разновидности товара.</w:t>
            </w:r>
          </w:p>
        </w:tc>
      </w:tr>
      <w:tr w:rsidR="006044C5" w:rsidRPr="00A72853" w:rsidTr="007020F5">
        <w:trPr>
          <w:trHeight w:val="2268"/>
          <w:tblCellSpacing w:w="15" w:type="dxa"/>
          <w:jc w:val="center"/>
        </w:trPr>
        <w:tc>
          <w:tcPr>
            <w:tcW w:w="1848" w:type="dxa"/>
            <w:vMerge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Узкий</w:t>
            </w:r>
          </w:p>
        </w:tc>
        <w:tc>
          <w:tcPr>
            <w:tcW w:w="5532" w:type="dxa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приемлемо, только если Вы сильно опережаете конкурентов по ценовым и (или) качественным показателям. Но помните: если в ассортименте слишком большие пробелы, вы можете потерять даже клиентов, довольных вашей продукцией.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9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61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Окончание тест</w:t>
            </w:r>
            <w:r w:rsidR="00614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04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НИОКР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Улучшающий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Обязательно необходим. Должен в большей мере основываться на изучении потребностей клиентов, чем на свободном изобретательстве.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Приспособительный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Нужен в ограниченных масштабах. Учету подлежат только специфические потребности больших групп клиентов.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Прорывной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Опасность! Возможна растрата средств впустую. Финансирование радикальных нововведений допустимо лишь при абсолютной уверенности в успехе.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СБЫТОВАЯ СЕТЬ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опасности! Сбыт через случайных посредников несовместим с массовым производством.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Неконтролируемая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неустойчиво. Полностью независимая от Вас сбытовая сеть не будет прилагать усилий по продвижению именно Вашей продукции и легко перейдет к конкурентам. Сбыт через такие каналы может быть лишь дополнением к основной сети.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Собственная или контролируемая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Наиболее предпочтительна. Критерий контролируемости — заинтересованность сбытовиков в долгосрочном успехе именно Ваших изделий.</w:t>
            </w:r>
          </w:p>
        </w:tc>
      </w:tr>
      <w:tr w:rsidR="006044C5" w:rsidRPr="00A72853" w:rsidTr="007020F5">
        <w:trPr>
          <w:tblCellSpacing w:w="15" w:type="dxa"/>
          <w:jc w:val="center"/>
        </w:trPr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CF496B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F49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Массовая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B609B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Абсолютно необходима. Фирма должна иметь большой рекламный бюджет и уметь оценивать эффективность рекламы.</w:t>
            </w:r>
          </w:p>
        </w:tc>
      </w:tr>
      <w:tr w:rsidR="006044C5" w:rsidRPr="00557D50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eastAsia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Специализированная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6044C5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 в специализированных средствах информации нужна, если их читатели могут влиять на массового клиента (пример: влияние на потребление лекарств населением через журналы для врачей)</w:t>
            </w:r>
          </w:p>
        </w:tc>
      </w:tr>
      <w:tr w:rsidR="006044C5" w:rsidRPr="00557D50" w:rsidTr="007020F5">
        <w:trPr>
          <w:tblCellSpacing w:w="15" w:type="dxa"/>
          <w:jc w:val="center"/>
        </w:trPr>
        <w:tc>
          <w:tcPr>
            <w:tcW w:w="1848" w:type="dxa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eastAsia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044C5" w:rsidRPr="00A72853" w:rsidRDefault="006044C5" w:rsidP="0070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правило, слишком дорога, кроме случаев работы непосредственно с крупными клиентами.</w:t>
            </w:r>
          </w:p>
        </w:tc>
      </w:tr>
    </w:tbl>
    <w:p w:rsidR="006044C5" w:rsidRDefault="006044C5" w:rsidP="006044C5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6044C5" w:rsidRPr="00B20966" w:rsidRDefault="006145AD" w:rsidP="006044C5">
      <w:pPr>
        <w:tabs>
          <w:tab w:val="num" w:pos="0"/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М</w:t>
      </w:r>
      <w:r w:rsidR="006044C5">
        <w:rPr>
          <w:rFonts w:ascii="Times New Roman" w:hAnsi="Times New Roman" w:cs="Times New Roman"/>
          <w:position w:val="-10"/>
          <w:sz w:val="28"/>
          <w:szCs w:val="28"/>
        </w:rPr>
        <w:t xml:space="preserve">ожно сделать вывод, что деятельность </w:t>
      </w:r>
      <w:r w:rsidR="00984F93">
        <w:rPr>
          <w:rFonts w:ascii="Times New Roman" w:hAnsi="Times New Roman" w:cs="Times New Roman"/>
          <w:position w:val="-10"/>
          <w:sz w:val="28"/>
          <w:szCs w:val="28"/>
        </w:rPr>
        <w:t>Газпрома</w:t>
      </w:r>
      <w:r w:rsidR="006044C5">
        <w:rPr>
          <w:rFonts w:ascii="Times New Roman" w:hAnsi="Times New Roman" w:cs="Times New Roman"/>
          <w:position w:val="-10"/>
          <w:sz w:val="28"/>
          <w:szCs w:val="28"/>
        </w:rPr>
        <w:t xml:space="preserve"> соо</w:t>
      </w:r>
      <w:r w:rsidR="00CF496B">
        <w:rPr>
          <w:rFonts w:ascii="Times New Roman" w:hAnsi="Times New Roman" w:cs="Times New Roman"/>
          <w:position w:val="-10"/>
          <w:sz w:val="28"/>
          <w:szCs w:val="28"/>
        </w:rPr>
        <w:t>тветствует выбранной стратегии.</w:t>
      </w:r>
      <w:r w:rsidR="00B20966">
        <w:rPr>
          <w:rFonts w:ascii="Times New Roman" w:hAnsi="Times New Roman" w:cs="Times New Roman"/>
          <w:position w:val="-10"/>
          <w:sz w:val="28"/>
          <w:szCs w:val="28"/>
        </w:rPr>
        <w:t xml:space="preserve"> Издержки компании увеличиваются в основном за счет 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>оплаты</w:t>
      </w:r>
      <w:r w:rsidR="00B20966" w:rsidRP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труда, социальны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B20966" w:rsidRP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расход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>ов, трат</w:t>
      </w:r>
      <w:r w:rsidR="00B20966" w:rsidRP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аренде и страхованию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20966">
        <w:rPr>
          <w:rFonts w:ascii="Arial" w:hAnsi="Arial" w:cs="Arial"/>
          <w:color w:val="303030"/>
          <w:sz w:val="20"/>
          <w:szCs w:val="20"/>
          <w:shd w:val="clear" w:color="auto" w:fill="FFFFFF"/>
        </w:rPr>
        <w:t> 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политических издержк (скидки</w:t>
      </w:r>
      <w:r w:rsidR="00B20966" w:rsidRP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 газ для Украины</w:t>
      </w:r>
      <w:r w:rsid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др.)</w:t>
      </w:r>
      <w:r w:rsidR="00B20966" w:rsidRPr="00B2096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044C5" w:rsidRPr="006044C5" w:rsidRDefault="006044C5" w:rsidP="006044C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044C5" w:rsidRPr="006044C5" w:rsidSect="00874A7D">
      <w:headerReference w:type="default" r:id="rId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D8D" w:rsidRDefault="00A40D8D" w:rsidP="00874A7D">
      <w:pPr>
        <w:spacing w:after="0" w:line="240" w:lineRule="auto"/>
      </w:pPr>
      <w:r>
        <w:separator/>
      </w:r>
    </w:p>
  </w:endnote>
  <w:endnote w:type="continuationSeparator" w:id="0">
    <w:p w:rsidR="00A40D8D" w:rsidRDefault="00A40D8D" w:rsidP="0087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D8D" w:rsidRDefault="00A40D8D" w:rsidP="00874A7D">
      <w:pPr>
        <w:spacing w:after="0" w:line="240" w:lineRule="auto"/>
      </w:pPr>
      <w:r>
        <w:separator/>
      </w:r>
    </w:p>
  </w:footnote>
  <w:footnote w:type="continuationSeparator" w:id="0">
    <w:p w:rsidR="00A40D8D" w:rsidRDefault="00A40D8D" w:rsidP="00874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5349"/>
      <w:docPartObj>
        <w:docPartGallery w:val="Page Numbers (Top of Page)"/>
        <w:docPartUnique/>
      </w:docPartObj>
    </w:sdtPr>
    <w:sdtContent>
      <w:p w:rsidR="00A40D8D" w:rsidRDefault="0055362A">
        <w:pPr>
          <w:pStyle w:val="a4"/>
          <w:jc w:val="center"/>
        </w:pPr>
        <w:fldSimple w:instr=" PAGE   \* MERGEFORMAT ">
          <w:r w:rsidR="00857B92">
            <w:rPr>
              <w:noProof/>
            </w:rPr>
            <w:t>9</w:t>
          </w:r>
        </w:fldSimple>
      </w:p>
    </w:sdtContent>
  </w:sdt>
  <w:p w:rsidR="00A40D8D" w:rsidRDefault="00A40D8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0D2"/>
    <w:rsid w:val="0006439A"/>
    <w:rsid w:val="000B1CB3"/>
    <w:rsid w:val="000C30D2"/>
    <w:rsid w:val="0013465C"/>
    <w:rsid w:val="00187F41"/>
    <w:rsid w:val="00273A96"/>
    <w:rsid w:val="003139B3"/>
    <w:rsid w:val="00352D1C"/>
    <w:rsid w:val="00373145"/>
    <w:rsid w:val="003A4F3C"/>
    <w:rsid w:val="003E1081"/>
    <w:rsid w:val="00482076"/>
    <w:rsid w:val="0055362A"/>
    <w:rsid w:val="006044C5"/>
    <w:rsid w:val="006145AD"/>
    <w:rsid w:val="00696DE2"/>
    <w:rsid w:val="007C2605"/>
    <w:rsid w:val="00857B92"/>
    <w:rsid w:val="00874A7D"/>
    <w:rsid w:val="008B68F4"/>
    <w:rsid w:val="00984F93"/>
    <w:rsid w:val="00A40D8D"/>
    <w:rsid w:val="00A66301"/>
    <w:rsid w:val="00A90660"/>
    <w:rsid w:val="00B20966"/>
    <w:rsid w:val="00B2289C"/>
    <w:rsid w:val="00B609B3"/>
    <w:rsid w:val="00B70BE2"/>
    <w:rsid w:val="00BB5A18"/>
    <w:rsid w:val="00CA6B2A"/>
    <w:rsid w:val="00CB03D8"/>
    <w:rsid w:val="00CF496B"/>
    <w:rsid w:val="00F5662D"/>
    <w:rsid w:val="00F57727"/>
    <w:rsid w:val="00F90F64"/>
    <w:rsid w:val="00FA5A17"/>
    <w:rsid w:val="00FE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C30D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</w:rPr>
  </w:style>
  <w:style w:type="paragraph" w:styleId="a3">
    <w:name w:val="List Paragraph"/>
    <w:basedOn w:val="a"/>
    <w:uiPriority w:val="34"/>
    <w:qFormat/>
    <w:rsid w:val="000C30D2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0"/>
    </w:rPr>
  </w:style>
  <w:style w:type="paragraph" w:styleId="a4">
    <w:name w:val="header"/>
    <w:basedOn w:val="a"/>
    <w:link w:val="a5"/>
    <w:uiPriority w:val="99"/>
    <w:unhideWhenUsed/>
    <w:rsid w:val="0087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4A7D"/>
  </w:style>
  <w:style w:type="paragraph" w:styleId="a6">
    <w:name w:val="footer"/>
    <w:basedOn w:val="a"/>
    <w:link w:val="a7"/>
    <w:uiPriority w:val="99"/>
    <w:semiHidden/>
    <w:unhideWhenUsed/>
    <w:rsid w:val="0087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4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0;&#1083;&#1077;&#1085;&#1072;%20&#1058;&#105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0;&#1083;&#1077;&#1085;&#1072;%20&#1058;&#105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TC</c:v>
                </c:pt>
              </c:strCache>
            </c:strRef>
          </c:tx>
          <c:marker>
            <c:symbol val="none"/>
          </c:marker>
          <c:cat>
            <c:numRef>
              <c:f>Лист1!$A$3:$A$18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2500</c:v>
                </c:pt>
                <c:pt idx="1">
                  <c:v>3007.5</c:v>
                </c:pt>
                <c:pt idx="2">
                  <c:v>3532</c:v>
                </c:pt>
                <c:pt idx="3">
                  <c:v>4076.5</c:v>
                </c:pt>
                <c:pt idx="4">
                  <c:v>4644</c:v>
                </c:pt>
                <c:pt idx="5">
                  <c:v>5237.5</c:v>
                </c:pt>
                <c:pt idx="6">
                  <c:v>5860</c:v>
                </c:pt>
                <c:pt idx="7">
                  <c:v>6514.5</c:v>
                </c:pt>
                <c:pt idx="8">
                  <c:v>7204</c:v>
                </c:pt>
                <c:pt idx="9">
                  <c:v>7931.5</c:v>
                </c:pt>
                <c:pt idx="10">
                  <c:v>8700</c:v>
                </c:pt>
                <c:pt idx="11">
                  <c:v>9512.5</c:v>
                </c:pt>
                <c:pt idx="12">
                  <c:v>10372</c:v>
                </c:pt>
                <c:pt idx="13">
                  <c:v>11281.5</c:v>
                </c:pt>
                <c:pt idx="14">
                  <c:v>12244</c:v>
                </c:pt>
                <c:pt idx="15">
                  <c:v>13262.5</c:v>
                </c:pt>
                <c:pt idx="16">
                  <c:v>14340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FC</c:v>
                </c:pt>
              </c:strCache>
            </c:strRef>
          </c:tx>
          <c:marker>
            <c:symbol val="none"/>
          </c:marker>
          <c:cat>
            <c:numRef>
              <c:f>Лист1!$A$3:$A$18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Лист1!$C$2:$C$18</c:f>
              <c:numCache>
                <c:formatCode>General</c:formatCode>
                <c:ptCount val="17"/>
                <c:pt idx="0">
                  <c:v>2500</c:v>
                </c:pt>
                <c:pt idx="1">
                  <c:v>2500</c:v>
                </c:pt>
                <c:pt idx="2">
                  <c:v>2500</c:v>
                </c:pt>
                <c:pt idx="3">
                  <c:v>2500</c:v>
                </c:pt>
                <c:pt idx="4">
                  <c:v>2500</c:v>
                </c:pt>
                <c:pt idx="5">
                  <c:v>2500</c:v>
                </c:pt>
                <c:pt idx="6">
                  <c:v>2500</c:v>
                </c:pt>
                <c:pt idx="7">
                  <c:v>2500</c:v>
                </c:pt>
                <c:pt idx="8">
                  <c:v>2500</c:v>
                </c:pt>
                <c:pt idx="9">
                  <c:v>2500</c:v>
                </c:pt>
                <c:pt idx="10">
                  <c:v>2500</c:v>
                </c:pt>
                <c:pt idx="11">
                  <c:v>2500</c:v>
                </c:pt>
                <c:pt idx="12">
                  <c:v>2500</c:v>
                </c:pt>
                <c:pt idx="13">
                  <c:v>2500</c:v>
                </c:pt>
                <c:pt idx="14">
                  <c:v>2500</c:v>
                </c:pt>
                <c:pt idx="15">
                  <c:v>2500</c:v>
                </c:pt>
                <c:pt idx="16">
                  <c:v>2500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VC</c:v>
                </c:pt>
              </c:strCache>
            </c:strRef>
          </c:tx>
          <c:marker>
            <c:symbol val="none"/>
          </c:marker>
          <c:cat>
            <c:numRef>
              <c:f>Лист1!$A$3:$A$18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Лист1!$D$2:$D$18</c:f>
              <c:numCache>
                <c:formatCode>General</c:formatCode>
                <c:ptCount val="17"/>
                <c:pt idx="0">
                  <c:v>0</c:v>
                </c:pt>
                <c:pt idx="1">
                  <c:v>507.5</c:v>
                </c:pt>
                <c:pt idx="2">
                  <c:v>1032</c:v>
                </c:pt>
                <c:pt idx="3">
                  <c:v>1576.5</c:v>
                </c:pt>
                <c:pt idx="4">
                  <c:v>2144</c:v>
                </c:pt>
                <c:pt idx="5">
                  <c:v>2737.5</c:v>
                </c:pt>
                <c:pt idx="6">
                  <c:v>3360</c:v>
                </c:pt>
                <c:pt idx="7">
                  <c:v>4014.5</c:v>
                </c:pt>
                <c:pt idx="8">
                  <c:v>4704</c:v>
                </c:pt>
                <c:pt idx="9">
                  <c:v>5431.5</c:v>
                </c:pt>
                <c:pt idx="10">
                  <c:v>6200</c:v>
                </c:pt>
                <c:pt idx="11">
                  <c:v>7012.5</c:v>
                </c:pt>
                <c:pt idx="12">
                  <c:v>7872</c:v>
                </c:pt>
                <c:pt idx="13">
                  <c:v>8781.5</c:v>
                </c:pt>
                <c:pt idx="14">
                  <c:v>9744</c:v>
                </c:pt>
                <c:pt idx="15">
                  <c:v>10762.5</c:v>
                </c:pt>
                <c:pt idx="16">
                  <c:v>11840</c:v>
                </c:pt>
              </c:numCache>
            </c:numRef>
          </c:val>
        </c:ser>
        <c:ser>
          <c:idx val="3"/>
          <c:order val="3"/>
          <c:tx>
            <c:strRef>
              <c:f>Лист1!$K$1</c:f>
              <c:strCache>
                <c:ptCount val="1"/>
                <c:pt idx="0">
                  <c:v>TR</c:v>
                </c:pt>
              </c:strCache>
            </c:strRef>
          </c:tx>
          <c:marker>
            <c:symbol val="none"/>
          </c:marker>
          <c:cat>
            <c:numRef>
              <c:f>Лист1!$A$3:$A$18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Лист1!$K$2:$K$18</c:f>
              <c:numCache>
                <c:formatCode>General</c:formatCode>
                <c:ptCount val="17"/>
                <c:pt idx="0">
                  <c:v>0</c:v>
                </c:pt>
                <c:pt idx="1">
                  <c:v>840</c:v>
                </c:pt>
                <c:pt idx="2">
                  <c:v>1680</c:v>
                </c:pt>
                <c:pt idx="3">
                  <c:v>2520</c:v>
                </c:pt>
                <c:pt idx="4">
                  <c:v>3360</c:v>
                </c:pt>
                <c:pt idx="5">
                  <c:v>4200</c:v>
                </c:pt>
                <c:pt idx="6">
                  <c:v>5040</c:v>
                </c:pt>
                <c:pt idx="7">
                  <c:v>5880</c:v>
                </c:pt>
                <c:pt idx="8">
                  <c:v>6720</c:v>
                </c:pt>
                <c:pt idx="9">
                  <c:v>7560</c:v>
                </c:pt>
                <c:pt idx="10">
                  <c:v>8400</c:v>
                </c:pt>
                <c:pt idx="11">
                  <c:v>9240</c:v>
                </c:pt>
                <c:pt idx="12">
                  <c:v>10080</c:v>
                </c:pt>
                <c:pt idx="13">
                  <c:v>10920</c:v>
                </c:pt>
                <c:pt idx="14">
                  <c:v>11760</c:v>
                </c:pt>
                <c:pt idx="15">
                  <c:v>12600</c:v>
                </c:pt>
                <c:pt idx="16">
                  <c:v>13440</c:v>
                </c:pt>
              </c:numCache>
            </c:numRef>
          </c:val>
        </c:ser>
        <c:marker val="1"/>
        <c:axId val="71186688"/>
        <c:axId val="71245824"/>
      </c:lineChart>
      <c:catAx>
        <c:axId val="71186688"/>
        <c:scaling>
          <c:orientation val="minMax"/>
        </c:scaling>
        <c:axPos val="b"/>
        <c:numFmt formatCode="General" sourceLinked="1"/>
        <c:tickLblPos val="nextTo"/>
        <c:crossAx val="71245824"/>
        <c:crosses val="autoZero"/>
        <c:auto val="1"/>
        <c:lblAlgn val="ctr"/>
        <c:lblOffset val="100"/>
      </c:catAx>
      <c:valAx>
        <c:axId val="71245824"/>
        <c:scaling>
          <c:orientation val="minMax"/>
        </c:scaling>
        <c:axPos val="l"/>
        <c:majorGridlines/>
        <c:numFmt formatCode="General" sourceLinked="1"/>
        <c:tickLblPos val="nextTo"/>
        <c:crossAx val="7118668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Лист1!$E$1</c:f>
              <c:strCache>
                <c:ptCount val="1"/>
                <c:pt idx="0">
                  <c:v>ATC</c:v>
                </c:pt>
              </c:strCache>
            </c:strRef>
          </c:tx>
          <c:marker>
            <c:symbol val="none"/>
          </c:marker>
          <c:val>
            <c:numRef>
              <c:f>Лист1!$E$3:$E$18</c:f>
              <c:numCache>
                <c:formatCode>General</c:formatCode>
                <c:ptCount val="16"/>
                <c:pt idx="0">
                  <c:v>3007.5</c:v>
                </c:pt>
                <c:pt idx="1">
                  <c:v>1766</c:v>
                </c:pt>
                <c:pt idx="2">
                  <c:v>1358.8333333333328</c:v>
                </c:pt>
                <c:pt idx="3">
                  <c:v>1161</c:v>
                </c:pt>
                <c:pt idx="4">
                  <c:v>1047.5</c:v>
                </c:pt>
                <c:pt idx="5">
                  <c:v>976.66666666666663</c:v>
                </c:pt>
                <c:pt idx="6">
                  <c:v>930.64285714285711</c:v>
                </c:pt>
                <c:pt idx="7">
                  <c:v>900.5</c:v>
                </c:pt>
                <c:pt idx="8">
                  <c:v>881.27777777777806</c:v>
                </c:pt>
                <c:pt idx="9">
                  <c:v>870</c:v>
                </c:pt>
                <c:pt idx="10">
                  <c:v>864.77272727272737</c:v>
                </c:pt>
                <c:pt idx="11">
                  <c:v>864.33333333333348</c:v>
                </c:pt>
                <c:pt idx="12">
                  <c:v>867.80769230769238</c:v>
                </c:pt>
                <c:pt idx="13">
                  <c:v>874.57142857142856</c:v>
                </c:pt>
                <c:pt idx="14">
                  <c:v>884.16666666666663</c:v>
                </c:pt>
                <c:pt idx="15">
                  <c:v>896.25</c:v>
                </c:pt>
              </c:numCache>
            </c:numRef>
          </c:val>
        </c:ser>
        <c:ser>
          <c:idx val="1"/>
          <c:order val="1"/>
          <c:tx>
            <c:strRef>
              <c:f>Лист1!$F$1</c:f>
              <c:strCache>
                <c:ptCount val="1"/>
                <c:pt idx="0">
                  <c:v>AFC</c:v>
                </c:pt>
              </c:strCache>
            </c:strRef>
          </c:tx>
          <c:marker>
            <c:symbol val="none"/>
          </c:marker>
          <c:val>
            <c:numRef>
              <c:f>Лист1!$F$3:$F$18</c:f>
              <c:numCache>
                <c:formatCode>0</c:formatCode>
                <c:ptCount val="16"/>
                <c:pt idx="0">
                  <c:v>2500</c:v>
                </c:pt>
                <c:pt idx="1">
                  <c:v>1250</c:v>
                </c:pt>
                <c:pt idx="2" formatCode="0.00">
                  <c:v>833.33333333333348</c:v>
                </c:pt>
                <c:pt idx="3">
                  <c:v>625</c:v>
                </c:pt>
                <c:pt idx="4">
                  <c:v>500</c:v>
                </c:pt>
                <c:pt idx="5" formatCode="0.00">
                  <c:v>416.6666666666668</c:v>
                </c:pt>
                <c:pt idx="6" formatCode="0.00">
                  <c:v>357.14285714285722</c:v>
                </c:pt>
                <c:pt idx="7" formatCode="0.0">
                  <c:v>312.5</c:v>
                </c:pt>
                <c:pt idx="8" formatCode="0.00">
                  <c:v>277.77777777777766</c:v>
                </c:pt>
                <c:pt idx="9">
                  <c:v>250</c:v>
                </c:pt>
                <c:pt idx="10" formatCode="0.00">
                  <c:v>227.27272727272728</c:v>
                </c:pt>
                <c:pt idx="11" formatCode="0.00">
                  <c:v>208.33333333333337</c:v>
                </c:pt>
                <c:pt idx="12" formatCode="0.00">
                  <c:v>192.30769230769238</c:v>
                </c:pt>
                <c:pt idx="13" formatCode="0.00">
                  <c:v>178.57142857142861</c:v>
                </c:pt>
                <c:pt idx="14" formatCode="0.00">
                  <c:v>166.66666666666663</c:v>
                </c:pt>
                <c:pt idx="15" formatCode="0.00">
                  <c:v>156.25</c:v>
                </c:pt>
              </c:numCache>
            </c:numRef>
          </c:val>
        </c:ser>
        <c:ser>
          <c:idx val="2"/>
          <c:order val="2"/>
          <c:tx>
            <c:strRef>
              <c:f>Лист1!$G$1</c:f>
              <c:strCache>
                <c:ptCount val="1"/>
                <c:pt idx="0">
                  <c:v>AVC</c:v>
                </c:pt>
              </c:strCache>
            </c:strRef>
          </c:tx>
          <c:marker>
            <c:symbol val="none"/>
          </c:marker>
          <c:val>
            <c:numRef>
              <c:f>Лист1!$G$3:$G$18</c:f>
              <c:numCache>
                <c:formatCode>General</c:formatCode>
                <c:ptCount val="16"/>
                <c:pt idx="0">
                  <c:v>507.5</c:v>
                </c:pt>
                <c:pt idx="1">
                  <c:v>516</c:v>
                </c:pt>
                <c:pt idx="2">
                  <c:v>525.5</c:v>
                </c:pt>
                <c:pt idx="3">
                  <c:v>536</c:v>
                </c:pt>
                <c:pt idx="4">
                  <c:v>547.5</c:v>
                </c:pt>
                <c:pt idx="5">
                  <c:v>560</c:v>
                </c:pt>
                <c:pt idx="6">
                  <c:v>573.5</c:v>
                </c:pt>
                <c:pt idx="7">
                  <c:v>588</c:v>
                </c:pt>
                <c:pt idx="8">
                  <c:v>603.5</c:v>
                </c:pt>
                <c:pt idx="9">
                  <c:v>620</c:v>
                </c:pt>
                <c:pt idx="10">
                  <c:v>637.5</c:v>
                </c:pt>
                <c:pt idx="11">
                  <c:v>656</c:v>
                </c:pt>
                <c:pt idx="12">
                  <c:v>675.5</c:v>
                </c:pt>
                <c:pt idx="13">
                  <c:v>696</c:v>
                </c:pt>
                <c:pt idx="14">
                  <c:v>717.5</c:v>
                </c:pt>
                <c:pt idx="15">
                  <c:v>740</c:v>
                </c:pt>
              </c:numCache>
            </c:numRef>
          </c:val>
        </c:ser>
        <c:ser>
          <c:idx val="3"/>
          <c:order val="3"/>
          <c:tx>
            <c:strRef>
              <c:f>Лист1!$H$1</c:f>
              <c:strCache>
                <c:ptCount val="1"/>
                <c:pt idx="0">
                  <c:v>MC=TC'</c:v>
                </c:pt>
              </c:strCache>
            </c:strRef>
          </c:tx>
          <c:marker>
            <c:symbol val="none"/>
          </c:marker>
          <c:val>
            <c:numRef>
              <c:f>Лист1!$H$3:$H$18</c:f>
              <c:numCache>
                <c:formatCode>General</c:formatCode>
                <c:ptCount val="16"/>
                <c:pt idx="0">
                  <c:v>515.5</c:v>
                </c:pt>
                <c:pt idx="1">
                  <c:v>534</c:v>
                </c:pt>
                <c:pt idx="2">
                  <c:v>555.5</c:v>
                </c:pt>
                <c:pt idx="3">
                  <c:v>580</c:v>
                </c:pt>
                <c:pt idx="4">
                  <c:v>607.5</c:v>
                </c:pt>
                <c:pt idx="5">
                  <c:v>638</c:v>
                </c:pt>
                <c:pt idx="6">
                  <c:v>671.5</c:v>
                </c:pt>
                <c:pt idx="7">
                  <c:v>708</c:v>
                </c:pt>
                <c:pt idx="8">
                  <c:v>747.5</c:v>
                </c:pt>
                <c:pt idx="9">
                  <c:v>790</c:v>
                </c:pt>
                <c:pt idx="10">
                  <c:v>835.5</c:v>
                </c:pt>
                <c:pt idx="11">
                  <c:v>884</c:v>
                </c:pt>
                <c:pt idx="12">
                  <c:v>935.5</c:v>
                </c:pt>
                <c:pt idx="13">
                  <c:v>990</c:v>
                </c:pt>
                <c:pt idx="14">
                  <c:v>1047.5</c:v>
                </c:pt>
                <c:pt idx="15">
                  <c:v>1108</c:v>
                </c:pt>
              </c:numCache>
            </c:numRef>
          </c:val>
        </c:ser>
        <c:ser>
          <c:idx val="4"/>
          <c:order val="4"/>
          <c:tx>
            <c:strRef>
              <c:f>Лист1!$J$1</c:f>
              <c:strCache>
                <c:ptCount val="1"/>
                <c:pt idx="0">
                  <c:v>P</c:v>
                </c:pt>
              </c:strCache>
            </c:strRef>
          </c:tx>
          <c:marker>
            <c:symbol val="none"/>
          </c:marker>
          <c:val>
            <c:numRef>
              <c:f>Лист1!$J$2:$J$18</c:f>
              <c:numCache>
                <c:formatCode>General</c:formatCode>
                <c:ptCount val="17"/>
                <c:pt idx="0">
                  <c:v>840</c:v>
                </c:pt>
                <c:pt idx="1">
                  <c:v>840</c:v>
                </c:pt>
                <c:pt idx="2">
                  <c:v>840</c:v>
                </c:pt>
                <c:pt idx="3">
                  <c:v>840</c:v>
                </c:pt>
                <c:pt idx="4">
                  <c:v>840</c:v>
                </c:pt>
                <c:pt idx="5">
                  <c:v>840</c:v>
                </c:pt>
                <c:pt idx="6">
                  <c:v>840</c:v>
                </c:pt>
                <c:pt idx="7">
                  <c:v>840</c:v>
                </c:pt>
                <c:pt idx="8">
                  <c:v>840</c:v>
                </c:pt>
                <c:pt idx="9">
                  <c:v>840</c:v>
                </c:pt>
                <c:pt idx="10">
                  <c:v>840</c:v>
                </c:pt>
                <c:pt idx="11">
                  <c:v>840</c:v>
                </c:pt>
                <c:pt idx="12">
                  <c:v>840</c:v>
                </c:pt>
                <c:pt idx="13">
                  <c:v>840</c:v>
                </c:pt>
                <c:pt idx="14">
                  <c:v>840</c:v>
                </c:pt>
                <c:pt idx="15">
                  <c:v>840</c:v>
                </c:pt>
                <c:pt idx="16">
                  <c:v>840</c:v>
                </c:pt>
              </c:numCache>
            </c:numRef>
          </c:val>
        </c:ser>
        <c:marker val="1"/>
        <c:axId val="71280896"/>
        <c:axId val="71286784"/>
      </c:lineChart>
      <c:catAx>
        <c:axId val="71280896"/>
        <c:scaling>
          <c:orientation val="minMax"/>
        </c:scaling>
        <c:axPos val="b"/>
        <c:tickLblPos val="nextTo"/>
        <c:crossAx val="71286784"/>
        <c:crosses val="autoZero"/>
        <c:auto val="1"/>
        <c:lblAlgn val="ctr"/>
        <c:lblOffset val="100"/>
      </c:catAx>
      <c:valAx>
        <c:axId val="71286784"/>
        <c:scaling>
          <c:orientation val="minMax"/>
          <c:max val="3000"/>
        </c:scaling>
        <c:axPos val="l"/>
        <c:majorGridlines/>
        <c:numFmt formatCode="General" sourceLinked="1"/>
        <c:tickLblPos val="nextTo"/>
        <c:crossAx val="71280896"/>
        <c:crosses val="autoZero"/>
        <c:crossBetween val="between"/>
        <c:majorUnit val="150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25</cp:revision>
  <dcterms:created xsi:type="dcterms:W3CDTF">2014-05-08T09:14:00Z</dcterms:created>
  <dcterms:modified xsi:type="dcterms:W3CDTF">2014-05-09T06:41:00Z</dcterms:modified>
</cp:coreProperties>
</file>