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«Финансовый университет при Правительстве Российской Федерации»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(</w:t>
      </w:r>
      <w:proofErr w:type="spellStart"/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Финуниверситет</w:t>
      </w:r>
      <w:proofErr w:type="spellEnd"/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)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 xml:space="preserve">Краснодарский филиал </w:t>
      </w:r>
      <w:proofErr w:type="spellStart"/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Финуниверситета</w:t>
      </w:r>
      <w:proofErr w:type="spellEnd"/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ind w:left="852" w:hanging="852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             Факультет  </w:t>
      </w: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Заочный факультет менеджмента и маркетинга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             Специальность (профиль) </w:t>
      </w: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Бакалавр менеджмента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ind w:left="852" w:hanging="852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             Личное дело </w:t>
      </w:r>
      <w:r w:rsidRPr="00ED5C48">
        <w:rPr>
          <w:rFonts w:ascii="Times New Roman" w:hAnsi="Times New Roman"/>
          <w:b/>
          <w:bCs/>
          <w:sz w:val="28"/>
          <w:szCs w:val="28"/>
          <w:lang w:eastAsia="ar-SA"/>
        </w:rPr>
        <w:t>100.13/120112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ED5C48" w:rsidRDefault="002E5D66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44"/>
          <w:szCs w:val="44"/>
          <w:lang w:eastAsia="ar-SA"/>
        </w:rPr>
      </w:pPr>
      <w:r>
        <w:rPr>
          <w:rFonts w:ascii="Times New Roman CYR" w:hAnsi="Times New Roman CYR" w:cs="Times New Roman CYR"/>
          <w:b/>
          <w:bCs/>
          <w:sz w:val="44"/>
          <w:szCs w:val="44"/>
          <w:lang w:eastAsia="ar-SA"/>
        </w:rPr>
        <w:t>Доклад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ind w:left="852" w:hanging="852"/>
        <w:rPr>
          <w:rFonts w:ascii="Times New Roman CYR" w:hAnsi="Times New Roman CYR" w:cs="Times New Roman CYR"/>
          <w:b/>
          <w:bCs/>
          <w:sz w:val="36"/>
          <w:szCs w:val="36"/>
          <w:lang w:eastAsia="ar-SA"/>
        </w:rPr>
      </w:pPr>
      <w:r w:rsidRPr="00ED5C48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       </w:t>
      </w:r>
      <w:r w:rsidRPr="00ED5C48">
        <w:rPr>
          <w:rFonts w:ascii="Times New Roman CYR" w:hAnsi="Times New Roman CYR" w:cs="Times New Roman CYR"/>
          <w:sz w:val="36"/>
          <w:szCs w:val="36"/>
          <w:lang w:eastAsia="ar-SA"/>
        </w:rPr>
        <w:t>По дисциплине</w:t>
      </w:r>
      <w:r>
        <w:rPr>
          <w:rFonts w:ascii="Times New Roman CYR" w:hAnsi="Times New Roman CYR" w:cs="Times New Roman CYR"/>
          <w:sz w:val="36"/>
          <w:szCs w:val="36"/>
          <w:lang w:eastAsia="ar-SA"/>
        </w:rPr>
        <w:t>:</w:t>
      </w:r>
      <w:r w:rsidRPr="00ED5C48">
        <w:rPr>
          <w:rFonts w:ascii="Times New Roman CYR" w:hAnsi="Times New Roman CYR" w:cs="Times New Roman CYR"/>
          <w:sz w:val="36"/>
          <w:szCs w:val="36"/>
          <w:lang w:eastAsia="ar-SA"/>
        </w:rPr>
        <w:t xml:space="preserve"> </w:t>
      </w:r>
      <w:r>
        <w:rPr>
          <w:rFonts w:ascii="Times New Roman CYR" w:hAnsi="Times New Roman CYR" w:cs="Times New Roman CYR"/>
          <w:b/>
          <w:bCs/>
          <w:sz w:val="36"/>
          <w:szCs w:val="36"/>
          <w:lang w:eastAsia="ar-SA"/>
        </w:rPr>
        <w:t>Финансы, деньги, кредит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36"/>
          <w:szCs w:val="36"/>
          <w:lang w:eastAsia="ar-SA"/>
        </w:rPr>
      </w:pPr>
      <w:r w:rsidRPr="00ED5C48">
        <w:rPr>
          <w:rFonts w:ascii="Times New Roman CYR" w:hAnsi="Times New Roman CYR" w:cs="Times New Roman CYR"/>
          <w:b/>
          <w:bCs/>
          <w:sz w:val="36"/>
          <w:szCs w:val="36"/>
          <w:lang w:eastAsia="ar-SA"/>
        </w:rPr>
        <w:t xml:space="preserve">      </w:t>
      </w:r>
      <w:r w:rsidRPr="00ED5C48">
        <w:rPr>
          <w:rFonts w:ascii="Times New Roman CYR" w:hAnsi="Times New Roman CYR" w:cs="Times New Roman CYR"/>
          <w:sz w:val="36"/>
          <w:szCs w:val="36"/>
          <w:lang w:eastAsia="ar-SA"/>
        </w:rPr>
        <w:t>На тему (вариант)</w:t>
      </w:r>
      <w:r w:rsidRPr="00ED5C48">
        <w:rPr>
          <w:rFonts w:ascii="Times New Roman" w:hAnsi="Times New Roman"/>
          <w:sz w:val="36"/>
          <w:szCs w:val="36"/>
          <w:lang w:eastAsia="ar-SA"/>
        </w:rPr>
        <w:t>:</w:t>
      </w:r>
      <w:r w:rsidRPr="00ED5C48">
        <w:rPr>
          <w:rFonts w:ascii="Times New Roman CYR" w:hAnsi="Times New Roman CYR" w:cs="Times New Roman CYR"/>
          <w:sz w:val="36"/>
          <w:szCs w:val="36"/>
          <w:lang w:eastAsia="ar-SA"/>
        </w:rPr>
        <w:t xml:space="preserve">  </w:t>
      </w:r>
      <w:r w:rsidR="002E5D66">
        <w:rPr>
          <w:rFonts w:ascii="Times New Roman CYR" w:hAnsi="Times New Roman CYR" w:cs="Times New Roman CYR"/>
          <w:b/>
          <w:bCs/>
          <w:sz w:val="36"/>
          <w:szCs w:val="36"/>
          <w:lang w:eastAsia="ar-SA"/>
        </w:rPr>
        <w:t>Финансовая система Японии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 xml:space="preserve">        </w:t>
      </w:r>
    </w:p>
    <w:p w:rsidR="003D6317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2E5D66" w:rsidRPr="00ED5C48" w:rsidRDefault="002E5D66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</w:pP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right"/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bCs/>
          <w:sz w:val="28"/>
          <w:szCs w:val="28"/>
          <w:lang w:eastAsia="ar-SA"/>
        </w:rPr>
        <w:t>Выполнил: с</w:t>
      </w: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тудент </w:t>
      </w:r>
      <w:r w:rsidRPr="003D6317">
        <w:rPr>
          <w:rFonts w:ascii="Times New Roman CYR" w:hAnsi="Times New Roman CYR" w:cs="Times New Roman CYR"/>
          <w:sz w:val="28"/>
          <w:szCs w:val="28"/>
          <w:lang w:eastAsia="ar-SA"/>
        </w:rPr>
        <w:t>3</w:t>
      </w: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 курса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jc w:val="right"/>
        <w:rPr>
          <w:rFonts w:ascii="Times New Roman CYR" w:hAnsi="Times New Roman CYR" w:cs="Times New Roman CYR"/>
          <w:bCs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  </w:t>
      </w:r>
      <w:r w:rsidRPr="00ED5C48">
        <w:rPr>
          <w:rFonts w:ascii="Times New Roman CYR" w:hAnsi="Times New Roman CYR" w:cs="Times New Roman CYR"/>
          <w:bCs/>
          <w:sz w:val="28"/>
          <w:szCs w:val="28"/>
          <w:lang w:eastAsia="ar-SA"/>
        </w:rPr>
        <w:t xml:space="preserve">Данильченко М.И.      </w:t>
      </w:r>
    </w:p>
    <w:p w:rsidR="003D6317" w:rsidRPr="00295BFC" w:rsidRDefault="003D6317" w:rsidP="003D6317">
      <w:pPr>
        <w:widowControl w:val="0"/>
        <w:suppressAutoHyphens/>
        <w:spacing w:after="0" w:line="100" w:lineRule="atLeast"/>
        <w:ind w:left="852" w:hanging="852"/>
        <w:jc w:val="right"/>
        <w:rPr>
          <w:rFonts w:ascii="Times New Roman CYR" w:hAnsi="Times New Roman CYR" w:cs="Times New Roman CYR"/>
          <w:bCs/>
          <w:sz w:val="28"/>
          <w:szCs w:val="28"/>
          <w:lang w:eastAsia="ar-SA"/>
        </w:rPr>
      </w:pPr>
      <w:r>
        <w:rPr>
          <w:rFonts w:ascii="Times New Roman CYR" w:hAnsi="Times New Roman CYR" w:cs="Times New Roman CYR"/>
          <w:sz w:val="28"/>
          <w:szCs w:val="28"/>
          <w:lang w:eastAsia="ar-SA"/>
        </w:rPr>
        <w:t xml:space="preserve">        Преподаватель: Одинцов Н.В.</w:t>
      </w:r>
    </w:p>
    <w:p w:rsidR="003D6317" w:rsidRPr="00ED5C48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  <w:r w:rsidRPr="00ED5C48">
        <w:rPr>
          <w:rFonts w:ascii="Times New Roman CYR" w:hAnsi="Times New Roman CYR" w:cs="Times New Roman CYR"/>
          <w:sz w:val="28"/>
          <w:szCs w:val="28"/>
          <w:lang w:eastAsia="ar-SA"/>
        </w:rPr>
        <w:t xml:space="preserve">                                             </w:t>
      </w:r>
    </w:p>
    <w:p w:rsidR="003D6317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Default="003D6317" w:rsidP="003D6317">
      <w:pPr>
        <w:widowControl w:val="0"/>
        <w:suppressAutoHyphens/>
        <w:spacing w:after="0" w:line="100" w:lineRule="atLeast"/>
        <w:rPr>
          <w:rFonts w:ascii="Times New Roman CYR" w:hAnsi="Times New Roman CYR" w:cs="Times New Roman CYR"/>
          <w:sz w:val="28"/>
          <w:szCs w:val="28"/>
          <w:lang w:eastAsia="ar-SA"/>
        </w:rPr>
      </w:pPr>
    </w:p>
    <w:p w:rsidR="003D6317" w:rsidRPr="00295BFC" w:rsidRDefault="003D6317" w:rsidP="003D6317">
      <w:pPr>
        <w:widowControl w:val="0"/>
        <w:suppressAutoHyphens/>
        <w:spacing w:after="0" w:line="100" w:lineRule="atLeast"/>
        <w:jc w:val="center"/>
      </w:pPr>
      <w:r w:rsidRPr="00ED5C48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Краснодар 201</w:t>
      </w:r>
      <w:r w:rsidRPr="00295BFC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>4</w:t>
      </w:r>
    </w:p>
    <w:p w:rsidR="00295BFC" w:rsidRPr="00295BFC" w:rsidRDefault="00295BFC">
      <w:pPr>
        <w:rPr>
          <w:rFonts w:ascii="Times New Roman" w:hAnsi="Times New Roman" w:cs="Times New Roman"/>
          <w:sz w:val="28"/>
          <w:szCs w:val="28"/>
        </w:rPr>
      </w:pP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lastRenderedPageBreak/>
        <w:t>Японское банковское законодательство построено по американскому образцу и получило значительное развитие только после II мировой войны. Банковская система Японии современного периода – одна из самых развитых и мощных не только в Азиатско-Тихоокеанском регионе, но и в мировом масштабе. Еще в 1995 г. в Японии действовало около 6200 коммерческих финансово-кредитных организаций. Японские банки все шире входят в число ведущих банковских учреждений мира и становятся центром гигантских по капиталу финансово-промышленных групп, реализующих инвестиции в промышленность стран Азии, США и Западной Европы.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Главными элементами банковской системы Японии являются 11 крупных частных банков (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Мицуи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Мицубиси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Сумитомо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Фудзи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Дайити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Канте,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Санва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и др.), называемых «городскими», 64 частных местных банков, функционирующих в масштабе одной префектуры, а также три силь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нейших частных банка долгосрочного кредитования. Крупный бизнес в основном обслуживается городскими банками. Во главе системы стоит Банк Японии, учрежденный в 1882 г. как Центральный банк.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Центральный Банк учрежден в 1882 г., а в 1942 г. его статус был из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менен – создан совет по политике, ставший высшим органом для принятия управленческих решений. Членами этого совета постоянно являются: управляющий банк, представители министерства финансов и агентств по экономическому планированию банковского дела в промышленности. В Банке Японии (уставный капитал 100 млн. иен) 55 % уставного капитала принадлежит правительству, а 45 % – частным компаниям. Банк действует на базе закона 1942 г., поставившего его под жесткий правительственный контроль и дающего право министру финансов изменять политику Банка Японии.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На практике государственные функции выполняет и один из круп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нейших коммерческих банков Японии (Банк Токио), который поддержива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ет корреспондентские отношения с 2 тыс. банков разных стран. Этот банк законодательно наделен правом ведения валютных операций.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lastRenderedPageBreak/>
        <w:t>Основные банки Японии – коммерческие (народные, региональные и иностранные), они выполняют свыше 300 наименований операций для своих клиентов. Для Японии характерны три категории коммерческих банков: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 xml:space="preserve">· </w:t>
      </w:r>
      <w:r w:rsidRPr="002E5D66">
        <w:rPr>
          <w:rStyle w:val="ac"/>
          <w:rFonts w:ascii="Times New Roman" w:hAnsi="Times New Roman" w:cs="Times New Roman"/>
          <w:sz w:val="28"/>
          <w:szCs w:val="28"/>
        </w:rPr>
        <w:t>1 категория</w:t>
      </w:r>
      <w:r w:rsidRPr="002E5D66">
        <w:rPr>
          <w:rFonts w:ascii="Times New Roman" w:hAnsi="Times New Roman" w:cs="Times New Roman"/>
          <w:sz w:val="28"/>
          <w:szCs w:val="28"/>
        </w:rPr>
        <w:t>: городские банки, к которым относятся 13 банков. Традиционно эти банки занимаются предоставлением кратко- и среднесрочных кредитов крупным предприятиям, а также международными и валютными операциями.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 xml:space="preserve">· </w:t>
      </w:r>
      <w:r w:rsidRPr="002E5D66">
        <w:rPr>
          <w:rStyle w:val="ac"/>
          <w:rFonts w:ascii="Times New Roman" w:hAnsi="Times New Roman" w:cs="Times New Roman"/>
          <w:sz w:val="28"/>
          <w:szCs w:val="28"/>
        </w:rPr>
        <w:t xml:space="preserve">2 категория: </w:t>
      </w:r>
      <w:r w:rsidRPr="002E5D66">
        <w:rPr>
          <w:rFonts w:ascii="Times New Roman" w:hAnsi="Times New Roman" w:cs="Times New Roman"/>
          <w:sz w:val="28"/>
          <w:szCs w:val="28"/>
        </w:rPr>
        <w:t xml:space="preserve">региональные банки, их более 60. Деятельность этих банков ограничена географически размерами префектуры. Основная клиентура – мелкие и средние предприятия, органы местного самоуправления. Имеются три банка долгосрочного кредитования, они учреждены в 1952 г.: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Индастриэл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бэнк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оф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Джэнэн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, Лонг терм кредит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бэнк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оф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Джэнэн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Никтон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 xml:space="preserve"> кредит </w:t>
      </w:r>
      <w:proofErr w:type="spellStart"/>
      <w:r w:rsidRPr="002E5D66">
        <w:rPr>
          <w:rFonts w:ascii="Times New Roman" w:hAnsi="Times New Roman" w:cs="Times New Roman"/>
          <w:sz w:val="28"/>
          <w:szCs w:val="28"/>
        </w:rPr>
        <w:t>бэнк</w:t>
      </w:r>
      <w:proofErr w:type="spellEnd"/>
      <w:r w:rsidRPr="002E5D66">
        <w:rPr>
          <w:rFonts w:ascii="Times New Roman" w:hAnsi="Times New Roman" w:cs="Times New Roman"/>
          <w:sz w:val="28"/>
          <w:szCs w:val="28"/>
        </w:rPr>
        <w:t>. Они предоставляют долгосрочные кредиты гигантам промышленности, проводят международные операции, выдают ипотечные кредиты, эмитируют собственные облигации.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 xml:space="preserve">· </w:t>
      </w:r>
      <w:r w:rsidRPr="002E5D66">
        <w:rPr>
          <w:rStyle w:val="ac"/>
          <w:rFonts w:ascii="Times New Roman" w:hAnsi="Times New Roman" w:cs="Times New Roman"/>
          <w:sz w:val="28"/>
          <w:szCs w:val="28"/>
        </w:rPr>
        <w:t xml:space="preserve">3 категория: </w:t>
      </w:r>
      <w:proofErr w:type="spellStart"/>
      <w:proofErr w:type="gramStart"/>
      <w:r w:rsidRPr="002E5D66">
        <w:rPr>
          <w:rFonts w:ascii="Times New Roman" w:hAnsi="Times New Roman" w:cs="Times New Roman"/>
          <w:sz w:val="28"/>
          <w:szCs w:val="28"/>
        </w:rPr>
        <w:t>траст-банки</w:t>
      </w:r>
      <w:proofErr w:type="spellEnd"/>
      <w:proofErr w:type="gramEnd"/>
      <w:r w:rsidRPr="002E5D66">
        <w:rPr>
          <w:rFonts w:ascii="Times New Roman" w:hAnsi="Times New Roman" w:cs="Times New Roman"/>
          <w:sz w:val="28"/>
          <w:szCs w:val="28"/>
        </w:rPr>
        <w:t xml:space="preserve"> с филиалами, которых свыше 330. Это дочерние предприятия городских банков. Принимают срочные вклады и займы, выдают кредиты предприятиям и частным лицам.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К кредитной системе Японии относятся 47 страховых компаний, аккумулирующих огромные финансовые средства для инвестирования в ценные бумаги, 220 фондовых компаний. В отличие от других стран мира, законы Японии четко разделяют полномочия между банками и фондовы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ми компаниями и не позволяют им вторгаться в сферу специализации друг друга. За весь послевоенный период в Японии не было ни одного случая несостоятельности или банкротства банка, что говорит о надлежащем кон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троле со стороны государства в области банковского контроля и надзора и о поддержке слабых банков.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Кредитные организации Японии классифицируются следующим об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разом: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1) Центральный банк (Банк Японии);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lastRenderedPageBreak/>
        <w:t>2) коммерческие банки;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3) специализированные коммерческие институты.</w:t>
      </w:r>
    </w:p>
    <w:p w:rsidR="002E5D66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5D66">
        <w:rPr>
          <w:rFonts w:ascii="Times New Roman" w:hAnsi="Times New Roman" w:cs="Times New Roman"/>
          <w:sz w:val="28"/>
          <w:szCs w:val="28"/>
        </w:rPr>
        <w:t>Мелкие сбережения граждан Японии аккумулируют почтово-сберегательные кассы. Эти кассы предоставляют индивидуальным клиен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там более широкий набор услуг и на более выгодных условиях хранят сбережения кли</w:t>
      </w:r>
      <w:r w:rsidRPr="002E5D66">
        <w:rPr>
          <w:rFonts w:ascii="Times New Roman" w:hAnsi="Times New Roman" w:cs="Times New Roman"/>
          <w:sz w:val="28"/>
          <w:szCs w:val="28"/>
        </w:rPr>
        <w:softHyphen/>
        <w:t>ентов, чем это делают гигантские городские банки, местные и др. банки, поэтому почтовые ведомства смоги аккумулировать крупные финансовые ресурсы.</w:t>
      </w:r>
    </w:p>
    <w:p w:rsidR="002E5D66" w:rsidRPr="002E5D66" w:rsidRDefault="002E5D66" w:rsidP="002E5D66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 настоящий момент </w:t>
      </w:r>
      <w:r w:rsidR="000D20AE">
        <w:rPr>
          <w:rFonts w:ascii="Times New Roman" w:hAnsi="Times New Roman" w:cs="Times New Roman"/>
          <w:sz w:val="28"/>
          <w:szCs w:val="28"/>
        </w:rPr>
        <w:t>б</w:t>
      </w:r>
      <w:r w:rsidRPr="002E5D66">
        <w:rPr>
          <w:rFonts w:ascii="Times New Roman" w:hAnsi="Times New Roman" w:cs="Times New Roman"/>
          <w:sz w:val="28"/>
          <w:szCs w:val="28"/>
        </w:rPr>
        <w:t>анковская система Японии состоит из Центрального Банка, государственных и частных финансовых институтов. Группа государственных и частных финансовых учреждений включает “городские” банки (4 шт.), трастовые банки (19 шт.), крупные региональные банки (64 шт.), средние и мелкие региональные банки (42 шт.)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5D66">
        <w:rPr>
          <w:rFonts w:ascii="Times New Roman" w:hAnsi="Times New Roman" w:cs="Times New Roman"/>
          <w:sz w:val="28"/>
          <w:szCs w:val="28"/>
        </w:rPr>
        <w:t>Основой банковского сектора являются городские банки. Это крупные частные коммерческие учреждения, которые обслуживают всю страну. В</w:t>
      </w:r>
      <w:r w:rsidRPr="002E5D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D66">
        <w:rPr>
          <w:rFonts w:ascii="Times New Roman" w:hAnsi="Times New Roman" w:cs="Times New Roman"/>
          <w:sz w:val="28"/>
          <w:szCs w:val="28"/>
        </w:rPr>
        <w:t>тройку</w:t>
      </w:r>
      <w:r w:rsidRPr="002E5D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D66">
        <w:rPr>
          <w:rFonts w:ascii="Times New Roman" w:hAnsi="Times New Roman" w:cs="Times New Roman"/>
          <w:sz w:val="28"/>
          <w:szCs w:val="28"/>
        </w:rPr>
        <w:t>лидеров</w:t>
      </w:r>
      <w:r w:rsidRPr="002E5D6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E5D66">
        <w:rPr>
          <w:rFonts w:ascii="Times New Roman" w:hAnsi="Times New Roman" w:cs="Times New Roman"/>
          <w:sz w:val="28"/>
          <w:szCs w:val="28"/>
        </w:rPr>
        <w:t>входят</w:t>
      </w:r>
      <w:r w:rsidRPr="002E5D66">
        <w:rPr>
          <w:rFonts w:ascii="Times New Roman" w:hAnsi="Times New Roman" w:cs="Times New Roman"/>
          <w:sz w:val="28"/>
          <w:szCs w:val="28"/>
          <w:lang w:val="en-US"/>
        </w:rPr>
        <w:t xml:space="preserve"> Bank of Tokyo-Mitsubishi UFJ, </w:t>
      </w:r>
      <w:proofErr w:type="spellStart"/>
      <w:r w:rsidRPr="002E5D66">
        <w:rPr>
          <w:rFonts w:ascii="Times New Roman" w:hAnsi="Times New Roman" w:cs="Times New Roman"/>
          <w:sz w:val="28"/>
          <w:szCs w:val="28"/>
          <w:lang w:val="en-US"/>
        </w:rPr>
        <w:t>Resona</w:t>
      </w:r>
      <w:proofErr w:type="spellEnd"/>
      <w:r w:rsidRPr="002E5D66">
        <w:rPr>
          <w:rFonts w:ascii="Times New Roman" w:hAnsi="Times New Roman" w:cs="Times New Roman"/>
          <w:sz w:val="28"/>
          <w:szCs w:val="28"/>
          <w:lang w:val="en-US"/>
        </w:rPr>
        <w:t xml:space="preserve"> Holdings, </w:t>
      </w:r>
      <w:r w:rsidRPr="000D20AE">
        <w:rPr>
          <w:rFonts w:ascii="Times New Roman" w:hAnsi="Times New Roman" w:cs="Times New Roman"/>
          <w:sz w:val="28"/>
          <w:szCs w:val="28"/>
          <w:lang w:val="en-US"/>
        </w:rPr>
        <w:t xml:space="preserve">Sumitomo Mitsui Banking Corporation </w:t>
      </w:r>
      <w:r w:rsidRPr="000D20AE">
        <w:rPr>
          <w:rFonts w:ascii="Times New Roman" w:hAnsi="Times New Roman" w:cs="Times New Roman"/>
          <w:sz w:val="28"/>
          <w:szCs w:val="28"/>
        </w:rPr>
        <w:t>и</w:t>
      </w:r>
      <w:r w:rsidRPr="000D20AE">
        <w:rPr>
          <w:rFonts w:ascii="Times New Roman" w:hAnsi="Times New Roman" w:cs="Times New Roman"/>
          <w:sz w:val="28"/>
          <w:szCs w:val="28"/>
          <w:lang w:val="en-US"/>
        </w:rPr>
        <w:t xml:space="preserve"> Mizuho Financial Group.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В 90-х годах прошлого столетия </w:t>
      </w:r>
      <w:hyperlink r:id="rId8" w:tooltip="О финансах и не только" w:history="1">
        <w:r w:rsidRPr="000D20A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финансовая система</w:t>
        </w:r>
      </w:hyperlink>
      <w:r w:rsidRPr="000D20AE">
        <w:rPr>
          <w:rFonts w:ascii="Times New Roman" w:hAnsi="Times New Roman" w:cs="Times New Roman"/>
          <w:sz w:val="28"/>
          <w:szCs w:val="28"/>
        </w:rPr>
        <w:t xml:space="preserve"> Японии особенно пострадала от кризиса ”экономики пузыря”. Проблема ”плохих долгов” тогда обострилась в гигантских масштабах. Далее последовал длительный период реструктуризации, череды слияний и поглощений. Например, до кризиса в Японии работало 13 городских банков, после консолидации сектора их осталось всего 4.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Сегодня в инвестиционных портфелях коммерческих банков Японии большой объем государственных ценных бумаг. Из-за </w:t>
      </w:r>
      <w:hyperlink r:id="rId9" w:tooltip="Дефляция" w:history="1">
        <w:r w:rsidRPr="000D20A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дефляции</w:t>
        </w:r>
      </w:hyperlink>
      <w:r w:rsidRPr="000D20AE">
        <w:rPr>
          <w:rFonts w:ascii="Times New Roman" w:hAnsi="Times New Roman" w:cs="Times New Roman"/>
          <w:sz w:val="28"/>
          <w:szCs w:val="28"/>
        </w:rPr>
        <w:t xml:space="preserve"> Центральный Банк ведет политику “нулевой” процентной ставки, что сказывается на стоимости денежных ресурсов. Ставки по депозитам в японских банках не превышают 1%. Налогообложение доходов, полученных по вкладам, доходит до 20%.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lastRenderedPageBreak/>
        <w:t xml:space="preserve">Помимо банков на финансовом рынке Японии присутствуют кооперативные кредитные институты, которые во многом похожи на банки. Серьезным игроком на рынке является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Japan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Post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D20AE">
        <w:rPr>
          <w:rFonts w:ascii="Times New Roman" w:hAnsi="Times New Roman" w:cs="Times New Roman"/>
          <w:sz w:val="28"/>
          <w:szCs w:val="28"/>
        </w:rPr>
        <w:t>сформированный</w:t>
      </w:r>
      <w:proofErr w:type="gramEnd"/>
      <w:r w:rsidRPr="000D20AE">
        <w:rPr>
          <w:rFonts w:ascii="Times New Roman" w:hAnsi="Times New Roman" w:cs="Times New Roman"/>
          <w:sz w:val="28"/>
          <w:szCs w:val="28"/>
        </w:rPr>
        <w:t xml:space="preserve"> в результате приватизации национальной почтовой сети. Этот банк с филиалами в 47 префектурах безусловный лидер по объемам привлеченных депозитов (почти 125 трлн. иен).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В Японии также работают филиалы многих иностранных банков. Общее количество банковских учреждений с иностранным капиталом более 60. Самым крупным игроком является </w:t>
      </w:r>
      <w:proofErr w:type="gramStart"/>
      <w:r w:rsidRPr="000D20AE">
        <w:rPr>
          <w:rFonts w:ascii="Times New Roman" w:hAnsi="Times New Roman" w:cs="Times New Roman"/>
          <w:sz w:val="28"/>
          <w:szCs w:val="28"/>
        </w:rPr>
        <w:t>американский</w:t>
      </w:r>
      <w:proofErr w:type="gramEnd"/>
      <w:r w:rsidRPr="000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Citibank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>. Получить лицензию здесь несложно, далее филиал будет работать как обычный японский коммерческий банк.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Трендом последних лет стало устойчивое развитие </w:t>
      </w:r>
      <w:proofErr w:type="spellStart"/>
      <w:proofErr w:type="gramStart"/>
      <w:r w:rsidRPr="000D20AE">
        <w:rPr>
          <w:rFonts w:ascii="Times New Roman" w:hAnsi="Times New Roman" w:cs="Times New Roman"/>
          <w:sz w:val="28"/>
          <w:szCs w:val="28"/>
        </w:rPr>
        <w:t>интернет-банков</w:t>
      </w:r>
      <w:proofErr w:type="spellEnd"/>
      <w:proofErr w:type="gramEnd"/>
      <w:r w:rsidRPr="000D20AE">
        <w:rPr>
          <w:rFonts w:ascii="Times New Roman" w:hAnsi="Times New Roman" w:cs="Times New Roman"/>
          <w:sz w:val="28"/>
          <w:szCs w:val="28"/>
        </w:rPr>
        <w:t xml:space="preserve">, существующих только в электронном виде. Лидерами являются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Sony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Djibune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>, которые специализируются на электронных расчетах и предоставлении финансовых услуг по мобильному телефону. Конечно, интернет-услуги оказывают и розничные банки, но у них они являются лишь малой частью продуктовой линейки.</w:t>
      </w:r>
    </w:p>
    <w:p w:rsidR="002E5D66" w:rsidRPr="000D20AE" w:rsidRDefault="002E5D66" w:rsidP="002E5D66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Фактически японцы постепенно отказываются от наличных, предпочитая электронные деньги или </w:t>
      </w:r>
      <w:proofErr w:type="gramStart"/>
      <w:r w:rsidRPr="000D20AE">
        <w:rPr>
          <w:rFonts w:ascii="Times New Roman" w:hAnsi="Times New Roman" w:cs="Times New Roman"/>
          <w:sz w:val="28"/>
          <w:szCs w:val="28"/>
        </w:rPr>
        <w:t>мобильный</w:t>
      </w:r>
      <w:proofErr w:type="gramEnd"/>
      <w:r w:rsidRPr="000D20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20AE">
        <w:rPr>
          <w:rFonts w:ascii="Times New Roman" w:hAnsi="Times New Roman" w:cs="Times New Roman"/>
          <w:sz w:val="28"/>
          <w:szCs w:val="28"/>
        </w:rPr>
        <w:t>банкинг</w:t>
      </w:r>
      <w:proofErr w:type="spellEnd"/>
      <w:r w:rsidRPr="000D20AE">
        <w:rPr>
          <w:rFonts w:ascii="Times New Roman" w:hAnsi="Times New Roman" w:cs="Times New Roman"/>
          <w:sz w:val="28"/>
          <w:szCs w:val="28"/>
        </w:rPr>
        <w:t>. По этой причине теряют популярность традиционные пластиковые карты, уступая место более инновационным банковским продуктам.</w:t>
      </w:r>
    </w:p>
    <w:p w:rsidR="000D20AE" w:rsidRDefault="000D20AE" w:rsidP="000D20AE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D66" w:rsidRPr="000D20AE" w:rsidRDefault="000D20AE" w:rsidP="000D20AE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0A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D20AE" w:rsidRPr="000D20AE" w:rsidRDefault="000D20AE" w:rsidP="000D20AE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Особенности финансовой системы Японии </w:t>
      </w:r>
    </w:p>
    <w:p w:rsidR="000D20AE" w:rsidRDefault="000D20AE" w:rsidP="000D20AE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6A6FA5">
          <w:rPr>
            <w:rStyle w:val="a7"/>
            <w:rFonts w:ascii="Times New Roman" w:hAnsi="Times New Roman" w:cs="Times New Roman"/>
            <w:sz w:val="28"/>
            <w:szCs w:val="28"/>
          </w:rPr>
          <w:t>http://theory-of-money.ru/osobennosti-bankovskoj-sistemy-yaponii</w:t>
        </w:r>
      </w:hyperlink>
    </w:p>
    <w:p w:rsidR="000D20AE" w:rsidRDefault="000D20AE" w:rsidP="000D20AE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Банковская система Японии </w:t>
      </w:r>
      <w:hyperlink r:id="rId11" w:history="1">
        <w:r w:rsidRPr="006A6FA5">
          <w:rPr>
            <w:rStyle w:val="a7"/>
            <w:rFonts w:ascii="Times New Roman" w:hAnsi="Times New Roman" w:cs="Times New Roman"/>
            <w:sz w:val="28"/>
            <w:szCs w:val="28"/>
          </w:rPr>
          <w:t>http://www.fin-eco.ru/2013/11/bankovskaya-sistema-yaponii.html</w:t>
        </w:r>
      </w:hyperlink>
    </w:p>
    <w:p w:rsidR="000D20AE" w:rsidRDefault="000D20AE" w:rsidP="000D20AE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Современная Япония </w:t>
      </w:r>
      <w:hyperlink r:id="rId12" w:history="1">
        <w:r w:rsidRPr="006A6FA5">
          <w:rPr>
            <w:rStyle w:val="a7"/>
            <w:rFonts w:ascii="Times New Roman" w:hAnsi="Times New Roman" w:cs="Times New Roman"/>
            <w:sz w:val="28"/>
            <w:szCs w:val="28"/>
          </w:rPr>
          <w:t>http://taxman.org.ua/news.php?id=102</w:t>
        </w:r>
      </w:hyperlink>
    </w:p>
    <w:p w:rsidR="00295BFC" w:rsidRPr="000D20AE" w:rsidRDefault="000D20AE" w:rsidP="002E5D66">
      <w:pPr>
        <w:pStyle w:val="a3"/>
        <w:widowControl w:val="0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0AE">
        <w:rPr>
          <w:rFonts w:ascii="Times New Roman" w:hAnsi="Times New Roman" w:cs="Times New Roman"/>
          <w:sz w:val="28"/>
          <w:szCs w:val="28"/>
        </w:rPr>
        <w:t xml:space="preserve">Экономика Японии в 2014 году </w:t>
      </w:r>
      <w:hyperlink r:id="rId13" w:history="1">
        <w:r w:rsidRPr="000D20AE">
          <w:rPr>
            <w:rStyle w:val="a7"/>
            <w:rFonts w:ascii="Times New Roman" w:hAnsi="Times New Roman" w:cs="Times New Roman"/>
            <w:sz w:val="28"/>
            <w:szCs w:val="28"/>
          </w:rPr>
          <w:t>http://www.webeconomy.ru/index.php?page=cype=news&amp;newsid=2142</w:t>
        </w:r>
      </w:hyperlink>
    </w:p>
    <w:sectPr w:rsidR="00295BFC" w:rsidRPr="000D20AE" w:rsidSect="00295BFC">
      <w:foot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7A" w:rsidRDefault="00584F7A" w:rsidP="00295BFC">
      <w:pPr>
        <w:spacing w:after="0" w:line="240" w:lineRule="auto"/>
      </w:pPr>
      <w:r>
        <w:separator/>
      </w:r>
    </w:p>
  </w:endnote>
  <w:endnote w:type="continuationSeparator" w:id="0">
    <w:p w:rsidR="00584F7A" w:rsidRDefault="00584F7A" w:rsidP="0029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60249"/>
    </w:sdtPr>
    <w:sdtContent>
      <w:p w:rsidR="00295BFC" w:rsidRDefault="009C18CB">
        <w:pPr>
          <w:pStyle w:val="aa"/>
          <w:jc w:val="center"/>
        </w:pPr>
        <w:fldSimple w:instr=" PAGE   \* MERGEFORMAT ">
          <w:r w:rsidR="000D20AE">
            <w:rPr>
              <w:noProof/>
            </w:rPr>
            <w:t>2</w:t>
          </w:r>
        </w:fldSimple>
      </w:p>
    </w:sdtContent>
  </w:sdt>
  <w:p w:rsidR="00295BFC" w:rsidRDefault="00295BF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7A" w:rsidRDefault="00584F7A" w:rsidP="00295BFC">
      <w:pPr>
        <w:spacing w:after="0" w:line="240" w:lineRule="auto"/>
      </w:pPr>
      <w:r>
        <w:separator/>
      </w:r>
    </w:p>
  </w:footnote>
  <w:footnote w:type="continuationSeparator" w:id="0">
    <w:p w:rsidR="00584F7A" w:rsidRDefault="00584F7A" w:rsidP="0029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7A04"/>
    <w:multiLevelType w:val="hybridMultilevel"/>
    <w:tmpl w:val="4606C5E4"/>
    <w:lvl w:ilvl="0" w:tplc="1EE0C0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BD7EB6"/>
    <w:multiLevelType w:val="hybridMultilevel"/>
    <w:tmpl w:val="E3EA1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15122"/>
    <w:multiLevelType w:val="multilevel"/>
    <w:tmpl w:val="F7D65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D35A5B"/>
    <w:multiLevelType w:val="hybridMultilevel"/>
    <w:tmpl w:val="A418D186"/>
    <w:lvl w:ilvl="0" w:tplc="7E005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68F"/>
    <w:rsid w:val="000D20AE"/>
    <w:rsid w:val="00295BFC"/>
    <w:rsid w:val="002E5D66"/>
    <w:rsid w:val="002E768F"/>
    <w:rsid w:val="003D6317"/>
    <w:rsid w:val="00584F7A"/>
    <w:rsid w:val="008C1309"/>
    <w:rsid w:val="009C18CB"/>
    <w:rsid w:val="00C053A3"/>
    <w:rsid w:val="00D27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A"/>
  </w:style>
  <w:style w:type="paragraph" w:styleId="1">
    <w:name w:val="heading 1"/>
    <w:basedOn w:val="a"/>
    <w:next w:val="a"/>
    <w:link w:val="10"/>
    <w:uiPriority w:val="9"/>
    <w:qFormat/>
    <w:rsid w:val="00295B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D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76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B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295BFC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295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BFC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295BFC"/>
    <w:pPr>
      <w:spacing w:after="100"/>
    </w:pPr>
  </w:style>
  <w:style w:type="character" w:styleId="a7">
    <w:name w:val="Hyperlink"/>
    <w:basedOn w:val="a0"/>
    <w:uiPriority w:val="99"/>
    <w:unhideWhenUsed/>
    <w:rsid w:val="00295BF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29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5BFC"/>
  </w:style>
  <w:style w:type="paragraph" w:styleId="aa">
    <w:name w:val="footer"/>
    <w:basedOn w:val="a"/>
    <w:link w:val="ab"/>
    <w:uiPriority w:val="99"/>
    <w:unhideWhenUsed/>
    <w:rsid w:val="00295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5BFC"/>
  </w:style>
  <w:style w:type="character" w:customStyle="1" w:styleId="20">
    <w:name w:val="Заголовок 2 Знак"/>
    <w:basedOn w:val="a0"/>
    <w:link w:val="2"/>
    <w:uiPriority w:val="9"/>
    <w:semiHidden/>
    <w:rsid w:val="002E5D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2E5D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90846">
                  <w:marLeft w:val="-9164"/>
                  <w:marRight w:val="-7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34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96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-eco.ru/" TargetMode="External"/><Relationship Id="rId13" Type="http://schemas.openxmlformats.org/officeDocument/2006/relationships/hyperlink" Target="http://www.webeconomy.ru/index.php?page=cat&amp;cat=mcat&amp;mcat=136&amp;type=news&amp;newsid=2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axman.org.ua/news.php?id=1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n-eco.ru/2013/11/bankovskaya-sistema-yaponii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theory-of-money.ru/osobennosti-bankovskoj-sistemy-yaponi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-eco.ru/2011/03/defljacija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DB576-9A87-42CD-A7A6-0E302F75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</dc:creator>
  <cp:lastModifiedBy>Миша</cp:lastModifiedBy>
  <cp:revision>2</cp:revision>
  <dcterms:created xsi:type="dcterms:W3CDTF">2014-10-12T14:02:00Z</dcterms:created>
  <dcterms:modified xsi:type="dcterms:W3CDTF">2014-10-12T15:10:00Z</dcterms:modified>
</cp:coreProperties>
</file>